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A0A" w:rsidRPr="00732157" w:rsidRDefault="00297A0A" w:rsidP="00297A0A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732157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="00A9706C" w:rsidRPr="00732157">
        <w:rPr>
          <w:rFonts w:ascii="Arial" w:hAnsi="Arial" w:cs="Arial"/>
          <w:b/>
          <w:sz w:val="28"/>
          <w:szCs w:val="28"/>
        </w:rPr>
        <w:t>25/</w:t>
      </w:r>
      <w:r w:rsidR="00C8327E">
        <w:rPr>
          <w:rFonts w:ascii="Arial" w:hAnsi="Arial" w:cs="Arial"/>
          <w:b/>
          <w:sz w:val="28"/>
          <w:szCs w:val="28"/>
        </w:rPr>
        <w:t>20</w:t>
      </w:r>
      <w:r w:rsidR="00A9706C" w:rsidRPr="00732157">
        <w:rPr>
          <w:rFonts w:ascii="Arial" w:hAnsi="Arial" w:cs="Arial"/>
          <w:b/>
          <w:sz w:val="28"/>
          <w:szCs w:val="28"/>
        </w:rPr>
        <w:t>11</w:t>
      </w:r>
      <w:r w:rsidR="00DB74F7" w:rsidRPr="00DB74F7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297A0A" w:rsidRPr="00C92D6C" w:rsidRDefault="00297A0A" w:rsidP="00297A0A">
      <w:pPr>
        <w:spacing w:after="120"/>
        <w:jc w:val="center"/>
        <w:rPr>
          <w:rFonts w:ascii="Arial" w:hAnsi="Arial" w:cs="Arial"/>
          <w:bCs/>
          <w:szCs w:val="22"/>
        </w:rPr>
      </w:pPr>
    </w:p>
    <w:p w:rsidR="00C92D6C" w:rsidRDefault="00C92D6C" w:rsidP="00297A0A">
      <w:pPr>
        <w:spacing w:after="120"/>
        <w:jc w:val="center"/>
        <w:rPr>
          <w:rFonts w:ascii="Arial" w:hAnsi="Arial" w:cs="Arial"/>
        </w:rPr>
      </w:pPr>
      <w:bookmarkStart w:id="0" w:name="_GoBack"/>
      <w:r w:rsidRPr="00C92D6C">
        <w:rPr>
          <w:rStyle w:val="Forte"/>
          <w:rFonts w:ascii="Arial" w:hAnsi="Arial" w:cs="Arial"/>
          <w:color w:val="FF0000"/>
        </w:rPr>
        <w:t>Revogada</w:t>
      </w:r>
      <w:r w:rsidRPr="00C92D6C">
        <w:rPr>
          <w:rFonts w:ascii="Arial" w:hAnsi="Arial" w:cs="Arial"/>
        </w:rPr>
        <w:t xml:space="preserve"> por: </w:t>
      </w:r>
      <w:hyperlink r:id="rId6" w:history="1">
        <w:r w:rsidRPr="00C92D6C">
          <w:rPr>
            <w:rStyle w:val="Hyperlink"/>
            <w:rFonts w:ascii="Arial" w:hAnsi="Arial" w:cs="Arial"/>
          </w:rPr>
          <w:t>Instrução de Serviço n. 39, de 26 de outubro de 2012</w:t>
        </w:r>
      </w:hyperlink>
      <w:r w:rsidRPr="00C92D6C">
        <w:rPr>
          <w:rFonts w:ascii="Arial" w:hAnsi="Arial" w:cs="Arial"/>
        </w:rPr>
        <w:t>.</w:t>
      </w:r>
    </w:p>
    <w:bookmarkEnd w:id="0"/>
    <w:p w:rsidR="00C92D6C" w:rsidRPr="00C92D6C" w:rsidRDefault="00C92D6C" w:rsidP="00297A0A">
      <w:pPr>
        <w:spacing w:after="120"/>
        <w:jc w:val="center"/>
        <w:rPr>
          <w:rFonts w:ascii="Arial" w:hAnsi="Arial" w:cs="Arial"/>
          <w:bCs/>
          <w:szCs w:val="22"/>
        </w:rPr>
      </w:pPr>
    </w:p>
    <w:p w:rsidR="00732157" w:rsidRPr="00662C61" w:rsidRDefault="00732157" w:rsidP="00732157">
      <w:pPr>
        <w:pStyle w:val="Ementa"/>
        <w:rPr>
          <w:i/>
          <w:strike/>
          <w:szCs w:val="22"/>
        </w:rPr>
      </w:pPr>
      <w:r w:rsidRPr="00662C61">
        <w:rPr>
          <w:i/>
          <w:strike/>
          <w:szCs w:val="22"/>
        </w:rPr>
        <w:t>Dispõe sobre a expedição dos atos de comunicação em autos digitais, para fins de citação e intimação, e revoga a Instrução de Serviço nº 20/2011.</w:t>
      </w:r>
    </w:p>
    <w:p w:rsidR="00732157" w:rsidRPr="00C92D6C" w:rsidRDefault="00732157" w:rsidP="00732157">
      <w:pPr>
        <w:pStyle w:val="Ementa"/>
        <w:rPr>
          <w:i/>
          <w:strike/>
          <w:sz w:val="24"/>
        </w:rPr>
      </w:pPr>
    </w:p>
    <w:p w:rsidR="00732157" w:rsidRPr="00C92D6C" w:rsidRDefault="00732157" w:rsidP="00732157">
      <w:pPr>
        <w:pStyle w:val="Texto"/>
        <w:spacing w:after="120"/>
        <w:ind w:firstLine="1134"/>
        <w:rPr>
          <w:strike/>
          <w:sz w:val="24"/>
        </w:rPr>
      </w:pPr>
      <w:r w:rsidRPr="00C92D6C">
        <w:rPr>
          <w:b/>
          <w:strike/>
          <w:sz w:val="24"/>
        </w:rPr>
        <w:t>O PRESIDENTE DO TRIBUNAL DE CONTAS DO ESTADO DO PARANÁ</w:t>
      </w:r>
      <w:r w:rsidRPr="00C92D6C">
        <w:rPr>
          <w:strike/>
          <w:sz w:val="24"/>
        </w:rPr>
        <w:t xml:space="preserve">, no uso das atribuições que lhe são conferidas no art. 122, I, da Lei Complementar nº 113, de 15 de dezembro de 2005, e no art. 16, XXVII e XXXIII, c/c os </w:t>
      </w:r>
      <w:proofErr w:type="spellStart"/>
      <w:r w:rsidRPr="00C92D6C">
        <w:rPr>
          <w:strike/>
          <w:sz w:val="24"/>
        </w:rPr>
        <w:t>arts</w:t>
      </w:r>
      <w:proofErr w:type="spellEnd"/>
      <w:r w:rsidRPr="00C92D6C">
        <w:rPr>
          <w:strike/>
          <w:sz w:val="24"/>
        </w:rPr>
        <w:t>. 187, III, e 197, do Regimento Interno, e</w:t>
      </w:r>
    </w:p>
    <w:p w:rsidR="00732157" w:rsidRPr="00C92D6C" w:rsidRDefault="00732157" w:rsidP="00732157">
      <w:pPr>
        <w:pStyle w:val="Texto"/>
        <w:spacing w:before="240" w:after="240"/>
        <w:ind w:firstLine="1134"/>
        <w:rPr>
          <w:bCs/>
          <w:strike/>
          <w:sz w:val="24"/>
        </w:rPr>
      </w:pPr>
      <w:r w:rsidRPr="00C92D6C">
        <w:rPr>
          <w:bCs/>
          <w:strike/>
          <w:sz w:val="24"/>
        </w:rPr>
        <w:t>Considerando a necessidade de adaptações no sistema informatizado do Tribunal para implementar nos autos digitais as rotinas de comunicação eletrônica das entidades e jurisdicionados, para fins de citação e intimação, em processos sujeitos a julgamento pelo Tribunal de Contas;</w:t>
      </w:r>
    </w:p>
    <w:p w:rsidR="00732157" w:rsidRPr="00C92D6C" w:rsidRDefault="00732157" w:rsidP="00732157">
      <w:pPr>
        <w:pStyle w:val="Texto"/>
        <w:spacing w:before="240" w:after="240"/>
        <w:ind w:firstLine="1134"/>
        <w:rPr>
          <w:bCs/>
          <w:strike/>
          <w:sz w:val="24"/>
        </w:rPr>
      </w:pPr>
      <w:r w:rsidRPr="00C92D6C">
        <w:rPr>
          <w:bCs/>
          <w:strike/>
          <w:sz w:val="24"/>
        </w:rPr>
        <w:t>Considerando a necessidade de maior celeridade no trâmite de processos entre as fases de instrução, manifestação ministerial, julgamento e o cumprimento das decisões definitivas,</w:t>
      </w:r>
    </w:p>
    <w:p w:rsidR="00732157" w:rsidRPr="00C92D6C" w:rsidRDefault="00732157" w:rsidP="00732157">
      <w:pPr>
        <w:pStyle w:val="Texto"/>
        <w:spacing w:before="240" w:after="240"/>
        <w:ind w:firstLine="1134"/>
        <w:rPr>
          <w:b/>
          <w:bCs/>
          <w:strike/>
          <w:sz w:val="24"/>
        </w:rPr>
      </w:pPr>
      <w:r w:rsidRPr="00C92D6C">
        <w:rPr>
          <w:b/>
          <w:bCs/>
          <w:strike/>
          <w:sz w:val="24"/>
        </w:rPr>
        <w:t>RESOLVE:</w:t>
      </w:r>
    </w:p>
    <w:p w:rsidR="00732157" w:rsidRPr="00C92D6C" w:rsidRDefault="00732157" w:rsidP="00732157">
      <w:pPr>
        <w:pStyle w:val="ArtigosOrdinais"/>
        <w:spacing w:after="120"/>
        <w:ind w:firstLine="1134"/>
        <w:rPr>
          <w:strike/>
          <w:sz w:val="24"/>
        </w:rPr>
      </w:pPr>
      <w:r w:rsidRPr="00C92D6C">
        <w:rPr>
          <w:b/>
          <w:strike/>
          <w:sz w:val="24"/>
        </w:rPr>
        <w:t xml:space="preserve">Art. 1º </w:t>
      </w:r>
      <w:r w:rsidRPr="00C92D6C">
        <w:rPr>
          <w:strike/>
          <w:sz w:val="24"/>
        </w:rPr>
        <w:t>Esta Instrução de Serviço dispõe sobre a expedição dos atos de comunicação em autos digitais, para fins de citação e intimação, de que trata o art. 355, do Regimento Interno.</w:t>
      </w:r>
    </w:p>
    <w:p w:rsidR="00732157" w:rsidRPr="00C92D6C" w:rsidRDefault="00732157" w:rsidP="00732157">
      <w:pPr>
        <w:pStyle w:val="ArtigosOrdinais"/>
        <w:spacing w:after="120"/>
        <w:ind w:firstLine="1134"/>
        <w:rPr>
          <w:strike/>
          <w:sz w:val="24"/>
        </w:rPr>
      </w:pPr>
      <w:r w:rsidRPr="00C92D6C">
        <w:rPr>
          <w:b/>
          <w:strike/>
          <w:sz w:val="24"/>
        </w:rPr>
        <w:t>Art. 2º</w:t>
      </w:r>
      <w:r w:rsidRPr="00C92D6C">
        <w:rPr>
          <w:strike/>
          <w:sz w:val="24"/>
        </w:rPr>
        <w:t xml:space="preserve"> Os atos de comunicação, referentes aos ofícios e editais, serão expedidos pelas unidades instrutórias dos feitos, </w:t>
      </w:r>
      <w:r w:rsidR="00612226" w:rsidRPr="00C92D6C">
        <w:rPr>
          <w:strike/>
          <w:sz w:val="24"/>
        </w:rPr>
        <w:t xml:space="preserve">em atendimento ao despacho do Relator, </w:t>
      </w:r>
      <w:r w:rsidRPr="00C92D6C">
        <w:rPr>
          <w:strike/>
          <w:sz w:val="24"/>
        </w:rPr>
        <w:t>até a implementação no sistema informatizado de ferramentas para as citações e intimações eletrônicas.</w:t>
      </w:r>
    </w:p>
    <w:p w:rsidR="00732157" w:rsidRPr="00C92D6C" w:rsidRDefault="00612226" w:rsidP="00732157">
      <w:pPr>
        <w:pStyle w:val="ArtigosOrdinais"/>
        <w:spacing w:after="120"/>
        <w:ind w:firstLine="1134"/>
        <w:rPr>
          <w:strike/>
          <w:sz w:val="24"/>
        </w:rPr>
      </w:pPr>
      <w:r w:rsidRPr="00C92D6C">
        <w:rPr>
          <w:b/>
          <w:strike/>
          <w:sz w:val="24"/>
        </w:rPr>
        <w:t>Art. 3</w:t>
      </w:r>
      <w:r w:rsidR="00732157" w:rsidRPr="00C92D6C">
        <w:rPr>
          <w:b/>
          <w:strike/>
          <w:sz w:val="24"/>
        </w:rPr>
        <w:t>º</w:t>
      </w:r>
      <w:r w:rsidR="00732157" w:rsidRPr="00C92D6C">
        <w:rPr>
          <w:strike/>
          <w:sz w:val="24"/>
        </w:rPr>
        <w:t xml:space="preserve"> Expedidos os atos de comunicação, os autos serão enviados à Diretoria de Protocolo para atendimento.</w:t>
      </w:r>
    </w:p>
    <w:p w:rsidR="00732157" w:rsidRPr="00C92D6C" w:rsidRDefault="00732157" w:rsidP="00732157">
      <w:pPr>
        <w:pStyle w:val="ArtigosOrdinais"/>
        <w:spacing w:after="120"/>
        <w:ind w:firstLine="1134"/>
        <w:rPr>
          <w:strike/>
          <w:sz w:val="24"/>
        </w:rPr>
      </w:pPr>
      <w:r w:rsidRPr="00C92D6C">
        <w:rPr>
          <w:strike/>
          <w:sz w:val="24"/>
        </w:rPr>
        <w:t>Parágrafo único. Recebidos os autos das unidades instrutórias do feito, a Diretoria de Protocolo adotará os seguintes procedimentos:</w:t>
      </w:r>
    </w:p>
    <w:p w:rsidR="00732157" w:rsidRPr="00C92D6C" w:rsidRDefault="00732157" w:rsidP="00732157">
      <w:pPr>
        <w:pStyle w:val="ArtigosOrdinais"/>
        <w:spacing w:after="120"/>
        <w:ind w:firstLine="1134"/>
        <w:rPr>
          <w:strike/>
          <w:sz w:val="24"/>
        </w:rPr>
      </w:pPr>
      <w:r w:rsidRPr="00C92D6C">
        <w:rPr>
          <w:strike/>
          <w:sz w:val="24"/>
        </w:rPr>
        <w:t xml:space="preserve">I – </w:t>
      </w:r>
      <w:proofErr w:type="gramStart"/>
      <w:r w:rsidRPr="00C92D6C">
        <w:rPr>
          <w:strike/>
          <w:sz w:val="24"/>
        </w:rPr>
        <w:t>encaminhar</w:t>
      </w:r>
      <w:proofErr w:type="gramEnd"/>
      <w:r w:rsidRPr="00C92D6C">
        <w:rPr>
          <w:strike/>
          <w:sz w:val="24"/>
        </w:rPr>
        <w:t xml:space="preserve"> os ofícios, acompanhados de avisos de recebimentos, às entidades e jurisdicionados;</w:t>
      </w:r>
    </w:p>
    <w:p w:rsidR="00732157" w:rsidRPr="00C92D6C" w:rsidRDefault="00732157" w:rsidP="00732157">
      <w:pPr>
        <w:pStyle w:val="ArtigosOrdinais"/>
        <w:spacing w:after="120"/>
        <w:ind w:firstLine="1134"/>
        <w:rPr>
          <w:strike/>
          <w:sz w:val="24"/>
        </w:rPr>
      </w:pPr>
      <w:r w:rsidRPr="00C92D6C">
        <w:rPr>
          <w:strike/>
          <w:sz w:val="24"/>
        </w:rPr>
        <w:lastRenderedPageBreak/>
        <w:t xml:space="preserve">II – </w:t>
      </w:r>
      <w:proofErr w:type="gramStart"/>
      <w:r w:rsidRPr="00C92D6C">
        <w:rPr>
          <w:strike/>
          <w:sz w:val="24"/>
        </w:rPr>
        <w:t>devolver</w:t>
      </w:r>
      <w:proofErr w:type="gramEnd"/>
      <w:r w:rsidRPr="00C92D6C">
        <w:rPr>
          <w:strike/>
          <w:sz w:val="24"/>
        </w:rPr>
        <w:t xml:space="preserve"> os autos às unidades instrutórias do feito após o retorno e juntada do último aviso de recebimento aos autos respectivos;</w:t>
      </w:r>
    </w:p>
    <w:p w:rsidR="00732157" w:rsidRPr="00C92D6C" w:rsidRDefault="00732157" w:rsidP="00732157">
      <w:pPr>
        <w:pStyle w:val="ArtigosOrdinais"/>
        <w:spacing w:after="120"/>
        <w:ind w:firstLine="1134"/>
        <w:rPr>
          <w:strike/>
          <w:sz w:val="24"/>
        </w:rPr>
      </w:pPr>
      <w:r w:rsidRPr="00C92D6C">
        <w:rPr>
          <w:strike/>
          <w:sz w:val="24"/>
        </w:rPr>
        <w:t>III – encaminhar os editais para publicação no periódico Atos Oficiais do Tribunal, devolvendo os autos às unidades instrutórias do feito após a certificação de publicação.</w:t>
      </w:r>
    </w:p>
    <w:p w:rsidR="00732157" w:rsidRPr="00C92D6C" w:rsidRDefault="00732157" w:rsidP="00732157">
      <w:pPr>
        <w:pStyle w:val="ArtigosOrdinais"/>
        <w:tabs>
          <w:tab w:val="clear" w:pos="1440"/>
          <w:tab w:val="left" w:pos="1560"/>
        </w:tabs>
        <w:spacing w:after="120"/>
        <w:ind w:firstLine="1134"/>
        <w:rPr>
          <w:rFonts w:cs="Arial"/>
          <w:strike/>
          <w:color w:val="000000"/>
          <w:sz w:val="24"/>
        </w:rPr>
      </w:pPr>
      <w:r w:rsidRPr="00C92D6C">
        <w:rPr>
          <w:rFonts w:cs="Arial"/>
          <w:b/>
          <w:strike/>
          <w:color w:val="000000"/>
          <w:sz w:val="24"/>
        </w:rPr>
        <w:t xml:space="preserve">Art. </w:t>
      </w:r>
      <w:r w:rsidR="00612226" w:rsidRPr="00C92D6C">
        <w:rPr>
          <w:rFonts w:cs="Arial"/>
          <w:b/>
          <w:strike/>
          <w:color w:val="000000"/>
          <w:sz w:val="24"/>
        </w:rPr>
        <w:t>4</w:t>
      </w:r>
      <w:r w:rsidRPr="00C92D6C">
        <w:rPr>
          <w:rFonts w:cs="Arial"/>
          <w:b/>
          <w:strike/>
          <w:color w:val="000000"/>
          <w:sz w:val="24"/>
        </w:rPr>
        <w:t xml:space="preserve">º </w:t>
      </w:r>
      <w:r w:rsidRPr="00C92D6C">
        <w:rPr>
          <w:rFonts w:cs="Arial"/>
          <w:strike/>
          <w:color w:val="000000"/>
          <w:sz w:val="24"/>
        </w:rPr>
        <w:t xml:space="preserve">Esta Instrução de Serviço entra em vigor na data de sua publicação no periódico Atos Oficiais do Tribunal de Contas do Estado do Paraná, ficando revogada a Instrução de Serviço nº 20/2011, de 27 de maio de 2011. </w:t>
      </w:r>
    </w:p>
    <w:p w:rsidR="00732157" w:rsidRPr="00C92D6C" w:rsidRDefault="00732157" w:rsidP="00732157">
      <w:pPr>
        <w:pStyle w:val="Recuodecorpodetexto3"/>
        <w:spacing w:before="240" w:after="240"/>
        <w:ind w:firstLine="1134"/>
        <w:jc w:val="left"/>
        <w:rPr>
          <w:rFonts w:ascii="Arial" w:hAnsi="Arial" w:cs="Arial"/>
          <w:strike/>
          <w:color w:val="000000"/>
        </w:rPr>
      </w:pPr>
    </w:p>
    <w:p w:rsidR="00732157" w:rsidRPr="00C92D6C" w:rsidRDefault="00732157" w:rsidP="00732157">
      <w:pPr>
        <w:pStyle w:val="Recuodecorpodetexto3"/>
        <w:spacing w:before="240" w:after="240"/>
        <w:ind w:firstLine="1134"/>
        <w:jc w:val="left"/>
        <w:rPr>
          <w:rFonts w:ascii="Arial" w:hAnsi="Arial" w:cs="Arial"/>
          <w:strike/>
          <w:color w:val="000000"/>
        </w:rPr>
      </w:pPr>
      <w:r w:rsidRPr="00C92D6C">
        <w:rPr>
          <w:rFonts w:ascii="Arial" w:hAnsi="Arial" w:cs="Arial"/>
          <w:strike/>
          <w:color w:val="000000"/>
        </w:rPr>
        <w:t>Gabinete da Presidência, em 28 de julho de 2011.</w:t>
      </w:r>
    </w:p>
    <w:p w:rsidR="00732157" w:rsidRPr="00C92D6C" w:rsidRDefault="00732157" w:rsidP="00732157">
      <w:pPr>
        <w:pStyle w:val="Recuodecorpodetexto3"/>
        <w:spacing w:before="240"/>
        <w:ind w:firstLine="1134"/>
        <w:jc w:val="left"/>
        <w:rPr>
          <w:rFonts w:ascii="Arial" w:hAnsi="Arial" w:cs="Arial"/>
          <w:strike/>
          <w:color w:val="000000"/>
        </w:rPr>
      </w:pPr>
    </w:p>
    <w:p w:rsidR="00732157" w:rsidRPr="00C92D6C" w:rsidRDefault="00732157" w:rsidP="00732157">
      <w:pPr>
        <w:pStyle w:val="Recuodecorpodetexto3"/>
        <w:spacing w:before="240"/>
        <w:ind w:firstLine="1134"/>
        <w:jc w:val="left"/>
        <w:rPr>
          <w:rFonts w:ascii="Arial" w:hAnsi="Arial" w:cs="Arial"/>
          <w:strike/>
          <w:color w:val="000000"/>
        </w:rPr>
      </w:pPr>
    </w:p>
    <w:p w:rsidR="00732157" w:rsidRPr="00C92D6C" w:rsidRDefault="00732157" w:rsidP="00732157">
      <w:pPr>
        <w:pStyle w:val="Recuodecorpodetexto3"/>
        <w:spacing w:before="240"/>
        <w:ind w:firstLine="1134"/>
        <w:jc w:val="left"/>
        <w:rPr>
          <w:rFonts w:ascii="Arial" w:hAnsi="Arial" w:cs="Arial"/>
          <w:strike/>
          <w:color w:val="000000"/>
        </w:rPr>
      </w:pPr>
      <w:r w:rsidRPr="00C92D6C">
        <w:rPr>
          <w:rFonts w:ascii="Arial" w:hAnsi="Arial" w:cs="Arial"/>
          <w:strike/>
          <w:color w:val="000000"/>
        </w:rPr>
        <w:t>FERNANDO AUGUSTO MELLO GUIMARÃES</w:t>
      </w:r>
    </w:p>
    <w:p w:rsidR="00732157" w:rsidRPr="00C92D6C" w:rsidRDefault="00732157" w:rsidP="00732157">
      <w:pPr>
        <w:pStyle w:val="Recuodecorpodetexto3"/>
        <w:spacing w:after="120"/>
        <w:ind w:firstLine="1134"/>
        <w:jc w:val="left"/>
        <w:rPr>
          <w:rFonts w:ascii="Arial" w:hAnsi="Arial" w:cs="Arial"/>
          <w:b/>
          <w:strike/>
          <w:color w:val="000000"/>
        </w:rPr>
      </w:pPr>
      <w:r w:rsidRPr="00C92D6C">
        <w:rPr>
          <w:rFonts w:ascii="Arial" w:hAnsi="Arial" w:cs="Arial"/>
          <w:b/>
          <w:strike/>
          <w:color w:val="000000"/>
        </w:rPr>
        <w:t>Presidente</w:t>
      </w:r>
    </w:p>
    <w:p w:rsidR="00732157" w:rsidRPr="00C92D6C" w:rsidRDefault="00732157" w:rsidP="00732157">
      <w:pPr>
        <w:pStyle w:val="Recuodecorpodetexto3"/>
        <w:spacing w:before="120" w:after="120"/>
        <w:ind w:firstLine="1134"/>
        <w:jc w:val="left"/>
        <w:rPr>
          <w:rFonts w:ascii="Arial" w:hAnsi="Arial" w:cs="Arial"/>
          <w:strike/>
          <w:color w:val="000000"/>
        </w:rPr>
      </w:pPr>
    </w:p>
    <w:p w:rsidR="00732157" w:rsidRPr="00C92D6C" w:rsidRDefault="00732157" w:rsidP="00732157">
      <w:pPr>
        <w:pStyle w:val="Recuodecorpodetexto3"/>
        <w:spacing w:before="120" w:after="120"/>
        <w:ind w:firstLine="1134"/>
        <w:jc w:val="left"/>
        <w:rPr>
          <w:rFonts w:ascii="Arial" w:hAnsi="Arial" w:cs="Arial"/>
          <w:strike/>
          <w:color w:val="000000"/>
        </w:rPr>
      </w:pPr>
    </w:p>
    <w:p w:rsidR="00732157" w:rsidRPr="00C92D6C" w:rsidRDefault="00732157" w:rsidP="00732157">
      <w:pPr>
        <w:pStyle w:val="Recuodecorpodetexto3"/>
        <w:spacing w:before="120"/>
        <w:ind w:firstLine="1134"/>
        <w:jc w:val="left"/>
        <w:rPr>
          <w:rFonts w:ascii="Arial" w:hAnsi="Arial" w:cs="Arial"/>
          <w:strike/>
          <w:color w:val="000000"/>
        </w:rPr>
      </w:pPr>
      <w:r w:rsidRPr="00C92D6C">
        <w:rPr>
          <w:rFonts w:ascii="Arial" w:hAnsi="Arial" w:cs="Arial"/>
          <w:strike/>
          <w:color w:val="000000"/>
        </w:rPr>
        <w:t>SIMONE DE SOUZA PINTO MANASSÉS</w:t>
      </w:r>
    </w:p>
    <w:p w:rsidR="00732157" w:rsidRPr="00C92D6C" w:rsidRDefault="00732157" w:rsidP="00732157">
      <w:pPr>
        <w:pStyle w:val="Recuodecorpodetexto3"/>
        <w:ind w:firstLine="1134"/>
        <w:jc w:val="left"/>
        <w:rPr>
          <w:rFonts w:ascii="Arial" w:hAnsi="Arial" w:cs="Arial"/>
          <w:b/>
          <w:strike/>
          <w:color w:val="000000"/>
        </w:rPr>
      </w:pPr>
      <w:r w:rsidRPr="00C92D6C">
        <w:rPr>
          <w:rFonts w:ascii="Arial" w:hAnsi="Arial" w:cs="Arial"/>
          <w:b/>
          <w:strike/>
          <w:color w:val="000000"/>
        </w:rPr>
        <w:t>Diretora Geral</w:t>
      </w:r>
    </w:p>
    <w:p w:rsidR="00732157" w:rsidRPr="00C92D6C" w:rsidRDefault="00732157" w:rsidP="00297A0A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  <w:rPr>
          <w:strike/>
        </w:rPr>
      </w:pPr>
    </w:p>
    <w:p w:rsidR="00732157" w:rsidRPr="00C92D6C" w:rsidRDefault="00732157" w:rsidP="00297A0A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  <w:rPr>
          <w:strike/>
        </w:rPr>
      </w:pPr>
    </w:p>
    <w:p w:rsidR="001B0BF5" w:rsidRPr="00C92D6C" w:rsidRDefault="001B0BF5" w:rsidP="00297A0A">
      <w:pPr>
        <w:spacing w:after="120"/>
        <w:jc w:val="center"/>
        <w:rPr>
          <w:rFonts w:ascii="Arial" w:hAnsi="Arial" w:cs="Arial"/>
          <w:strike/>
          <w:szCs w:val="18"/>
        </w:rPr>
      </w:pPr>
    </w:p>
    <w:sectPr w:rsidR="001B0BF5" w:rsidRPr="00C92D6C" w:rsidSect="00554EF5">
      <w:headerReference w:type="default" r:id="rId7"/>
      <w:footerReference w:type="even" r:id="rId8"/>
      <w:footerReference w:type="default" r:id="rId9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69D" w:rsidRDefault="002C469D">
      <w:r>
        <w:separator/>
      </w:r>
    </w:p>
  </w:endnote>
  <w:endnote w:type="continuationSeparator" w:id="0">
    <w:p w:rsidR="002C469D" w:rsidRDefault="002C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226" w:rsidRDefault="00612226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12226" w:rsidRDefault="00612226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226" w:rsidRDefault="00612226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69D" w:rsidRDefault="002C469D">
      <w:r>
        <w:separator/>
      </w:r>
    </w:p>
  </w:footnote>
  <w:footnote w:type="continuationSeparator" w:id="0">
    <w:p w:rsidR="002C469D" w:rsidRDefault="002C469D">
      <w:r>
        <w:continuationSeparator/>
      </w:r>
    </w:p>
  </w:footnote>
  <w:footnote w:id="1">
    <w:p w:rsidR="00DB74F7" w:rsidRPr="001F7238" w:rsidRDefault="00DB74F7" w:rsidP="00DB74F7">
      <w:pPr>
        <w:pStyle w:val="Textodenotaderodap"/>
        <w:rPr>
          <w:rFonts w:ascii="Arial" w:hAnsi="Arial" w:cs="Arial"/>
        </w:rPr>
      </w:pPr>
      <w:r w:rsidRPr="00DB74F7">
        <w:rPr>
          <w:rStyle w:val="Refdenotaderodap"/>
        </w:rPr>
        <w:sym w:font="Symbol" w:char="F02A"/>
      </w:r>
      <w:r>
        <w:t xml:space="preserve"> </w:t>
      </w:r>
      <w:r w:rsidRPr="001F723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ota</w:t>
      </w:r>
      <w:r w:rsidRPr="001F7238">
        <w:rPr>
          <w:rFonts w:ascii="Arial" w:hAnsi="Arial" w:cs="Arial"/>
          <w:b/>
        </w:rPr>
        <w:t xml:space="preserve"> da Biblioteca:</w:t>
      </w:r>
    </w:p>
    <w:p w:rsidR="00DB74F7" w:rsidRDefault="00DB74F7" w:rsidP="00DB74F7">
      <w:pPr>
        <w:pStyle w:val="Textodenotaderodap"/>
        <w:ind w:left="142"/>
      </w:pPr>
      <w:r w:rsidRPr="001F7238">
        <w:rPr>
          <w:rFonts w:ascii="Arial" w:hAnsi="Arial" w:cs="Arial"/>
        </w:rPr>
        <w:t>Este texto não substitui o publicado no periódico:</w:t>
      </w:r>
      <w:r>
        <w:rPr>
          <w:rFonts w:ascii="Arial" w:hAnsi="Arial" w:cs="Arial"/>
        </w:rPr>
        <w:t xml:space="preserve"> </w:t>
      </w:r>
      <w:hyperlink r:id="rId1" w:history="1">
        <w:r w:rsidRPr="00C8327E">
          <w:rPr>
            <w:rStyle w:val="Hyperlink"/>
            <w:rFonts w:ascii="Arial" w:hAnsi="Arial" w:cs="Arial"/>
          </w:rPr>
          <w:t>Atos Oficiais do Tribunal de Contas do Estado do Paraná, Curitiba, PR, n. 310, 29 jul. 2011, p. 126</w:t>
        </w:r>
      </w:hyperlink>
      <w:r w:rsidRPr="00C8327E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226" w:rsidRDefault="00662C61" w:rsidP="00732157">
    <w:pPr>
      <w:pStyle w:val="Cabealho"/>
      <w:spacing w:before="240"/>
      <w:jc w:val="center"/>
      <w:rPr>
        <w:rFonts w:ascii="Arial" w:hAnsi="Arial" w:cs="Arial"/>
        <w:b/>
        <w:sz w:val="30"/>
        <w:szCs w:val="30"/>
        <w:lang w:val="pt-BR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0" type="#_x0000_t75" alt="logo TC colorido - medio" style="position:absolute;left:0;text-align:left;margin-left:-4pt;margin-top:4.55pt;width:47.7pt;height:56.1pt;z-index:251658240;visibility:visible">
          <v:imagedata r:id="rId1" o:title="logo TC colorido - medio"/>
          <w10:wrap type="square"/>
        </v:shape>
      </w:pict>
    </w:r>
    <w:r>
      <w:pict>
        <v:shape id="_x0000_s2049" type="#_x0000_t75" style="position:absolute;left:0;text-align:left;margin-left:-.25pt;margin-top:4.55pt;width:47.7pt;height:56.1pt;z-index:251657216">
          <v:imagedata r:id="rId1" o:title="logo TC colorido - medio"/>
          <w10:wrap type="square"/>
        </v:shape>
      </w:pict>
    </w:r>
    <w:r w:rsidR="00612226">
      <w:rPr>
        <w:rFonts w:ascii="Arial" w:hAnsi="Arial" w:cs="Arial"/>
        <w:b/>
        <w:sz w:val="30"/>
        <w:szCs w:val="30"/>
      </w:rPr>
      <w:t>TRIBUNAL DE CONTAS DO ESTADO DO PARANÁ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8CF"/>
    <w:rsid w:val="00006DB9"/>
    <w:rsid w:val="00043FDF"/>
    <w:rsid w:val="00045CE4"/>
    <w:rsid w:val="00071842"/>
    <w:rsid w:val="000A337E"/>
    <w:rsid w:val="00192528"/>
    <w:rsid w:val="00197298"/>
    <w:rsid w:val="001B0BF5"/>
    <w:rsid w:val="001C48ED"/>
    <w:rsid w:val="0024070D"/>
    <w:rsid w:val="00244124"/>
    <w:rsid w:val="002458CF"/>
    <w:rsid w:val="002542E1"/>
    <w:rsid w:val="002776B9"/>
    <w:rsid w:val="00297A0A"/>
    <w:rsid w:val="002B2F90"/>
    <w:rsid w:val="002C469D"/>
    <w:rsid w:val="002D4C2F"/>
    <w:rsid w:val="002F4B03"/>
    <w:rsid w:val="0051629B"/>
    <w:rsid w:val="005342E4"/>
    <w:rsid w:val="00554EF5"/>
    <w:rsid w:val="00612226"/>
    <w:rsid w:val="00662C61"/>
    <w:rsid w:val="006F2408"/>
    <w:rsid w:val="00732157"/>
    <w:rsid w:val="00801C3D"/>
    <w:rsid w:val="008354D0"/>
    <w:rsid w:val="008749F7"/>
    <w:rsid w:val="0091709F"/>
    <w:rsid w:val="009C49E6"/>
    <w:rsid w:val="00A34CB9"/>
    <w:rsid w:val="00A9706C"/>
    <w:rsid w:val="00AB2E1A"/>
    <w:rsid w:val="00C135E7"/>
    <w:rsid w:val="00C8327E"/>
    <w:rsid w:val="00C92D6C"/>
    <w:rsid w:val="00CB5FA1"/>
    <w:rsid w:val="00D21163"/>
    <w:rsid w:val="00D5472B"/>
    <w:rsid w:val="00DB74F7"/>
    <w:rsid w:val="00EE5A71"/>
    <w:rsid w:val="00FA414B"/>
    <w:rsid w:val="00FD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E82D3342-C005-46C6-8C44-7400A2E4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360" w:lineRule="auto"/>
      <w:ind w:left="1701" w:right="1701"/>
      <w:outlineLvl w:val="0"/>
    </w:pPr>
    <w:rPr>
      <w:rFonts w:ascii="Arial" w:hAnsi="Arial" w:cs="Arial"/>
      <w:b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/>
      <w:ind w:left="1701" w:right="1701" w:firstLine="279"/>
      <w:jc w:val="both"/>
    </w:pPr>
    <w:rPr>
      <w:rFonts w:ascii="Arial" w:hAnsi="Arial" w:cs="Arial"/>
      <w:szCs w:val="22"/>
    </w:rPr>
  </w:style>
  <w:style w:type="paragraph" w:styleId="Rodap">
    <w:name w:val="footer"/>
    <w:basedOn w:val="Normal"/>
    <w:rsid w:val="0051629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1629B"/>
  </w:style>
  <w:style w:type="paragraph" w:styleId="Cabealho">
    <w:name w:val="header"/>
    <w:basedOn w:val="Normal"/>
    <w:link w:val="CabealhoChar"/>
    <w:uiPriority w:val="99"/>
    <w:rsid w:val="0091709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91709F"/>
    <w:rPr>
      <w:sz w:val="24"/>
      <w:szCs w:val="24"/>
    </w:rPr>
  </w:style>
  <w:style w:type="paragraph" w:styleId="Textodebalo">
    <w:name w:val="Balloon Text"/>
    <w:basedOn w:val="Normal"/>
    <w:link w:val="TextodebaloChar"/>
    <w:rsid w:val="0091709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91709F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732157"/>
    <w:pPr>
      <w:ind w:firstLine="720"/>
      <w:jc w:val="both"/>
    </w:pPr>
    <w:rPr>
      <w:color w:val="FF0000"/>
    </w:rPr>
  </w:style>
  <w:style w:type="character" w:customStyle="1" w:styleId="Recuodecorpodetexto3Char">
    <w:name w:val="Recuo de corpo de texto 3 Char"/>
    <w:basedOn w:val="Fontepargpadro"/>
    <w:link w:val="Recuodecorpodetexto3"/>
    <w:rsid w:val="00732157"/>
    <w:rPr>
      <w:color w:val="FF0000"/>
      <w:sz w:val="24"/>
      <w:szCs w:val="24"/>
    </w:rPr>
  </w:style>
  <w:style w:type="paragraph" w:customStyle="1" w:styleId="Ementa">
    <w:name w:val="Ementa"/>
    <w:basedOn w:val="Normal"/>
    <w:rsid w:val="00732157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732157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732157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Textodenotaderodap">
    <w:name w:val="footnote text"/>
    <w:basedOn w:val="Normal"/>
    <w:link w:val="TextodenotaderodapChar"/>
    <w:rsid w:val="00C8327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8327E"/>
  </w:style>
  <w:style w:type="character" w:styleId="Refdenotaderodap">
    <w:name w:val="footnote reference"/>
    <w:basedOn w:val="Fontepargpadro"/>
    <w:rsid w:val="00C8327E"/>
    <w:rPr>
      <w:vertAlign w:val="superscript"/>
    </w:rPr>
  </w:style>
  <w:style w:type="character" w:styleId="Hyperlink">
    <w:name w:val="Hyperlink"/>
    <w:uiPriority w:val="99"/>
    <w:unhideWhenUsed/>
    <w:rsid w:val="00C8327E"/>
    <w:rPr>
      <w:color w:val="004C78"/>
      <w:u w:val="single"/>
    </w:rPr>
  </w:style>
  <w:style w:type="character" w:styleId="Forte">
    <w:name w:val="Strong"/>
    <w:uiPriority w:val="22"/>
    <w:qFormat/>
    <w:rsid w:val="00C92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.tce.pr.gov.br/conteudo/instrucao-de-servico-n&#186;-392012/237450/area/1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1/7/pdf/0000027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Certidao de quebra de numeração</vt:lpstr>
    </vt:vector>
  </TitlesOfParts>
  <Company>Tribunal de Contas do estado do Paraná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Certidao de quebra de numeração</dc:title>
  <dc:subject/>
  <dc:creator>tc514268</dc:creator>
  <cp:keywords/>
  <cp:lastModifiedBy>Yarusya Rohrich da Fonseca</cp:lastModifiedBy>
  <cp:revision>6</cp:revision>
  <cp:lastPrinted>2011-07-28T19:16:00Z</cp:lastPrinted>
  <dcterms:created xsi:type="dcterms:W3CDTF">2019-02-12T15:43:00Z</dcterms:created>
  <dcterms:modified xsi:type="dcterms:W3CDTF">2019-02-13T13:47:00Z</dcterms:modified>
</cp:coreProperties>
</file>