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00" w:rsidRDefault="00436E00" w:rsidP="00764616">
      <w:pPr>
        <w:spacing w:after="12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436E00" w:rsidRDefault="00436E00" w:rsidP="00764616">
      <w:pPr>
        <w:spacing w:after="12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1551" w:rsidRPr="009E0305" w:rsidRDefault="00436E00" w:rsidP="00764616">
      <w:pPr>
        <w:spacing w:after="120"/>
        <w:jc w:val="center"/>
        <w:rPr>
          <w:rFonts w:ascii="Garamond" w:hAnsi="Garamond" w:cs="Times New Roman"/>
          <w:b/>
          <w:sz w:val="30"/>
          <w:szCs w:val="30"/>
        </w:rPr>
      </w:pPr>
      <w:r w:rsidRPr="009E0305">
        <w:rPr>
          <w:rFonts w:ascii="Garamond" w:hAnsi="Garamond" w:cs="Times New Roman"/>
          <w:b/>
          <w:sz w:val="30"/>
          <w:szCs w:val="30"/>
        </w:rPr>
        <w:t>INSTRUÇÃO DE SERVIÇO Nº 05/2007</w:t>
      </w:r>
    </w:p>
    <w:p w:rsidR="00436E00" w:rsidRPr="009E0305" w:rsidRDefault="00436E00" w:rsidP="00764616">
      <w:pPr>
        <w:spacing w:after="120"/>
        <w:jc w:val="center"/>
        <w:rPr>
          <w:rFonts w:ascii="Garamond" w:hAnsi="Garamond" w:cs="Times New Roman"/>
          <w:sz w:val="24"/>
          <w:szCs w:val="24"/>
        </w:rPr>
      </w:pPr>
      <w:r w:rsidRPr="009E0305">
        <w:rPr>
          <w:rFonts w:ascii="Garamond" w:hAnsi="Garamond" w:cs="Times New Roman"/>
          <w:sz w:val="24"/>
          <w:szCs w:val="24"/>
        </w:rPr>
        <w:t>(Antiga Instrução de Serviço nº 01/2007)</w:t>
      </w:r>
    </w:p>
    <w:p w:rsidR="00436E00" w:rsidRPr="009E0305" w:rsidRDefault="00436E00" w:rsidP="00764616">
      <w:pPr>
        <w:spacing w:after="120"/>
        <w:jc w:val="center"/>
        <w:rPr>
          <w:rFonts w:ascii="Garamond" w:hAnsi="Garamond" w:cs="Times New Roman"/>
          <w:color w:val="FF0000"/>
        </w:rPr>
      </w:pPr>
      <w:r w:rsidRPr="009E0305">
        <w:rPr>
          <w:rFonts w:ascii="Garamond" w:hAnsi="Garamond" w:cs="Times New Roman"/>
          <w:color w:val="FF0000"/>
        </w:rPr>
        <w:t>Publicada nos Atos Oficiais do Tribunal de Contas do Estado do Paraná, nº 121, de 19/10/2007, p. 77.</w:t>
      </w:r>
    </w:p>
    <w:p w:rsidR="00436E00" w:rsidRPr="009E0305" w:rsidRDefault="00436E00" w:rsidP="00764616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E0305">
        <w:rPr>
          <w:rFonts w:ascii="Garamond" w:eastAsia="Times New Roman" w:hAnsi="Garamond" w:cs="Times New Roman"/>
          <w:color w:val="000000"/>
          <w:sz w:val="24"/>
          <w:szCs w:val="24"/>
        </w:rPr>
        <w:t>Revoga disposições contidas nos Atos Normativos nº. 001/03 e nº. 002/004; do Ato de Designação nº. 001/003 e nº. 001/04; e do Ato Administrativo nº. 01/04 e da Instrução de Serviços nº. 04/2006 PGMP que estejam em desconformidade com a presente Instrução de Serviço.</w:t>
      </w:r>
    </w:p>
    <w:p w:rsidR="00436E00" w:rsidRPr="009E0305" w:rsidRDefault="00436E00" w:rsidP="00764616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36E00" w:rsidRPr="009E0305" w:rsidRDefault="00436E00" w:rsidP="00764616">
      <w:pPr>
        <w:autoSpaceDE w:val="0"/>
        <w:autoSpaceDN w:val="0"/>
        <w:adjustRightInd w:val="0"/>
        <w:snapToGrid w:val="0"/>
        <w:spacing w:after="120" w:line="240" w:lineRule="atLeast"/>
        <w:ind w:left="4536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E0305">
        <w:rPr>
          <w:rFonts w:ascii="Garamond" w:eastAsia="Times New Roman" w:hAnsi="Garamond" w:cs="Times New Roman"/>
          <w:i/>
          <w:color w:val="000000"/>
          <w:sz w:val="24"/>
          <w:szCs w:val="24"/>
        </w:rPr>
        <w:t>Súmula:</w:t>
      </w:r>
      <w:r w:rsidRPr="009E030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Consolida e </w:t>
      </w:r>
      <w:proofErr w:type="gramStart"/>
      <w:r w:rsidRPr="009E0305">
        <w:rPr>
          <w:rFonts w:ascii="Garamond" w:eastAsia="Times New Roman" w:hAnsi="Garamond" w:cs="Times New Roman"/>
          <w:color w:val="000000"/>
          <w:sz w:val="24"/>
          <w:szCs w:val="24"/>
        </w:rPr>
        <w:t>disciplina</w:t>
      </w:r>
      <w:proofErr w:type="gramEnd"/>
      <w:r w:rsidRPr="009E030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as normas, no âmbito do Ministério Público junto ao Tribunal de Contas do Estado do Paraná, relativas à organização e à distribuição de protocolos, e dá outras providências.</w:t>
      </w:r>
    </w:p>
    <w:p w:rsidR="00417FFA" w:rsidRPr="009E0305" w:rsidRDefault="00417FFA" w:rsidP="00764616">
      <w:pPr>
        <w:autoSpaceDE w:val="0"/>
        <w:autoSpaceDN w:val="0"/>
        <w:adjustRightInd w:val="0"/>
        <w:snapToGrid w:val="0"/>
        <w:spacing w:after="120" w:line="240" w:lineRule="atLeast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417FFA" w:rsidRPr="009E0305" w:rsidRDefault="00417FFA" w:rsidP="00764616">
      <w:pPr>
        <w:autoSpaceDE w:val="0"/>
        <w:autoSpaceDN w:val="0"/>
        <w:adjustRightInd w:val="0"/>
        <w:snapToGrid w:val="0"/>
        <w:spacing w:after="120" w:line="240" w:lineRule="atLeast"/>
        <w:jc w:val="both"/>
        <w:rPr>
          <w:rFonts w:ascii="Garamond" w:eastAsia="Times New Roman" w:hAnsi="Garamond" w:cs="Times New Roman"/>
          <w:sz w:val="24"/>
          <w:szCs w:val="24"/>
        </w:rPr>
      </w:pPr>
      <w:r w:rsidRPr="009E0305">
        <w:rPr>
          <w:rFonts w:ascii="Garamond" w:eastAsia="Times New Roman" w:hAnsi="Garamond" w:cs="Times New Roman"/>
          <w:b/>
          <w:sz w:val="24"/>
          <w:szCs w:val="24"/>
        </w:rPr>
        <w:t>A PROCURADORA-GERAL DO MINISTÉRIO PÚBLICO JUNTO AO TRIBUNAL DE CONTAS,</w:t>
      </w:r>
      <w:r w:rsidRPr="009E0305">
        <w:rPr>
          <w:rFonts w:ascii="Garamond" w:eastAsia="Times New Roman" w:hAnsi="Garamond" w:cs="Times New Roman"/>
          <w:sz w:val="24"/>
          <w:szCs w:val="24"/>
        </w:rPr>
        <w:t xml:space="preserve"> no exercício das atribuições institucionais estabelecidas na Constituição da República de 1988, na Constituição do Estado do Paraná de 1989, na Lei Complementar Estadual nº 113/2005, do Regimento Interno do Tribunal de Contas do Estado do Paraná, e em consonância com as Instruções de Se4rviço nº 02/2006, 03/2006 e 04/2006, </w:t>
      </w:r>
      <w:r w:rsidRPr="009E0305">
        <w:rPr>
          <w:rFonts w:ascii="Garamond" w:eastAsia="Times New Roman" w:hAnsi="Garamond" w:cs="Times New Roman"/>
          <w:b/>
          <w:sz w:val="24"/>
          <w:szCs w:val="24"/>
        </w:rPr>
        <w:t xml:space="preserve">RESOLVE CONSOLIDAR E DISCIPLINAR </w:t>
      </w:r>
      <w:r w:rsidRPr="009E0305">
        <w:rPr>
          <w:rFonts w:ascii="Garamond" w:eastAsia="Times New Roman" w:hAnsi="Garamond" w:cs="Times New Roman"/>
          <w:sz w:val="24"/>
          <w:szCs w:val="24"/>
        </w:rPr>
        <w:t>as normas pertinentes à organização e à distribuição de protocolos, nos termos desta Instrução de Serviço</w:t>
      </w:r>
      <w:r w:rsidR="005D3308" w:rsidRPr="009E0305">
        <w:rPr>
          <w:rFonts w:ascii="Garamond" w:eastAsia="Times New Roman" w:hAnsi="Garamond" w:cs="Times New Roman"/>
          <w:sz w:val="24"/>
          <w:szCs w:val="24"/>
        </w:rPr>
        <w:t>.</w:t>
      </w:r>
    </w:p>
    <w:p w:rsidR="00417FFA" w:rsidRPr="009E0305" w:rsidRDefault="00417FFA" w:rsidP="00764616">
      <w:pPr>
        <w:autoSpaceDE w:val="0"/>
        <w:autoSpaceDN w:val="0"/>
        <w:adjustRightInd w:val="0"/>
        <w:snapToGrid w:val="0"/>
        <w:spacing w:after="120" w:line="240" w:lineRule="atLeas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9E0305">
        <w:rPr>
          <w:rFonts w:ascii="Garamond" w:eastAsia="Times New Roman" w:hAnsi="Garamond" w:cs="Times New Roman"/>
          <w:b/>
          <w:sz w:val="24"/>
          <w:szCs w:val="24"/>
        </w:rPr>
        <w:t>I – DAS REGIÕES OPERACIONAIS</w:t>
      </w:r>
    </w:p>
    <w:p w:rsidR="009E0305" w:rsidRPr="009E0305" w:rsidRDefault="00417FFA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eastAsia="Times New Roman" w:hAnsi="Garamond" w:cs="Times New Roman"/>
          <w:b/>
          <w:sz w:val="24"/>
          <w:szCs w:val="24"/>
        </w:rPr>
        <w:t xml:space="preserve">Artigo 1º </w:t>
      </w:r>
      <w:r w:rsidR="005D3308" w:rsidRPr="009E0305">
        <w:rPr>
          <w:rFonts w:ascii="Garamond" w:eastAsia="Times New Roman" w:hAnsi="Garamond" w:cs="Times New Roman"/>
          <w:sz w:val="24"/>
          <w:szCs w:val="24"/>
        </w:rPr>
        <w:t>Com vistas à operacionalização das funções dos órgãos</w:t>
      </w:r>
      <w:r w:rsidR="009E0305" w:rsidRPr="009E0305">
        <w:rPr>
          <w:rFonts w:ascii="Garamond" w:eastAsia="Times New Roman" w:hAnsi="Garamond" w:cs="Times New Roman"/>
          <w:sz w:val="24"/>
          <w:szCs w:val="24"/>
        </w:rPr>
        <w:t xml:space="preserve"> de execução do Ministério Público junto ao Tribunal de Contas, os</w:t>
      </w:r>
      <w:r w:rsidR="009E0305" w:rsidRPr="009E0305">
        <w:rPr>
          <w:rFonts w:ascii="Garamond" w:hAnsi="Garamond" w:cs="Garamond"/>
          <w:sz w:val="24"/>
          <w:szCs w:val="24"/>
        </w:rPr>
        <w:t xml:space="preserve"> Municípios do Estado do Paraná ficam agrupados em</w:t>
      </w:r>
      <w:r w:rsidR="009E0305">
        <w:rPr>
          <w:rFonts w:ascii="Garamond" w:hAnsi="Garamond" w:cs="Garamond"/>
          <w:sz w:val="24"/>
          <w:szCs w:val="24"/>
        </w:rPr>
        <w:t xml:space="preserve"> </w:t>
      </w:r>
      <w:r w:rsidR="009E0305" w:rsidRPr="009E0305">
        <w:rPr>
          <w:rFonts w:ascii="Garamond" w:hAnsi="Garamond" w:cs="Garamond"/>
          <w:sz w:val="24"/>
          <w:szCs w:val="24"/>
        </w:rPr>
        <w:t>10 (dez) Regiões Operacionais.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>§ 1º Nove Regiões Operacionais são integradas por 40 (quarenta) Municípios e uma Região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>Operacional por 39 (trinta e nove) Municípios, nesta incluída a Capital do Estado, na forma do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9E0305">
        <w:rPr>
          <w:rFonts w:ascii="Garamond" w:hAnsi="Garamond" w:cs="Garamond"/>
          <w:sz w:val="24"/>
          <w:szCs w:val="24"/>
        </w:rPr>
        <w:t>contido no Anexo II, da Instrução de Serviço n°. 03/2006.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>§ 2º A Região Operacional compreende um Município núcleo e Municípios adjacentes.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>§ 3º Para cada Região Operacional será designado um Procurador que ficará responsável pelos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9E0305">
        <w:rPr>
          <w:rFonts w:ascii="Garamond" w:hAnsi="Garamond" w:cs="Garamond"/>
          <w:sz w:val="24"/>
          <w:szCs w:val="24"/>
        </w:rPr>
        <w:t>protocolos oriundos dos Municípios nela integrados, atuando nos seguintes procedimentos: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>a) Prestação de contas municipais;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>b) Prestação de contas das empresas públicas e sociedades de economia mista municipais;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>c) Admissão de pessoal;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>d) Aposentadorias, pensões e revisões de proventos;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 xml:space="preserve">e) Convênios, auxílios, subvenções </w:t>
      </w:r>
      <w:proofErr w:type="gramStart"/>
      <w:r w:rsidRPr="009E0305">
        <w:rPr>
          <w:rFonts w:ascii="Garamond" w:hAnsi="Garamond" w:cs="Garamond"/>
          <w:sz w:val="24"/>
          <w:szCs w:val="24"/>
        </w:rPr>
        <w:t>sociais e tomada de contas</w:t>
      </w:r>
      <w:proofErr w:type="gramEnd"/>
      <w:r w:rsidRPr="009E0305">
        <w:rPr>
          <w:rFonts w:ascii="Garamond" w:hAnsi="Garamond" w:cs="Garamond"/>
          <w:sz w:val="24"/>
          <w:szCs w:val="24"/>
        </w:rPr>
        <w:t>;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>f) Denúncias e representações;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sz w:val="24"/>
          <w:szCs w:val="24"/>
        </w:rPr>
        <w:t xml:space="preserve">g) Consultas; </w:t>
      </w:r>
      <w:r>
        <w:rPr>
          <w:rFonts w:ascii="Garamond" w:hAnsi="Garamond" w:cs="Garamond"/>
          <w:sz w:val="24"/>
          <w:szCs w:val="24"/>
        </w:rPr>
        <w:t>h) Recursos de revista, nos quais o Procurador não atuou em primeira instância;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h) Recursos de revista, nos quais o Procurador não atuou em primeira instância;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i) Auditorias e relatórios;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j) Requerimentos diversos, incluindo-se baixas de pendências, esclarecimentos e solicitação de certidões;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k) Alertas;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l) Pedidos de Rescisórias; </w:t>
      </w:r>
      <w:proofErr w:type="gramStart"/>
      <w:r>
        <w:rPr>
          <w:rFonts w:ascii="Garamond" w:hAnsi="Garamond" w:cs="Garamond"/>
          <w:sz w:val="24"/>
          <w:szCs w:val="24"/>
        </w:rPr>
        <w:t>e</w:t>
      </w:r>
      <w:proofErr w:type="gramEnd"/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m) Liminares.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4º Incluem-se os protocolos relativos aos consórcios intermunicipais, sendo considerado o Município sede para a referida distribuição.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5º Os protocolos já distribuídos ficarão vinculados aos respectivos Procuradores.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6º As denúncias e representações encaminhadas pela Ouvidoria ao Procurador-Geral serão repassados, mediante e-mail, aos Procuradores, atendendo aos critérios de distribuição quanto à Região e ao Grupo Operacional.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b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II – DOS GRUPOS OPERACIONAIS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Artigo 2º</w:t>
      </w:r>
      <w:r>
        <w:rPr>
          <w:rFonts w:ascii="Garamond" w:hAnsi="Garamond" w:cs="Garamond"/>
          <w:sz w:val="24"/>
          <w:szCs w:val="24"/>
        </w:rPr>
        <w:t xml:space="preserve"> Para fins de distribuição e atuação nos protocolos estaduais fixa-se em 10 (dez) Grupos Operacionais, constantes da Instrução de Serviço n°03/2006.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Parágrafo único: Os feitos oriundos de Universidades Estaduais serão distribuídos observando-se o Município da respectiva instalação, conforme designação das Regiões Operacionais, a que se refere o artigo 1º </w:t>
      </w:r>
      <w:proofErr w:type="gramStart"/>
      <w:r>
        <w:rPr>
          <w:rFonts w:ascii="Garamond" w:hAnsi="Garamond" w:cs="Garamond"/>
          <w:sz w:val="24"/>
          <w:szCs w:val="24"/>
        </w:rPr>
        <w:t>da presente</w:t>
      </w:r>
      <w:proofErr w:type="gramEnd"/>
      <w:r>
        <w:rPr>
          <w:rFonts w:ascii="Garamond" w:hAnsi="Garamond" w:cs="Garamond"/>
          <w:sz w:val="24"/>
          <w:szCs w:val="24"/>
        </w:rPr>
        <w:t xml:space="preserve"> Instrução de Serviço.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b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III – DA DISTRIBUIÇÃO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Artigo 3º</w:t>
      </w:r>
      <w:r>
        <w:rPr>
          <w:rFonts w:ascii="Garamond" w:hAnsi="Garamond" w:cs="Garamond"/>
          <w:sz w:val="24"/>
          <w:szCs w:val="24"/>
        </w:rPr>
        <w:t xml:space="preserve"> A distribuição de protocolos de prestação de contas de convênios, auxílios e subvenções, </w:t>
      </w:r>
      <w:proofErr w:type="gramStart"/>
      <w:r>
        <w:rPr>
          <w:rFonts w:ascii="Garamond" w:hAnsi="Garamond" w:cs="Garamond"/>
          <w:sz w:val="24"/>
          <w:szCs w:val="24"/>
        </w:rPr>
        <w:t>tomada de contas, e relatórios de auditorias relativos</w:t>
      </w:r>
      <w:proofErr w:type="gramEnd"/>
      <w:r>
        <w:rPr>
          <w:rFonts w:ascii="Garamond" w:hAnsi="Garamond" w:cs="Garamond"/>
          <w:sz w:val="24"/>
          <w:szCs w:val="24"/>
        </w:rPr>
        <w:t xml:space="preserve"> a entidades privadas não se submetem à estrita vinculação por Região Operacional, podendo os mesmos ser utilizados para garantir a proporcionalidade da distribuição, na forma do disposto no artigo 4º.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b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Artigo 4º</w:t>
      </w:r>
      <w:r>
        <w:rPr>
          <w:rFonts w:ascii="Garamond" w:hAnsi="Garamond" w:cs="Garamond"/>
          <w:sz w:val="24"/>
          <w:szCs w:val="24"/>
        </w:rPr>
        <w:t xml:space="preserve"> A distribuição dos protocolos em 1ª instância, observada a regionalização a que se refere o artigo 1º e os Grupos Operacionais descritos no artigo 3º desta Instrução de Serviço, será feita de forma </w:t>
      </w:r>
      <w:proofErr w:type="spellStart"/>
      <w:r>
        <w:rPr>
          <w:rFonts w:ascii="Garamond" w:hAnsi="Garamond" w:cs="Garamond"/>
          <w:sz w:val="24"/>
          <w:szCs w:val="24"/>
        </w:rPr>
        <w:t>eqüitativa</w:t>
      </w:r>
      <w:proofErr w:type="spellEnd"/>
      <w:r>
        <w:rPr>
          <w:rFonts w:ascii="Garamond" w:hAnsi="Garamond" w:cs="Garamond"/>
          <w:sz w:val="24"/>
          <w:szCs w:val="24"/>
        </w:rPr>
        <w:t xml:space="preserve"> com o mesmo número de protocolados atribuídos a cada Procurador que estiver em exercício na data da distribuição.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1º Para a apuração da quantidade de protocolos distribuídos, em relação às prestações de contas anuais dos Municípios, referentes ao exercício de 2002 e </w:t>
      </w:r>
      <w:proofErr w:type="spellStart"/>
      <w:r>
        <w:rPr>
          <w:rFonts w:ascii="Garamond" w:hAnsi="Garamond" w:cs="Garamond"/>
          <w:sz w:val="24"/>
          <w:szCs w:val="24"/>
        </w:rPr>
        <w:t>subseqüentes</w:t>
      </w:r>
      <w:proofErr w:type="spellEnd"/>
      <w:r>
        <w:rPr>
          <w:rFonts w:ascii="Garamond" w:hAnsi="Garamond" w:cs="Garamond"/>
          <w:sz w:val="24"/>
          <w:szCs w:val="24"/>
        </w:rPr>
        <w:t xml:space="preserve">, </w:t>
      </w:r>
      <w:proofErr w:type="gramStart"/>
      <w:r>
        <w:rPr>
          <w:rFonts w:ascii="Garamond" w:hAnsi="Garamond" w:cs="Garamond"/>
          <w:sz w:val="24"/>
          <w:szCs w:val="24"/>
        </w:rPr>
        <w:t>será considerado</w:t>
      </w:r>
      <w:proofErr w:type="gramEnd"/>
      <w:r>
        <w:rPr>
          <w:rFonts w:ascii="Garamond" w:hAnsi="Garamond" w:cs="Garamond"/>
          <w:sz w:val="24"/>
          <w:szCs w:val="24"/>
        </w:rPr>
        <w:t xml:space="preserve"> um protocolo para cada entidade e/ou fundo que demandar a lavratura de parecer específico, em observância ao disposto no artigo 13, do Provimento nº 47/2002.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2º Visando à distribuição proporcional entre os Procuradores, utilizar-se-á os expedientes de aposentadoria, pensão, reforma, reserva remunerada e revisão de proventos provenientes da </w:t>
      </w:r>
      <w:proofErr w:type="spellStart"/>
      <w:r>
        <w:rPr>
          <w:rFonts w:ascii="Garamond" w:hAnsi="Garamond" w:cs="Garamond"/>
          <w:sz w:val="24"/>
          <w:szCs w:val="24"/>
        </w:rPr>
        <w:t>Paranáprevidência</w:t>
      </w:r>
      <w:proofErr w:type="spellEnd"/>
      <w:r>
        <w:rPr>
          <w:rFonts w:ascii="Garamond" w:hAnsi="Garamond" w:cs="Garamond"/>
          <w:sz w:val="24"/>
          <w:szCs w:val="24"/>
        </w:rPr>
        <w:t>, nos termos do § 3º deste artigo e do artigo 2º.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3º Os expedientes de admissão de pessoal, aposentadoria, pensão e revisão de proventos, oriundos do Município de Curitiba serão distribuídos aos Procuradores Laerzio Chiesorin Junior, </w:t>
      </w:r>
      <w:r>
        <w:rPr>
          <w:rFonts w:ascii="Garamond" w:hAnsi="Garamond" w:cs="Garamond"/>
          <w:sz w:val="24"/>
          <w:szCs w:val="24"/>
        </w:rPr>
        <w:lastRenderedPageBreak/>
        <w:t>Elizeu de Moraes Corrêa e Kátia Regina Puchaski, mantida a regra de equalização contida no parágrafo anterior.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4º Excetuados a prestação de contas anual, os atos de admissão de pessoal, os requerimentos de togados e os protocolos de licitação, os protocolos originários do Tribunal de Contas que não se relacionam aos entes municipais ou estaduais, e por outra forma não estejam vinculados às Regiões Operacionais e/ou Grupos Operacionais, serão distribuídos </w:t>
      </w:r>
      <w:proofErr w:type="spellStart"/>
      <w:r>
        <w:rPr>
          <w:rFonts w:ascii="Garamond" w:hAnsi="Garamond" w:cs="Garamond"/>
          <w:sz w:val="24"/>
          <w:szCs w:val="24"/>
        </w:rPr>
        <w:t>eqüitativamente</w:t>
      </w:r>
      <w:proofErr w:type="spellEnd"/>
      <w:r>
        <w:rPr>
          <w:rFonts w:ascii="Garamond" w:hAnsi="Garamond" w:cs="Garamond"/>
          <w:sz w:val="24"/>
          <w:szCs w:val="24"/>
        </w:rPr>
        <w:t xml:space="preserve"> entre os Procuradores em exercício.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5º Não serão computados para fim de </w:t>
      </w:r>
      <w:proofErr w:type="spellStart"/>
      <w:r>
        <w:rPr>
          <w:rFonts w:ascii="Garamond" w:hAnsi="Garamond" w:cs="Garamond"/>
          <w:sz w:val="24"/>
          <w:szCs w:val="24"/>
        </w:rPr>
        <w:t>eqüitatividade</w:t>
      </w:r>
      <w:proofErr w:type="spellEnd"/>
      <w:r>
        <w:rPr>
          <w:rFonts w:ascii="Garamond" w:hAnsi="Garamond" w:cs="Garamond"/>
          <w:sz w:val="24"/>
          <w:szCs w:val="24"/>
        </w:rPr>
        <w:t xml:space="preserve"> os protocolos que são retornos de diligência.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6º Ao Procurador-Geral substituto designado não se aplica a equalização regrada no parágrafo 2°, desde artigo, cuja distribuição se restringe à sua Região e Grupo Operacionais.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7º. Os protocolos em retorno para exame deste </w:t>
      </w:r>
      <w:proofErr w:type="spellStart"/>
      <w:proofErr w:type="gramStart"/>
      <w:r>
        <w:rPr>
          <w:rFonts w:ascii="Garamond" w:hAnsi="Garamond" w:cs="Garamond"/>
          <w:sz w:val="24"/>
          <w:szCs w:val="24"/>
        </w:rPr>
        <w:t>MPjTC</w:t>
      </w:r>
      <w:proofErr w:type="spellEnd"/>
      <w:proofErr w:type="gramEnd"/>
      <w:r>
        <w:rPr>
          <w:rFonts w:ascii="Garamond" w:hAnsi="Garamond" w:cs="Garamond"/>
          <w:sz w:val="24"/>
          <w:szCs w:val="24"/>
        </w:rPr>
        <w:t xml:space="preserve"> e nos quais houve a atuação de Procuradores-Gerais, que não foram avocados expressamente nem sejam competência privativa do Procurador-Geral, prevalece a regra da regionalização.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Artigo 5º</w:t>
      </w:r>
      <w:r>
        <w:rPr>
          <w:rFonts w:ascii="Garamond" w:hAnsi="Garamond" w:cs="Garamond"/>
          <w:sz w:val="24"/>
          <w:szCs w:val="24"/>
        </w:rPr>
        <w:t xml:space="preserve"> A distribuição dos protocolados de 2ª instância será feita de forma </w:t>
      </w:r>
      <w:proofErr w:type="spellStart"/>
      <w:r>
        <w:rPr>
          <w:rFonts w:ascii="Garamond" w:hAnsi="Garamond" w:cs="Garamond"/>
          <w:sz w:val="24"/>
          <w:szCs w:val="24"/>
        </w:rPr>
        <w:t>eqüitativa</w:t>
      </w:r>
      <w:proofErr w:type="spellEnd"/>
      <w:r>
        <w:rPr>
          <w:rFonts w:ascii="Garamond" w:hAnsi="Garamond" w:cs="Garamond"/>
          <w:sz w:val="24"/>
          <w:szCs w:val="24"/>
        </w:rPr>
        <w:t xml:space="preserve">, com o mesmo número de protocolados atribuídos a cada um dos Procuradores que estiverem em exercício na data da distribuição. 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1º Será considerada causa de impedimento </w:t>
      </w:r>
      <w:proofErr w:type="gramStart"/>
      <w:r>
        <w:rPr>
          <w:rFonts w:ascii="Garamond" w:hAnsi="Garamond" w:cs="Garamond"/>
          <w:sz w:val="24"/>
          <w:szCs w:val="24"/>
        </w:rPr>
        <w:t>a</w:t>
      </w:r>
      <w:proofErr w:type="gramEnd"/>
      <w:r>
        <w:rPr>
          <w:rFonts w:ascii="Garamond" w:hAnsi="Garamond" w:cs="Garamond"/>
          <w:sz w:val="24"/>
          <w:szCs w:val="24"/>
        </w:rPr>
        <w:t xml:space="preserve"> atuação em 1ª instância.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2º Na medida do possível, a distribuição observará a regionalização e os Grupos Operacionais a que se referem os artigos 1º e 3º.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Artigo 6º</w:t>
      </w:r>
      <w:r>
        <w:rPr>
          <w:rFonts w:ascii="Garamond" w:hAnsi="Garamond" w:cs="Garamond"/>
          <w:sz w:val="24"/>
          <w:szCs w:val="24"/>
        </w:rPr>
        <w:t xml:space="preserve"> A distribuição de protocolos aos Gabinetes dos Procuradores será realizada pela Secretaria do Ministério Público todas as quartas-feiras, após </w:t>
      </w:r>
      <w:proofErr w:type="gramStart"/>
      <w:r>
        <w:rPr>
          <w:rFonts w:ascii="Garamond" w:hAnsi="Garamond" w:cs="Garamond"/>
          <w:sz w:val="24"/>
          <w:szCs w:val="24"/>
        </w:rPr>
        <w:t>às</w:t>
      </w:r>
      <w:proofErr w:type="gramEnd"/>
      <w:r>
        <w:rPr>
          <w:rFonts w:ascii="Garamond" w:hAnsi="Garamond" w:cs="Garamond"/>
          <w:sz w:val="24"/>
          <w:szCs w:val="24"/>
        </w:rPr>
        <w:t xml:space="preserve"> quatorze horas, considerando-se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os</w:t>
      </w:r>
      <w:proofErr w:type="gramEnd"/>
      <w:r>
        <w:rPr>
          <w:rFonts w:ascii="Garamond" w:hAnsi="Garamond" w:cs="Garamond"/>
          <w:sz w:val="24"/>
          <w:szCs w:val="24"/>
        </w:rPr>
        <w:t xml:space="preserve"> feitos recebidos até as doze horas do dia em que se realizar a distribuição.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1º A distribuição de protocolos novos será realizada de forma </w:t>
      </w:r>
      <w:proofErr w:type="spellStart"/>
      <w:r>
        <w:rPr>
          <w:rFonts w:ascii="Garamond" w:hAnsi="Garamond" w:cs="Garamond"/>
          <w:sz w:val="24"/>
          <w:szCs w:val="24"/>
        </w:rPr>
        <w:t>eqüitativa</w:t>
      </w:r>
      <w:proofErr w:type="spellEnd"/>
      <w:r>
        <w:rPr>
          <w:rFonts w:ascii="Garamond" w:hAnsi="Garamond" w:cs="Garamond"/>
          <w:sz w:val="24"/>
          <w:szCs w:val="24"/>
        </w:rPr>
        <w:t xml:space="preserve"> entre todos os Procuradores em atividade no dia respectivo.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2º Realizada a primeira distribuição, os feitos que retornarem de diligências, internas ou externas, serão </w:t>
      </w:r>
      <w:proofErr w:type="gramStart"/>
      <w:r>
        <w:rPr>
          <w:rFonts w:ascii="Garamond" w:hAnsi="Garamond" w:cs="Garamond"/>
          <w:sz w:val="24"/>
          <w:szCs w:val="24"/>
        </w:rPr>
        <w:t>encaminhados</w:t>
      </w:r>
      <w:proofErr w:type="gramEnd"/>
      <w:r>
        <w:rPr>
          <w:rFonts w:ascii="Garamond" w:hAnsi="Garamond" w:cs="Garamond"/>
          <w:sz w:val="24"/>
          <w:szCs w:val="24"/>
        </w:rPr>
        <w:t xml:space="preserve"> aos Gabinetes dos Procuradores todas as sextas-feiras, ou no primeiro dia útil imediatamente </w:t>
      </w:r>
      <w:proofErr w:type="spellStart"/>
      <w:r>
        <w:rPr>
          <w:rFonts w:ascii="Garamond" w:hAnsi="Garamond" w:cs="Garamond"/>
          <w:sz w:val="24"/>
          <w:szCs w:val="24"/>
        </w:rPr>
        <w:t>subseqüente</w:t>
      </w:r>
      <w:proofErr w:type="spellEnd"/>
      <w:r>
        <w:rPr>
          <w:rFonts w:ascii="Garamond" w:hAnsi="Garamond" w:cs="Garamond"/>
          <w:sz w:val="24"/>
          <w:szCs w:val="24"/>
        </w:rPr>
        <w:t>, em caso de feriado ou recesso do Tribunal.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3º Incumbe à Secretaria do Ministério Público certificar nos autos os afastamentos legais dos Procuradores, os quais, na forma do parágrafo único do artigo 62 da Lei Complementar nº 113/2005, ensejam interrupção do prazo de manifestação, bem como os que impliquem em sobrestamento da distribuição, consideradas as competências referidas nos artigos 1º e 3º, desta Instrução de Serviços.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Artigo 7º</w:t>
      </w:r>
      <w:r>
        <w:rPr>
          <w:rFonts w:ascii="Garamond" w:hAnsi="Garamond" w:cs="Garamond"/>
          <w:sz w:val="24"/>
          <w:szCs w:val="24"/>
        </w:rPr>
        <w:t xml:space="preserve"> Exceto no caso de ter havido substituição em razão de férias, licenças e outros afastamentos legais, os procedimentos que já tenham tramitado no Ministério Público de Contas ficarão vinculados aos respectivos Procuradores.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Parágrafo Único. Em caso de se constatar a atuação de mais de um Procurador, no mesmo feito ou em feitos conexos, os autos serão redistribuídos àquele que primeiro houver neles oficiado.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lastRenderedPageBreak/>
        <w:t>Artigo 8º</w:t>
      </w:r>
      <w:r>
        <w:rPr>
          <w:rFonts w:ascii="Garamond" w:hAnsi="Garamond" w:cs="Garamond"/>
          <w:sz w:val="24"/>
          <w:szCs w:val="24"/>
        </w:rPr>
        <w:t xml:space="preserve"> Os seguintes protocolados urgentes devem tramitar neste Ministério Público,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mesmo no período de férias dos Procuradores: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a) Alertas;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b) Certidão Liberatória;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c) Licitações de interesse do Tribunal de Contas;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d) Medidas cautelares e liminares;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e) Prejulgados;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f) Uniformização de Jurisprudência;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g) Representação da Lei 8666/93.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1º Em casos excepcionais, o Procurador-Geral poderá determinar, motivadamente, 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tramitação urgente de outros protocolos.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2º Os protocolos cuja distribuição independe da região e do grupo operacional, serão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distribuídos equitativamente entre os Procuradores em exercício, atendida a espécie de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protocolo, compensando-se com as distribuições anteriores para fins de equalização.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3º A ordem dos Procuradores para fins do parágrafo anterior será a de </w:t>
      </w:r>
      <w:proofErr w:type="spellStart"/>
      <w:r>
        <w:rPr>
          <w:rFonts w:ascii="Garamond" w:hAnsi="Garamond" w:cs="Garamond"/>
          <w:sz w:val="24"/>
          <w:szCs w:val="24"/>
        </w:rPr>
        <w:t>antigüidade</w:t>
      </w:r>
      <w:proofErr w:type="spellEnd"/>
      <w:r>
        <w:rPr>
          <w:rFonts w:ascii="Garamond" w:hAnsi="Garamond" w:cs="Garamond"/>
          <w:sz w:val="24"/>
          <w:szCs w:val="24"/>
        </w:rPr>
        <w:t xml:space="preserve"> na forma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contido no Anexo I, da Instrução de Serviço n° 02/2006.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9º</w:t>
      </w:r>
      <w:r>
        <w:rPr>
          <w:rFonts w:ascii="Garamond" w:hAnsi="Garamond" w:cs="Garamond"/>
          <w:sz w:val="24"/>
          <w:szCs w:val="24"/>
        </w:rPr>
        <w:t xml:space="preserve"> Em casos de pedido de nova audiência pelo Ministério Público, esta será atendida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pelo Procurador que a solicitou em sessão ou, excepcionalmente, se assim entender aquele que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atuou no feito originariamente a que se refere o protocolo.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b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10º</w:t>
      </w:r>
      <w:r>
        <w:rPr>
          <w:rFonts w:ascii="Garamond" w:hAnsi="Garamond" w:cs="Garamond"/>
          <w:sz w:val="24"/>
          <w:szCs w:val="24"/>
        </w:rPr>
        <w:t xml:space="preserve"> Na forma do parágrafo único do artigo 62, da Lei Complementar nº 113/2005, nas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hipóteses de férias e outros afastamentos legais interrompe-se a contagem dos prazos, pelo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mesmo período do afastamento, ficando os protocolos não urgentes sobrestados no gabinete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 Procurador até seu retorno.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1º Os protocolos que vierem para ciência de decisão pelos Procuradores em férias, serão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encaminhados para o Procurador-Geral, no período do afastamento.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2º. O Procurador-Geral receberá para ciência todos os protocolos que tenham entrado na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Secretaria deste Ministério Público nos quatro últimos dias corridos anteriores ao retorno do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Procurador.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11º</w:t>
      </w:r>
      <w:r>
        <w:rPr>
          <w:rFonts w:ascii="Garamond" w:hAnsi="Garamond" w:cs="Garamond"/>
          <w:sz w:val="24"/>
          <w:szCs w:val="24"/>
        </w:rPr>
        <w:t xml:space="preserve"> Eventual distribuição antecipada, na hipótese de solicitação expressa do Procurador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 estiver no gozo de férias, será levada em conta quando do seu retorno, para fins do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disposto no artigo 4º.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12º</w:t>
      </w:r>
      <w:r>
        <w:rPr>
          <w:rFonts w:ascii="Garamond" w:hAnsi="Garamond" w:cs="Garamond"/>
          <w:sz w:val="24"/>
          <w:szCs w:val="24"/>
        </w:rPr>
        <w:t xml:space="preserve"> Na hipótese de licença saúde cujo afastamento do Procurador for superior a 30 dias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os protocolos já distribuídos, bem como os por distribuir e os retornos de diligência, serão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distribuídos entre os demais Procuradores, em intervalos regulares, de forma a não prejudicar 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celeridade na tramitação dos expedientes respectivos.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Parágrafo único. Não haverá vinculação dos demais Procuradores aos protocolos que lhes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forem redistribuídos na forma do caput deste artigo e, cessada a licença, o eventual retorno dos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autos </w:t>
      </w:r>
      <w:r>
        <w:rPr>
          <w:rFonts w:ascii="Garamond" w:hAnsi="Garamond" w:cs="Garamond"/>
          <w:sz w:val="24"/>
          <w:szCs w:val="24"/>
        </w:rPr>
        <w:lastRenderedPageBreak/>
        <w:t>em razão de diligência interna ou externa, os autos serão distribuídos observando-se 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disposto no artigo 6º, §§ 1º e 2º desta Instrução de Serviço.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b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13º</w:t>
      </w:r>
      <w:r>
        <w:rPr>
          <w:rFonts w:ascii="Garamond" w:hAnsi="Garamond" w:cs="Garamond"/>
          <w:sz w:val="24"/>
          <w:szCs w:val="24"/>
        </w:rPr>
        <w:t xml:space="preserve"> A licença especial não poderá ser usufruída enquanto o membro do Ministério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Público não oficiar nos procedimentos que haja recebido com vista, cujos prazos terminem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antes do início da mesma; admitindo-se a protocolização do requerimento quando o estoque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de protocolos distribuídos for inferior a cento e </w:t>
      </w:r>
      <w:proofErr w:type="spellStart"/>
      <w:r>
        <w:rPr>
          <w:rFonts w:ascii="Garamond" w:hAnsi="Garamond" w:cs="Garamond"/>
          <w:sz w:val="24"/>
          <w:szCs w:val="24"/>
        </w:rPr>
        <w:t>cinqüenta</w:t>
      </w:r>
      <w:proofErr w:type="spellEnd"/>
      <w:r>
        <w:rPr>
          <w:rFonts w:ascii="Garamond" w:hAnsi="Garamond" w:cs="Garamond"/>
          <w:sz w:val="24"/>
          <w:szCs w:val="24"/>
        </w:rPr>
        <w:t>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1º Sendo deferida a licença pela Presidência, suspender-se-á a distribuição nos 10 dias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imediatamente anteriores à data marcada para o início da fruição.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2º No período de fruição da licença os feitos serão distribuídos equitativamente entre os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demais Procuradores, inclusive os retornos de diligência, que serão considerados como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protocolos novos, não se estabelecendo a prevenção nestes processos, os quais ficarão</w:t>
      </w:r>
      <w:r w:rsidRPr="009E030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vinculados ao Procurador responsável pela região ou grupo operacional, quando do seu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retorno à atividade.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3º Ao afastar-se das funções, o Procurador deverá comunicar ao Procurador-Geral que não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reteve, nem devolveu protocolos, com prazo para oficiar esgotado, sem a prática do ato que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lhe competia.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b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14º</w:t>
      </w:r>
      <w:r>
        <w:rPr>
          <w:rFonts w:ascii="Garamond" w:hAnsi="Garamond" w:cs="Garamond"/>
          <w:sz w:val="24"/>
          <w:szCs w:val="24"/>
        </w:rPr>
        <w:t xml:space="preserve"> Com vistas à celeridade da instrução dos feitos, e a observância aos princípios da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economicidade e eficiência, </w:t>
      </w:r>
      <w:proofErr w:type="gramStart"/>
      <w:r>
        <w:rPr>
          <w:rFonts w:ascii="Garamond" w:hAnsi="Garamond" w:cs="Garamond"/>
          <w:sz w:val="24"/>
          <w:szCs w:val="24"/>
        </w:rPr>
        <w:t>delega-se</w:t>
      </w:r>
      <w:proofErr w:type="gramEnd"/>
      <w:r>
        <w:rPr>
          <w:rFonts w:ascii="Garamond" w:hAnsi="Garamond" w:cs="Garamond"/>
          <w:sz w:val="24"/>
          <w:szCs w:val="24"/>
        </w:rPr>
        <w:t xml:space="preserve"> aos Oficiais de Controle, Assessores Administrativos,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Assessores Jurídicos e Assessores de Gabinete da Procuradoria-Geral, a competência para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exarar e subscrever os despachos de mero expediente, concernentes tão-só ao impulso oficial,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sem emissão de mérito.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1º Compete à Secretaria deste Ministério Público efetuar a juntada de pareceres,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requerimentos ou despachos, exarados pelos Procuradores, procedendo-se à respectiva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anotação no sistema uniformizado, encaminhando os protocolos às unidades administrativas</w:t>
      </w:r>
      <w:r w:rsidR="00764616">
        <w:rPr>
          <w:rFonts w:ascii="Garamond" w:hAnsi="Garamond" w:cs="Garamond"/>
          <w:sz w:val="24"/>
          <w:szCs w:val="24"/>
        </w:rPr>
        <w:t xml:space="preserve"> próprias, </w:t>
      </w:r>
      <w:r>
        <w:rPr>
          <w:rFonts w:ascii="Garamond" w:hAnsi="Garamond" w:cs="Garamond"/>
          <w:sz w:val="24"/>
          <w:szCs w:val="24"/>
        </w:rPr>
        <w:t>independentemente do visto do Procurador-Geral.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2º Na hipótese do Procurador ter lançado cota nos autos, o conteúdo da mesma, ainda que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forma sintética, será anotado no sistema uniformizado.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3° A interposição de recursos pelos Procuradores receberá despacho administrativo de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encaminhamento pelo Procurador-Geral.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64616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15º</w:t>
      </w:r>
      <w:r>
        <w:rPr>
          <w:rFonts w:ascii="Garamond" w:hAnsi="Garamond" w:cs="Garamond"/>
          <w:sz w:val="24"/>
          <w:szCs w:val="24"/>
        </w:rPr>
        <w:t xml:space="preserve"> Nas licenças, férias, ou impedimentos do Procurador-Geral designado, 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substituição se dará pelo mais antigo em exercício na Procuradoria, observada a </w:t>
      </w:r>
      <w:r w:rsidR="00764616">
        <w:rPr>
          <w:rFonts w:ascii="Garamond" w:hAnsi="Garamond" w:cs="Garamond"/>
          <w:sz w:val="24"/>
          <w:szCs w:val="24"/>
        </w:rPr>
        <w:t xml:space="preserve">sequência </w:t>
      </w:r>
      <w:r>
        <w:rPr>
          <w:rFonts w:ascii="Garamond" w:hAnsi="Garamond" w:cs="Garamond"/>
          <w:sz w:val="24"/>
          <w:szCs w:val="24"/>
        </w:rPr>
        <w:t>referida no § 2º artigo 3º desta Instrução de Serviço.</w:t>
      </w:r>
      <w:r w:rsidR="00764616">
        <w:rPr>
          <w:rFonts w:ascii="Garamond" w:hAnsi="Garamond" w:cs="Garamond"/>
          <w:sz w:val="24"/>
          <w:szCs w:val="24"/>
        </w:rPr>
        <w:t xml:space="preserve"> 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Parágrafo único. Ao Procurador que estiver no exercício do cargo de Procurador- Geral não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serão distribuídos protocolos afetos à respectiva região ou grupo operacional, salvo os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protocolos urgentes, assim definidos no ato normativo próprio e as prestações de contas a que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 refere o caput do artigo 57, da Lei Complementar nº 101/2000.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16º</w:t>
      </w:r>
      <w:r>
        <w:rPr>
          <w:rFonts w:ascii="Garamond" w:hAnsi="Garamond" w:cs="Garamond"/>
          <w:sz w:val="24"/>
          <w:szCs w:val="24"/>
        </w:rPr>
        <w:t xml:space="preserve"> A representação da Procuradoria Geral nas sessões ordinárias e extraordinários do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Tribunal Pleno será realizada pelo Procurador-Geral, e nas suas ausências ou impedimentos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pelo Procurador designado na forma do artigo13 ou pelo Procurador mais antigo em exercício;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 nas sessões das Câmaras a representação se dará pelos demais Procuradores, em sistema de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rodízio, pelo período de cinco sessõe</w:t>
      </w:r>
      <w:r w:rsidR="00764616">
        <w:rPr>
          <w:rFonts w:ascii="Garamond" w:hAnsi="Garamond" w:cs="Garamond"/>
          <w:sz w:val="24"/>
          <w:szCs w:val="24"/>
        </w:rPr>
        <w:t>s cada, observada a antiguidade: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I – participarão da Primeira Câmara os Procuradores Laerzio Chiesorin Junior; Célia Rosana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Moro Kansou, Valéria Borba; Gabriel Guy Léger e Flávio de Azambuja Berti.</w:t>
      </w:r>
    </w:p>
    <w:p w:rsidR="00764616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II – participarão da Segunda Câmara os Procuradores Elizeu de Moraes Corrêa; Eliza Ana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Zenedin Kondo; Kátia Regina Puchaski; </w:t>
      </w:r>
      <w:proofErr w:type="spellStart"/>
      <w:r>
        <w:rPr>
          <w:rFonts w:ascii="Garamond" w:hAnsi="Garamond" w:cs="Garamond"/>
          <w:sz w:val="24"/>
          <w:szCs w:val="24"/>
        </w:rPr>
        <w:t>Michal</w:t>
      </w:r>
      <w:proofErr w:type="spellEnd"/>
      <w:r>
        <w:rPr>
          <w:rFonts w:ascii="Garamond" w:hAnsi="Garamond" w:cs="Garamond"/>
          <w:sz w:val="24"/>
          <w:szCs w:val="24"/>
        </w:rPr>
        <w:t xml:space="preserve"> Richard Reiner e Juliana Sternadt Reiner.</w:t>
      </w:r>
      <w:r w:rsidR="00764616">
        <w:rPr>
          <w:rFonts w:ascii="Garamond" w:hAnsi="Garamond" w:cs="Garamond"/>
          <w:sz w:val="24"/>
          <w:szCs w:val="24"/>
        </w:rPr>
        <w:t xml:space="preserve"> 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1º Na impossibilidade do Procurador designado se fazer presente na sessão o mesmo deverá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comunicar o fato ao Procurador seguinte ou à Procuradoria Geral com antecedência de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quarenta e oito horas.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2º Na hipótese de férias ou outros afastamentos legais, observar-se-á a </w:t>
      </w:r>
      <w:proofErr w:type="spellStart"/>
      <w:r>
        <w:rPr>
          <w:rFonts w:ascii="Garamond" w:hAnsi="Garamond" w:cs="Garamond"/>
          <w:sz w:val="24"/>
          <w:szCs w:val="24"/>
        </w:rPr>
        <w:t>seqüência</w:t>
      </w:r>
      <w:proofErr w:type="spellEnd"/>
      <w:r>
        <w:rPr>
          <w:rFonts w:ascii="Garamond" w:hAnsi="Garamond" w:cs="Garamond"/>
          <w:sz w:val="24"/>
          <w:szCs w:val="24"/>
        </w:rPr>
        <w:t xml:space="preserve"> de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antiguidade, conforme Anexo I da Instrução nº. 03/2006, até o retorno do Procurador, que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assumirá o acompanhamento das sessões remanescentes assim que concluído o período da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representação em curso.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3º Eventual substituição acordada entre os Procuradores não implicará na alteração da tabela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acima mencionada.</w:t>
      </w:r>
      <w:r w:rsidRPr="009E030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§ 4º A critério do Procurador-Geral o mesmo poderá se fazer presente nas sessões das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Câmaras, o que não implicará em alteração da </w:t>
      </w:r>
      <w:proofErr w:type="spellStart"/>
      <w:r>
        <w:rPr>
          <w:rFonts w:ascii="Garamond" w:hAnsi="Garamond" w:cs="Garamond"/>
          <w:sz w:val="24"/>
          <w:szCs w:val="24"/>
        </w:rPr>
        <w:t>seqüência</w:t>
      </w:r>
      <w:proofErr w:type="spellEnd"/>
      <w:r>
        <w:rPr>
          <w:rFonts w:ascii="Garamond" w:hAnsi="Garamond" w:cs="Garamond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sz w:val="24"/>
          <w:szCs w:val="24"/>
        </w:rPr>
        <w:t>supra referida</w:t>
      </w:r>
      <w:proofErr w:type="gramEnd"/>
      <w:r>
        <w:rPr>
          <w:rFonts w:ascii="Garamond" w:hAnsi="Garamond" w:cs="Garamond"/>
          <w:sz w:val="24"/>
          <w:szCs w:val="24"/>
        </w:rPr>
        <w:t>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17º</w:t>
      </w:r>
      <w:r>
        <w:rPr>
          <w:rFonts w:ascii="Garamond" w:hAnsi="Garamond" w:cs="Garamond"/>
          <w:sz w:val="24"/>
          <w:szCs w:val="24"/>
        </w:rPr>
        <w:t xml:space="preserve"> Revogam-se as disposições contidas nos Atos Normativos nº. 001/03 e nº.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002/004; do Ato de Designação nº. 001/003 e nº. 001/04; e do Ato Administrativo nº. 01/04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 da Instrução de Serviços nº. 04/2006 PGMP que estejam em desconformidade com a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presente Instrução de Serviço.</w:t>
      </w:r>
    </w:p>
    <w:p w:rsidR="00764616" w:rsidRDefault="00764616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764616">
        <w:rPr>
          <w:rFonts w:ascii="Garamond" w:hAnsi="Garamond" w:cs="Garamond"/>
          <w:b/>
          <w:sz w:val="24"/>
          <w:szCs w:val="24"/>
        </w:rPr>
        <w:t>Artigo 18º</w:t>
      </w:r>
      <w:r>
        <w:rPr>
          <w:rFonts w:ascii="Garamond" w:hAnsi="Garamond" w:cs="Garamond"/>
          <w:sz w:val="24"/>
          <w:szCs w:val="24"/>
        </w:rPr>
        <w:t xml:space="preserve"> Esta Instrução de Serviço entra em vigor na data de sua publicação, convalidando</w:t>
      </w:r>
      <w:r w:rsidR="00764616">
        <w:rPr>
          <w:rFonts w:ascii="Garamond" w:hAnsi="Garamond" w:cs="Garamond"/>
          <w:sz w:val="24"/>
          <w:szCs w:val="24"/>
        </w:rPr>
        <w:t>-</w:t>
      </w:r>
      <w:r>
        <w:rPr>
          <w:rFonts w:ascii="Garamond" w:hAnsi="Garamond" w:cs="Garamond"/>
          <w:sz w:val="24"/>
          <w:szCs w:val="24"/>
        </w:rPr>
        <w:t>se</w:t>
      </w:r>
      <w:r w:rsidR="0076461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os atos de distribuição realizados a partir de sua edição.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b/>
          <w:sz w:val="24"/>
          <w:szCs w:val="24"/>
        </w:rPr>
      </w:pP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b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DISPOSIÇÕES TRANSITÓRIAS: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b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  <w:r w:rsidRPr="009E0305">
        <w:rPr>
          <w:rFonts w:ascii="Garamond" w:hAnsi="Garamond" w:cs="Garamond"/>
          <w:b/>
          <w:sz w:val="24"/>
          <w:szCs w:val="24"/>
        </w:rPr>
        <w:t>Artigo 1º</w:t>
      </w:r>
      <w:r>
        <w:rPr>
          <w:rFonts w:ascii="Garamond" w:hAnsi="Garamond" w:cs="Garamond"/>
          <w:sz w:val="24"/>
          <w:szCs w:val="24"/>
        </w:rPr>
        <w:t xml:space="preserve"> Permanece estabelecido, segundo a Instrução de Serviço nº02/2006, que os Grupos Operacionais serão mantidos até 1º de junho de 2010.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Curitiba, 10 de outubro de 2007.</w:t>
      </w: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rPr>
          <w:rFonts w:ascii="Garamond" w:hAnsi="Garamond" w:cs="Garamond"/>
          <w:sz w:val="24"/>
          <w:szCs w:val="24"/>
        </w:rPr>
      </w:pPr>
    </w:p>
    <w:p w:rsid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Angela Cassia Costaldello</w:t>
      </w:r>
    </w:p>
    <w:p w:rsidR="009E0305" w:rsidRPr="009E0305" w:rsidRDefault="009E0305" w:rsidP="00764616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Procuradora-Geral</w:t>
      </w:r>
    </w:p>
    <w:sectPr w:rsidR="009E0305" w:rsidRPr="009E0305" w:rsidSect="00436E00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05" w:rsidRDefault="009E0305" w:rsidP="00436E00">
      <w:pPr>
        <w:spacing w:after="0" w:line="240" w:lineRule="auto"/>
      </w:pPr>
      <w:r>
        <w:separator/>
      </w:r>
    </w:p>
  </w:endnote>
  <w:endnote w:type="continuationSeparator" w:id="0">
    <w:p w:rsidR="009E0305" w:rsidRDefault="009E0305" w:rsidP="0043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05" w:rsidRDefault="009E0305" w:rsidP="00436E00">
      <w:pPr>
        <w:spacing w:after="0" w:line="240" w:lineRule="auto"/>
      </w:pPr>
      <w:r>
        <w:separator/>
      </w:r>
    </w:p>
  </w:footnote>
  <w:footnote w:type="continuationSeparator" w:id="0">
    <w:p w:rsidR="009E0305" w:rsidRDefault="009E0305" w:rsidP="0043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05" w:rsidRPr="00436E00" w:rsidRDefault="009E0305" w:rsidP="00436E00">
    <w:pPr>
      <w:pStyle w:val="Cabealho"/>
      <w:jc w:val="center"/>
      <w:rPr>
        <w:rFonts w:ascii="Times New Roman" w:hAnsi="Times New Roman" w:cs="Times New Roman"/>
        <w:b/>
        <w:sz w:val="30"/>
        <w:szCs w:val="30"/>
      </w:rPr>
    </w:pPr>
    <w:r w:rsidRPr="00436E00">
      <w:rPr>
        <w:rFonts w:ascii="Times New Roman" w:hAnsi="Times New Roman" w:cs="Times New Roman"/>
        <w:b/>
        <w:sz w:val="30"/>
        <w:szCs w:val="30"/>
      </w:rPr>
      <w:t>TRIBUNAL DE CONTAS DO ESTADO DO PARANÁ</w:t>
    </w:r>
  </w:p>
  <w:p w:rsidR="009E0305" w:rsidRDefault="009E0305" w:rsidP="00436E00">
    <w:pPr>
      <w:pStyle w:val="Cabealho"/>
      <w:jc w:val="center"/>
    </w:pPr>
    <w:r w:rsidRPr="00436E00">
      <w:rPr>
        <w:rFonts w:ascii="Times New Roman" w:hAnsi="Times New Roman" w:cs="Times New Roman"/>
        <w:b/>
        <w:sz w:val="30"/>
        <w:szCs w:val="30"/>
      </w:rPr>
      <w:t>COORDENADORIA DE JUSRISPRUDÊNCIA E BIBLIOTECA</w:t>
    </w:r>
  </w:p>
  <w:p w:rsidR="009E0305" w:rsidRDefault="009E03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00"/>
    <w:rsid w:val="00417FFA"/>
    <w:rsid w:val="00436E00"/>
    <w:rsid w:val="005D3308"/>
    <w:rsid w:val="006A4FFE"/>
    <w:rsid w:val="00764616"/>
    <w:rsid w:val="009E0305"/>
    <w:rsid w:val="00F6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E00"/>
  </w:style>
  <w:style w:type="paragraph" w:styleId="Rodap">
    <w:name w:val="footer"/>
    <w:basedOn w:val="Normal"/>
    <w:link w:val="RodapChar"/>
    <w:uiPriority w:val="99"/>
    <w:unhideWhenUsed/>
    <w:rsid w:val="00436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E00"/>
  </w:style>
  <w:style w:type="paragraph" w:styleId="Textodebalo">
    <w:name w:val="Balloon Text"/>
    <w:basedOn w:val="Normal"/>
    <w:link w:val="TextodebaloChar"/>
    <w:uiPriority w:val="99"/>
    <w:semiHidden/>
    <w:unhideWhenUsed/>
    <w:rsid w:val="0043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E00"/>
  </w:style>
  <w:style w:type="paragraph" w:styleId="Rodap">
    <w:name w:val="footer"/>
    <w:basedOn w:val="Normal"/>
    <w:link w:val="RodapChar"/>
    <w:uiPriority w:val="99"/>
    <w:unhideWhenUsed/>
    <w:rsid w:val="00436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E00"/>
  </w:style>
  <w:style w:type="paragraph" w:styleId="Textodebalo">
    <w:name w:val="Balloon Text"/>
    <w:basedOn w:val="Normal"/>
    <w:link w:val="TextodebaloChar"/>
    <w:uiPriority w:val="99"/>
    <w:semiHidden/>
    <w:unhideWhenUsed/>
    <w:rsid w:val="0043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2398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Suiane Volpato de Oliveira</dc:creator>
  <cp:lastModifiedBy>Suiane Volpato de Oliveira</cp:lastModifiedBy>
  <cp:revision>3</cp:revision>
  <cp:lastPrinted>2012-09-06T16:53:00Z</cp:lastPrinted>
  <dcterms:created xsi:type="dcterms:W3CDTF">2012-09-06T16:53:00Z</dcterms:created>
  <dcterms:modified xsi:type="dcterms:W3CDTF">2012-09-06T16:54:00Z</dcterms:modified>
</cp:coreProperties>
</file>