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0FFB" w14:textId="688DB40C" w:rsidR="005E0F82" w:rsidRPr="008855B2" w:rsidRDefault="005E0F82" w:rsidP="005E0F82">
      <w:pPr>
        <w:jc w:val="center"/>
        <w:rPr>
          <w:rFonts w:ascii="Arial" w:hAnsi="Arial"/>
          <w:b/>
          <w:sz w:val="28"/>
          <w:szCs w:val="36"/>
        </w:rPr>
      </w:pPr>
      <w:r w:rsidRPr="008855B2">
        <w:rPr>
          <w:rFonts w:ascii="Arial" w:hAnsi="Arial"/>
          <w:b/>
          <w:sz w:val="28"/>
          <w:szCs w:val="36"/>
        </w:rPr>
        <w:t xml:space="preserve">RESOLUÇÃO Nº </w:t>
      </w:r>
      <w:r w:rsidR="00B96D5A" w:rsidRPr="008855B2">
        <w:rPr>
          <w:rFonts w:ascii="Arial" w:hAnsi="Arial"/>
          <w:b/>
          <w:sz w:val="28"/>
          <w:szCs w:val="36"/>
        </w:rPr>
        <w:t>6</w:t>
      </w:r>
      <w:r w:rsidRPr="008855B2">
        <w:rPr>
          <w:rFonts w:ascii="Arial" w:hAnsi="Arial"/>
          <w:b/>
          <w:sz w:val="28"/>
          <w:szCs w:val="36"/>
        </w:rPr>
        <w:t>/2006</w:t>
      </w:r>
      <w:r w:rsidR="000B28A0">
        <w:rPr>
          <w:rStyle w:val="Refdenotaderodap"/>
          <w:rFonts w:ascii="Arial" w:hAnsi="Arial"/>
          <w:b/>
          <w:sz w:val="28"/>
          <w:szCs w:val="36"/>
        </w:rPr>
        <w:footnoteReference w:id="1"/>
      </w:r>
    </w:p>
    <w:p w14:paraId="3532A252" w14:textId="553BB2B5" w:rsidR="00802F36" w:rsidRPr="007B0F33" w:rsidRDefault="00B96D5A" w:rsidP="007B0F33">
      <w:pPr>
        <w:tabs>
          <w:tab w:val="left" w:pos="4536"/>
        </w:tabs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B0F33">
        <w:rPr>
          <w:rFonts w:ascii="Arial" w:hAnsi="Arial" w:cs="Arial"/>
          <w:i/>
          <w:sz w:val="22"/>
          <w:szCs w:val="22"/>
        </w:rPr>
        <w:t>Estabelece normas para o funcionamento da Ouvidoria e dá outras providências.</w:t>
      </w:r>
    </w:p>
    <w:p w14:paraId="31164F35" w14:textId="161B3C79" w:rsidR="00B96D5A" w:rsidRPr="00C544BC" w:rsidRDefault="005E0F82" w:rsidP="00C544BC">
      <w:pPr>
        <w:pStyle w:val="Primeirorecuodecorpodetexto"/>
        <w:spacing w:before="120" w:after="0"/>
        <w:ind w:firstLine="1134"/>
        <w:jc w:val="both"/>
        <w:rPr>
          <w:rFonts w:ascii="Arial" w:hAnsi="Arial" w:cs="Arial"/>
        </w:rPr>
      </w:pPr>
      <w:r>
        <w:tab/>
      </w:r>
      <w:r w:rsidR="00B96D5A" w:rsidRPr="00C544BC">
        <w:rPr>
          <w:rFonts w:ascii="Arial" w:hAnsi="Arial" w:cs="Arial"/>
          <w:b/>
          <w:bCs/>
        </w:rPr>
        <w:t xml:space="preserve">Art. 1° </w:t>
      </w:r>
      <w:r w:rsidR="00B96D5A" w:rsidRPr="00C544BC">
        <w:rPr>
          <w:rFonts w:ascii="Arial" w:hAnsi="Arial" w:cs="Arial"/>
        </w:rPr>
        <w:t>A Ouvidoria tem por atribuição receber reclamações, críticas e sugestões de aprimoramento sobre os serviços prestados por esta Corte e atos de agentes públicos jurisdicionados ou serviços por eles prestados, bem como apurar sua veracidade, mediante informação aos interessados.  Parágrafo único. Vincula-se ao Corregedor Geral nos termos do art. 22 do Regimento Interno do Tribunal de Contas do Estado.</w:t>
      </w:r>
    </w:p>
    <w:p w14:paraId="3FE9704E" w14:textId="4776E4A3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2° </w:t>
      </w:r>
      <w:r w:rsidRPr="00C544BC">
        <w:rPr>
          <w:rFonts w:ascii="Arial" w:hAnsi="Arial" w:cs="Arial"/>
        </w:rPr>
        <w:t>Compete à Ouvidoria:</w:t>
      </w:r>
    </w:p>
    <w:p w14:paraId="7986482F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 - promover a co-participação da sociedade na missão de controlar a administração pública, garantindo uma maior transparência e visibilidade das ações do Tribunal de Contas do Estado do Paraná;</w:t>
      </w:r>
    </w:p>
    <w:p w14:paraId="2F8C29D6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 - receber, registrar, analisar e encaminhar aos segmentos competentes sugestões de aprimoramento, críticas e reclamações sobre os serviços prestados pelo Tribunal de Contas;</w:t>
      </w:r>
    </w:p>
    <w:p w14:paraId="2F2DCCD6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III - receber, registrar, analisar e encaminhar aos segmentos competentes do Tribunal informações relevantes sobre atos administrativos e de gestão praticados no âmbito da administração direta e indireta do Estado e dos Municípios, de forma a subsidiar os procedimentos de controle externo, sem prejuízo da garantia constitucional de formulação de processo regular de denúncia junto ao Tribunal;</w:t>
      </w:r>
    </w:p>
    <w:p w14:paraId="0B17FC45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 - informar ao cidadão e às entidades interessadas sobre os resultados das demandas encaminhadas ao Tribunal de Contas, ressaltando as providências a serem adotadas pelas unidades solucionadoras, permitindo o fortalecimento da imagem institucional, a aproximação do órgão com a sociedade e o exercício do controle social;</w:t>
      </w:r>
    </w:p>
    <w:p w14:paraId="3235A455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 - divulgar, junto à sociedade, a missão da Ouvidoria, seus serviços e formas de acesso como instrumento de controle social;</w:t>
      </w:r>
    </w:p>
    <w:p w14:paraId="4EEE0C5F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 - manter instalações físicas e meios de comunicação eletrônica, postal e telefônica para recebimento das demandas do cidadão;</w:t>
      </w:r>
    </w:p>
    <w:p w14:paraId="1D5D7AE5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 xml:space="preserve">VII - manter controle, acompanhar e requisitar da unidade solucionadora do Tribunal informações sobre averiguações e providências tomadas no que se refere às demandas </w:t>
      </w:r>
    </w:p>
    <w:p w14:paraId="264069A0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VIII - manter banco de dados informatizado contendo respostas fornecidas pelos segmentos competentes, que deverão ser atualizados periodicamente, com vistas a minimizar o número de solicitações internas;</w:t>
      </w:r>
    </w:p>
    <w:p w14:paraId="1020EF14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lastRenderedPageBreak/>
        <w:t>IX - estimular a realização de pesquisas, seminários e cursos, sobre assuntos relativos ao exercício da cidadania e do controle social.  § 1° As demandas que versem exclusivamente sobre a prestação de serviços públicos, fora do alcance da fiscalização deste Tribunal, serão encaminhadas aos seus respectivos órgãos de ouvidoria, sem prejuízo de eventual atuação do controle externo.</w:t>
      </w:r>
    </w:p>
    <w:p w14:paraId="5A807E79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 xml:space="preserve">§ 2° - Na ausência dos respectivos órgãos, as </w:t>
      </w:r>
      <w:proofErr w:type="gramStart"/>
      <w:r w:rsidRPr="00C544BC">
        <w:rPr>
          <w:rFonts w:ascii="Arial" w:hAnsi="Arial" w:cs="Arial"/>
        </w:rPr>
        <w:t>demanda s</w:t>
      </w:r>
      <w:proofErr w:type="gramEnd"/>
      <w:r w:rsidRPr="00C544BC">
        <w:rPr>
          <w:rFonts w:ascii="Arial" w:hAnsi="Arial" w:cs="Arial"/>
        </w:rPr>
        <w:t xml:space="preserve"> que versarem exclusivamente sobre a prestação de serviços públicos, serão encaminhadas aos gestores dos órgãos ou das entidades demandadas.</w:t>
      </w:r>
    </w:p>
    <w:p w14:paraId="0E80C83E" w14:textId="7FA29050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3° </w:t>
      </w:r>
      <w:r w:rsidRPr="00C544BC">
        <w:rPr>
          <w:rFonts w:ascii="Arial" w:hAnsi="Arial" w:cs="Arial"/>
        </w:rPr>
        <w:t>Compete ao Ouvidor:</w:t>
      </w:r>
    </w:p>
    <w:p w14:paraId="7D8EB5A8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 - dirigir e representar a Ouvidoria, aprovar os planos de gestão e operativo anual das ações deste Órgão;</w:t>
      </w:r>
    </w:p>
    <w:p w14:paraId="66DBE4A4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 - orientar e integrar os serviços relativos às atividades desempenhadas pela Ouvidoria, assegurando uniformização, eficiência, coerência e zelando pelo controle de qualidade dos serviços executados;</w:t>
      </w:r>
    </w:p>
    <w:p w14:paraId="1CDF561A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III - realizar intercâmbio de informações e procedimentos com os demais Tribunais de Contas do país;</w:t>
      </w:r>
    </w:p>
    <w:p w14:paraId="3EF6D3D9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 - encaminhar à Corregedoria as demandas referentes a autoridade ou servidor do Tribunal de Contas ou quando se tratar de reclamações sobre os serviços prestados pelo Tribunal, que devam ser solucionadas através da instauração de processo administrativo disciplinar e abertura de sindicâncias;</w:t>
      </w:r>
    </w:p>
    <w:p w14:paraId="1E2A12B6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 xml:space="preserve">V - formalizar representação da Ouvidoria, com encaminhamento à Presidência para posterior deliberação, nos casos em que houver necessidade de instauração de inspeções in loco, auditorias ou processos de outra natureza, com fulcro no art. 276, parágrafo 2°, I, do </w:t>
      </w:r>
      <w:proofErr w:type="spellStart"/>
      <w:r w:rsidRPr="00C544BC">
        <w:rPr>
          <w:rFonts w:ascii="Arial" w:hAnsi="Arial" w:cs="Arial"/>
        </w:rPr>
        <w:t>Regimen</w:t>
      </w:r>
      <w:proofErr w:type="spellEnd"/>
      <w:r w:rsidRPr="00C544BC">
        <w:rPr>
          <w:rFonts w:ascii="Arial" w:hAnsi="Arial" w:cs="Arial"/>
        </w:rPr>
        <w:t xml:space="preserve"> </w:t>
      </w:r>
      <w:proofErr w:type="spellStart"/>
      <w:r w:rsidRPr="00C544BC">
        <w:rPr>
          <w:rFonts w:ascii="Arial" w:hAnsi="Arial" w:cs="Arial"/>
        </w:rPr>
        <w:t>to</w:t>
      </w:r>
      <w:proofErr w:type="spellEnd"/>
      <w:r w:rsidRPr="00C544BC">
        <w:rPr>
          <w:rFonts w:ascii="Arial" w:hAnsi="Arial" w:cs="Arial"/>
        </w:rPr>
        <w:t xml:space="preserve"> Interno;</w:t>
      </w:r>
    </w:p>
    <w:p w14:paraId="4F1C92A7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 - formalizar, em seu nome, denúncias originárias de demandas da Ouvidoria, quando for o caso;</w:t>
      </w:r>
    </w:p>
    <w:p w14:paraId="1632F5E6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VII - determinar a instauração de tomada de contas, na forma do Capítulo II do Regimento Interno, após o pronunciamento das unidades competentes;</w:t>
      </w:r>
    </w:p>
    <w:p w14:paraId="3C103B3E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VIII - apresentar ao Tribunal Pleno relatórios quadrimestrais e anual das atividades da Ouvidoria;</w:t>
      </w:r>
    </w:p>
    <w:p w14:paraId="55BD8653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IX - delegar atribuições ao Serviço de Ouvidoria, conforme ato específico;</w:t>
      </w:r>
    </w:p>
    <w:p w14:paraId="62D6FEF5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 - desempenhar outras atribuições correlatas à Ouvidoria.</w:t>
      </w:r>
    </w:p>
    <w:p w14:paraId="6CFFF0EA" w14:textId="2C816854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4° </w:t>
      </w:r>
      <w:r w:rsidRPr="00C544BC">
        <w:rPr>
          <w:rFonts w:ascii="Arial" w:hAnsi="Arial" w:cs="Arial"/>
        </w:rPr>
        <w:t>A Ouvidoria será coordenada por um servidor efetivo, de nível superior, a quem compete:</w:t>
      </w:r>
    </w:p>
    <w:p w14:paraId="31CA4123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 - coordenar, administrar e avaliar o exercício das competências da Ouvidoria e de outras compatíveis com sua área de atuação, observando o cumprimento da legislação específica;</w:t>
      </w:r>
    </w:p>
    <w:p w14:paraId="3731A692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lastRenderedPageBreak/>
        <w:t>II - assistir o Ouvidor no desempenho de suas atribuições, fornecendo informações e subsídios à tomada de decisões;</w:t>
      </w:r>
    </w:p>
    <w:p w14:paraId="06CFF420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III - interagir com os demais representantes das unidades organizacionais do Tribunal e demais órgãos ou entidades demandadas, com a finalidade de atender as demandas encaminhadas à Ouvidoria pelo cidadão ou servidor, mediante comunicação adequada, requerendo, quando necessário, diligências e investigações;</w:t>
      </w:r>
    </w:p>
    <w:p w14:paraId="72D5353B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 - emitir respostas ao cidadão sobre as demandas encaminhadas à Ouvidoria, através de comunicações internas, e-mails, ou qualquer outro meio de comunicação que permita o melhor atendimento à solicitação do cidadão;</w:t>
      </w:r>
    </w:p>
    <w:p w14:paraId="78680ED1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 - elaborar com a participação dos servidores da Ouvidoria, o Plano Operativo Anual de sua unidade organizacional, em conformidade com os Planos Estratégico e de Gestão do Tribunal, quando houver, monitorando o cumprimento das metas estabelecidas, propondo ajustes e avaliando resultados por meio de indicadores de desempenho, quando possível;</w:t>
      </w:r>
    </w:p>
    <w:p w14:paraId="4B0D67D4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 - coordenar o desenvolvimento e a execução de projetos voltados ao aperfeiçoamento de procedimentos e rotinas de sua área de atuação;</w:t>
      </w:r>
    </w:p>
    <w:p w14:paraId="5C550C40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VII - assistir aos processos de criação e implementação dos sistemas informatizados da Ouvidoria;</w:t>
      </w:r>
    </w:p>
    <w:p w14:paraId="45C3E418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VIII - administrar o uso eficiente dos recursos disponíveis, estimulando o desempenho funcional dos servidores da Ouvidoria;</w:t>
      </w:r>
    </w:p>
    <w:p w14:paraId="07123554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IX - solicitar capacitação dos servidores da Ouvidoria;</w:t>
      </w:r>
    </w:p>
    <w:p w14:paraId="60948B5D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 - realizar as avaliações de desempenho funcional de sua responsabilidade;</w:t>
      </w:r>
    </w:p>
    <w:p w14:paraId="3DB3634D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XI - solicitar para os servidores da Ouvidoria adiantamentos de diárias e deslocamentos;</w:t>
      </w:r>
    </w:p>
    <w:p w14:paraId="25F545C2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XII - supervisionar a freqüência e a escala de férias dos servidores lotados na Ouvidoria;</w:t>
      </w:r>
    </w:p>
    <w:p w14:paraId="4D81F393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XIII - supervisionar o controle dos materiais e bens patrimoniais sob sua responsabilidade;</w:t>
      </w:r>
    </w:p>
    <w:p w14:paraId="0D6A2EEA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XIV - elaborar e remeter ao Ouvidor relatórios quadrimestrais e anual de atividades da Ouvidoria.</w:t>
      </w:r>
    </w:p>
    <w:p w14:paraId="3D9678B0" w14:textId="4D88CAA9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5° </w:t>
      </w:r>
      <w:r w:rsidRPr="00C544BC">
        <w:rPr>
          <w:rFonts w:ascii="Arial" w:hAnsi="Arial" w:cs="Arial"/>
        </w:rPr>
        <w:t xml:space="preserve">O Sistema de Tecnologia da Informação deste Tribunal deverá possibilitar a emissão de relatórios gerenciais e de controle de prazos internos e externos, além das demandas afetas à Ouvidoria.  </w:t>
      </w:r>
    </w:p>
    <w:p w14:paraId="50A0BBD2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§ 1° - A página virtual do Tribunal de Contas conterá ícone e identificação visual específica para a Ouvidoria.</w:t>
      </w:r>
    </w:p>
    <w:p w14:paraId="415256DC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 xml:space="preserve">§ 2° - Os sistemas informatizados deste Tribunal deve </w:t>
      </w:r>
      <w:proofErr w:type="spellStart"/>
      <w:r w:rsidRPr="00C544BC">
        <w:rPr>
          <w:rFonts w:ascii="Arial" w:hAnsi="Arial" w:cs="Arial"/>
        </w:rPr>
        <w:t>rão</w:t>
      </w:r>
      <w:proofErr w:type="spellEnd"/>
      <w:r w:rsidRPr="00C544BC">
        <w:rPr>
          <w:rFonts w:ascii="Arial" w:hAnsi="Arial" w:cs="Arial"/>
        </w:rPr>
        <w:t xml:space="preserve"> contemplar a Ouvidoria e integrá-la às rotinas eletrônicas existentes.  </w:t>
      </w:r>
    </w:p>
    <w:p w14:paraId="0EDAFB29" w14:textId="37BD305D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lastRenderedPageBreak/>
        <w:t xml:space="preserve">Art. 6° </w:t>
      </w:r>
      <w:r w:rsidRPr="00C544BC">
        <w:rPr>
          <w:rFonts w:ascii="Arial" w:hAnsi="Arial" w:cs="Arial"/>
        </w:rPr>
        <w:t>No exercício de sua competência, observado o princípio da informalidade e celeridade, a Ouvidoria poderá requisitar esclarecimentos e documentos sobre os fatos noticiados pelos cidadãos:</w:t>
      </w:r>
    </w:p>
    <w:p w14:paraId="01E20115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 – pessoalmente;</w:t>
      </w:r>
    </w:p>
    <w:p w14:paraId="5650240C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 - por telefone;</w:t>
      </w:r>
    </w:p>
    <w:p w14:paraId="5B83BAA6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 – por meio eletrônico, e/ou</w:t>
      </w:r>
    </w:p>
    <w:p w14:paraId="679C5E6D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 – por carta ou ofício.</w:t>
      </w:r>
    </w:p>
    <w:p w14:paraId="74DF598E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Parágrafo único - Se o agente ou a entidade demandada não atenderem às determinações da Ouvidoria, sujeitam-se às sanções do artigo 87 da Lei Complementar nº 113/2005, sem prejuízo de eventual representação aos Poderes competentes.</w:t>
      </w:r>
    </w:p>
    <w:p w14:paraId="377B943F" w14:textId="2D65C429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7° </w:t>
      </w:r>
      <w:r w:rsidRPr="00C544BC">
        <w:rPr>
          <w:rFonts w:ascii="Arial" w:hAnsi="Arial" w:cs="Arial"/>
        </w:rPr>
        <w:t>As demandas da Ouvidoria são classificadas em:</w:t>
      </w:r>
    </w:p>
    <w:p w14:paraId="1AF311E0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 – reclamações;</w:t>
      </w:r>
    </w:p>
    <w:p w14:paraId="7A0181CF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 – críticas;</w:t>
      </w:r>
    </w:p>
    <w:p w14:paraId="26DDCE53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III – sugestões;</w:t>
      </w:r>
    </w:p>
    <w:p w14:paraId="2640FDD3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 – elogios;</w:t>
      </w:r>
    </w:p>
    <w:p w14:paraId="26565FEB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 – esclarecimentos;</w:t>
      </w:r>
    </w:p>
    <w:p w14:paraId="5AAA9329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VI – outros.</w:t>
      </w:r>
    </w:p>
    <w:p w14:paraId="5CDC6F19" w14:textId="77777777" w:rsidR="00B96D5A" w:rsidRPr="00C544BC" w:rsidRDefault="00B96D5A" w:rsidP="00C544BC">
      <w:pPr>
        <w:pStyle w:val="Lista"/>
        <w:spacing w:before="120"/>
        <w:ind w:firstLine="1134"/>
        <w:jc w:val="both"/>
        <w:rPr>
          <w:rFonts w:ascii="Arial" w:hAnsi="Arial" w:cs="Arial"/>
        </w:rPr>
      </w:pPr>
    </w:p>
    <w:p w14:paraId="0F9EFECE" w14:textId="441C3674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8° </w:t>
      </w:r>
      <w:r w:rsidRPr="00C544BC">
        <w:rPr>
          <w:rFonts w:ascii="Arial" w:hAnsi="Arial" w:cs="Arial"/>
        </w:rPr>
        <w:t>As unidades deste Tribunal prestarão as informações requisitadas pela Ouvidoria em 05 (cinco) dias.</w:t>
      </w:r>
    </w:p>
    <w:p w14:paraId="61A1EDD0" w14:textId="0A110291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9º </w:t>
      </w:r>
      <w:r w:rsidRPr="00C544BC">
        <w:rPr>
          <w:rFonts w:ascii="Arial" w:hAnsi="Arial" w:cs="Arial"/>
        </w:rPr>
        <w:t>Todas as demandas da Ouvidoria, próprias ou impróprias, identificadas ou não, além daquelas gravadas com sigilo, serão registradas no sistema da unidade.</w:t>
      </w:r>
    </w:p>
    <w:p w14:paraId="1C2D419F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 xml:space="preserve">§ 1° - As demandas insuficientemente formuladas poder </w:t>
      </w:r>
      <w:proofErr w:type="spellStart"/>
      <w:r w:rsidRPr="00C544BC">
        <w:rPr>
          <w:rFonts w:ascii="Arial" w:hAnsi="Arial" w:cs="Arial"/>
        </w:rPr>
        <w:t>ão</w:t>
      </w:r>
      <w:proofErr w:type="spellEnd"/>
      <w:r w:rsidRPr="00C544BC">
        <w:rPr>
          <w:rFonts w:ascii="Arial" w:hAnsi="Arial" w:cs="Arial"/>
        </w:rPr>
        <w:t xml:space="preserve"> ser complementadas no prazo de 30 (trinta) dias, contados da ciência dada ao demandante.</w:t>
      </w:r>
    </w:p>
    <w:p w14:paraId="0F3B2A4F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§ 2° - Decorrido o prazo do parágrafo anterior, sem manifestação, a demanda será encerrada por ausência de interesse do demandante.</w:t>
      </w:r>
    </w:p>
    <w:p w14:paraId="6BD2DF5B" w14:textId="063EB789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10º </w:t>
      </w:r>
      <w:r w:rsidRPr="00C544BC">
        <w:rPr>
          <w:rFonts w:ascii="Arial" w:hAnsi="Arial" w:cs="Arial"/>
        </w:rPr>
        <w:t>Compete aos Servidores da Ouvidoria:</w:t>
      </w:r>
    </w:p>
    <w:p w14:paraId="13CF8AEA" w14:textId="77777777" w:rsidR="00B96D5A" w:rsidRPr="00C544BC" w:rsidRDefault="00B96D5A" w:rsidP="00C544BC">
      <w:pPr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I- acompanhar e realizar os serviços administrativos da Ouvidoria;</w:t>
      </w:r>
    </w:p>
    <w:p w14:paraId="1C10F95E" w14:textId="77777777" w:rsidR="00B96D5A" w:rsidRPr="00C544BC" w:rsidRDefault="00B96D5A" w:rsidP="00C544BC">
      <w:pPr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II- administrar a agenda da Ouvidoria, por determinação do Coordenador;</w:t>
      </w:r>
    </w:p>
    <w:p w14:paraId="523B5421" w14:textId="77777777" w:rsidR="00B96D5A" w:rsidRPr="00C544BC" w:rsidRDefault="00B96D5A" w:rsidP="00C544BC">
      <w:pPr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III- atender o público interno e externo;</w:t>
      </w:r>
    </w:p>
    <w:p w14:paraId="49174CAE" w14:textId="77777777" w:rsidR="00B96D5A" w:rsidRPr="00C544BC" w:rsidRDefault="00B96D5A" w:rsidP="00C544BC">
      <w:pPr>
        <w:spacing w:before="12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IV- providenciar as comunicações oficiais da Ouvidoria, sob a supervisão do Coordenador;</w:t>
      </w:r>
    </w:p>
    <w:p w14:paraId="1DE58F1F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V- apoiar a organização de eventos realizados pela Ouvidoria;</w:t>
      </w:r>
    </w:p>
    <w:p w14:paraId="0AB05EEC" w14:textId="77777777" w:rsidR="00407098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lastRenderedPageBreak/>
        <w:t xml:space="preserve">VI- desempenhar outras atribuições correlatas.  </w:t>
      </w:r>
    </w:p>
    <w:p w14:paraId="2B36423A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 xml:space="preserve">Art. 11. </w:t>
      </w:r>
      <w:r w:rsidRPr="00C544BC">
        <w:rPr>
          <w:rFonts w:ascii="Arial" w:hAnsi="Arial" w:cs="Arial"/>
        </w:rPr>
        <w:t>Compete à Ouvidoria, nos termos do art. 22, do Regimento Interno deste Tribunal, elaborar Manual de Procedimentos para regulamentar suas atividades.</w:t>
      </w:r>
    </w:p>
    <w:p w14:paraId="5B977147" w14:textId="29B3C34E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>Art. 12</w:t>
      </w:r>
      <w:r w:rsidR="00C56182" w:rsidRPr="00C544BC">
        <w:rPr>
          <w:rFonts w:ascii="Arial" w:hAnsi="Arial" w:cs="Arial"/>
          <w:b/>
          <w:bCs/>
        </w:rPr>
        <w:t>.</w:t>
      </w:r>
      <w:r w:rsidRPr="00C544BC">
        <w:rPr>
          <w:rFonts w:ascii="Arial" w:hAnsi="Arial" w:cs="Arial"/>
          <w:b/>
          <w:bCs/>
        </w:rPr>
        <w:t xml:space="preserve"> </w:t>
      </w:r>
      <w:r w:rsidRPr="00C544BC">
        <w:rPr>
          <w:rFonts w:ascii="Arial" w:hAnsi="Arial" w:cs="Arial"/>
        </w:rPr>
        <w:t>As reclamações, críticas, elogios ou sugestões recebidas na Ouvidoria, quando versarem sobre serviços prestados pelo Tribunal de Contas e suas unidades, deverão ser remetidos à Diretoria Geral, no prazo de cinco dias.</w:t>
      </w:r>
    </w:p>
    <w:p w14:paraId="5BE19233" w14:textId="7777777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Parágrafo único. Quando as demandas envolverem servidores identificados, estes serão previamente ouvidos e, em seguida, seus respectivos superiores hierárquicos, sem prejuízo da Diretoria Geral.</w:t>
      </w:r>
    </w:p>
    <w:p w14:paraId="77B28D75" w14:textId="7FF1C90F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>Art. 13</w:t>
      </w:r>
      <w:r w:rsidR="00C56182" w:rsidRPr="00C544BC">
        <w:rPr>
          <w:rFonts w:ascii="Arial" w:hAnsi="Arial" w:cs="Arial"/>
          <w:b/>
          <w:bCs/>
        </w:rPr>
        <w:t>.</w:t>
      </w:r>
      <w:r w:rsidRPr="00C544BC">
        <w:rPr>
          <w:rFonts w:ascii="Arial" w:hAnsi="Arial" w:cs="Arial"/>
          <w:b/>
          <w:bCs/>
        </w:rPr>
        <w:t xml:space="preserve"> </w:t>
      </w:r>
      <w:r w:rsidRPr="00C544BC">
        <w:rPr>
          <w:rFonts w:ascii="Arial" w:hAnsi="Arial" w:cs="Arial"/>
        </w:rPr>
        <w:t>Os procedimentos originários da Ouvidoria que envolvam matéria de competência da Corregedoria Geral, serão a ela remetidos para informação preliminar acerca da existência de denúncia.</w:t>
      </w:r>
    </w:p>
    <w:p w14:paraId="17E9C707" w14:textId="466DCBD7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</w:rPr>
        <w:t>Parágrafo único</w:t>
      </w:r>
      <w:r w:rsidR="00C56182" w:rsidRPr="00C544BC">
        <w:rPr>
          <w:rFonts w:ascii="Arial" w:hAnsi="Arial" w:cs="Arial"/>
        </w:rPr>
        <w:t>.</w:t>
      </w:r>
      <w:r w:rsidRPr="00C544BC">
        <w:rPr>
          <w:rFonts w:ascii="Arial" w:hAnsi="Arial" w:cs="Arial"/>
        </w:rPr>
        <w:t xml:space="preserve"> Quando houver denúncia sobre os mesmos fatos de que trata a demanda apresentada perante a Ouvidoria, esta será juntada aos autos por despacho do Corregedor-Ouvidor.</w:t>
      </w:r>
    </w:p>
    <w:p w14:paraId="7E852564" w14:textId="62491791" w:rsidR="00B96D5A" w:rsidRPr="00C544BC" w:rsidRDefault="00B96D5A" w:rsidP="00C544BC">
      <w:pPr>
        <w:pStyle w:val="Corpodetexto"/>
        <w:spacing w:before="120" w:after="0"/>
        <w:ind w:firstLine="1134"/>
        <w:jc w:val="both"/>
        <w:rPr>
          <w:rFonts w:ascii="Arial" w:hAnsi="Arial" w:cs="Arial"/>
        </w:rPr>
      </w:pPr>
      <w:r w:rsidRPr="00C544BC">
        <w:rPr>
          <w:rFonts w:ascii="Arial" w:hAnsi="Arial" w:cs="Arial"/>
          <w:b/>
          <w:bCs/>
        </w:rPr>
        <w:t>Art. 14</w:t>
      </w:r>
      <w:r w:rsidR="00C56182" w:rsidRPr="00C544BC">
        <w:rPr>
          <w:rFonts w:ascii="Arial" w:hAnsi="Arial" w:cs="Arial"/>
          <w:b/>
          <w:bCs/>
        </w:rPr>
        <w:t>.</w:t>
      </w:r>
      <w:r w:rsidRPr="00C544BC">
        <w:rPr>
          <w:rFonts w:ascii="Arial" w:hAnsi="Arial" w:cs="Arial"/>
          <w:b/>
          <w:bCs/>
        </w:rPr>
        <w:t xml:space="preserve"> </w:t>
      </w:r>
      <w:r w:rsidRPr="00C544BC">
        <w:rPr>
          <w:rFonts w:ascii="Arial" w:hAnsi="Arial" w:cs="Arial"/>
        </w:rPr>
        <w:t>Esta Resolução entrará em vigor na data de sua publicação.</w:t>
      </w:r>
    </w:p>
    <w:p w14:paraId="57F97E76" w14:textId="77777777" w:rsidR="005E0F82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A0C4970" w14:textId="77777777" w:rsidR="00E5570D" w:rsidRPr="000B00C7" w:rsidRDefault="00E5570D" w:rsidP="00E557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97561D1" w14:textId="77777777" w:rsidR="005E0F82" w:rsidRPr="000B00C7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B00C7">
        <w:rPr>
          <w:rFonts w:ascii="Arial" w:hAnsi="Arial" w:cs="Arial"/>
        </w:rPr>
        <w:t>Sala das Sessões, em 2</w:t>
      </w:r>
      <w:r w:rsidR="00DE63D2" w:rsidRPr="000B00C7">
        <w:rPr>
          <w:rFonts w:ascii="Arial" w:hAnsi="Arial" w:cs="Arial"/>
        </w:rPr>
        <w:t>3</w:t>
      </w:r>
      <w:r w:rsidRPr="000B00C7">
        <w:rPr>
          <w:rFonts w:ascii="Arial" w:hAnsi="Arial" w:cs="Arial"/>
        </w:rPr>
        <w:t xml:space="preserve"> de </w:t>
      </w:r>
      <w:r w:rsidR="00DE63D2" w:rsidRPr="000B00C7">
        <w:rPr>
          <w:rFonts w:ascii="Arial" w:hAnsi="Arial" w:cs="Arial"/>
        </w:rPr>
        <w:t>novemb</w:t>
      </w:r>
      <w:r w:rsidRPr="000B00C7">
        <w:rPr>
          <w:rFonts w:ascii="Arial" w:hAnsi="Arial" w:cs="Arial"/>
        </w:rPr>
        <w:t>ro de 2006.</w:t>
      </w:r>
    </w:p>
    <w:p w14:paraId="47364673" w14:textId="77777777" w:rsidR="005E0F82" w:rsidRPr="000B00C7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839741C" w14:textId="77777777" w:rsidR="005E0F82" w:rsidRPr="000B00C7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</w:p>
    <w:p w14:paraId="1F2810D8" w14:textId="77777777" w:rsidR="005E0F82" w:rsidRPr="000B00C7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 w:rsidRPr="000B00C7">
        <w:rPr>
          <w:rFonts w:ascii="Arial" w:hAnsi="Arial" w:cs="Arial"/>
          <w:b/>
          <w:bCs/>
          <w:iCs/>
        </w:rPr>
        <w:t>HEINZ GEORG HERWIG</w:t>
      </w:r>
    </w:p>
    <w:p w14:paraId="52140AB7" w14:textId="7AC57D72" w:rsidR="005E0F82" w:rsidRPr="000B00C7" w:rsidRDefault="005E0F82" w:rsidP="00E5570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0B00C7">
        <w:rPr>
          <w:rFonts w:ascii="Arial" w:hAnsi="Arial" w:cs="Arial"/>
          <w:iCs/>
        </w:rPr>
        <w:t>Presidente</w:t>
      </w:r>
    </w:p>
    <w:p w14:paraId="65EBF248" w14:textId="77777777" w:rsidR="005E0F82" w:rsidRDefault="005E0F82" w:rsidP="005E0F82">
      <w:pPr>
        <w:jc w:val="center"/>
        <w:rPr>
          <w:b/>
        </w:rPr>
      </w:pPr>
    </w:p>
    <w:sectPr w:rsidR="005E0F82" w:rsidSect="002B3BFA">
      <w:headerReference w:type="default" r:id="rId8"/>
      <w:footerReference w:type="default" r:id="rId9"/>
      <w:footnotePr>
        <w:numFmt w:val="chicago"/>
      </w:footnotePr>
      <w:pgSz w:w="11907" w:h="16840" w:code="9"/>
      <w:pgMar w:top="1418" w:right="1701" w:bottom="1418" w:left="1701" w:header="720" w:footer="720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B5F8" w14:textId="77777777" w:rsidR="00987DBE" w:rsidRDefault="00987DBE">
      <w:r>
        <w:separator/>
      </w:r>
    </w:p>
  </w:endnote>
  <w:endnote w:type="continuationSeparator" w:id="0">
    <w:p w14:paraId="67B79D5D" w14:textId="77777777" w:rsidR="00987DBE" w:rsidRDefault="0098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780D" w14:textId="38E6EC41" w:rsidR="001C22E2" w:rsidRPr="00F74ECC" w:rsidRDefault="001C22E2" w:rsidP="00D43ED4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BF25" w14:textId="77777777" w:rsidR="00987DBE" w:rsidRDefault="00987DBE">
      <w:r>
        <w:separator/>
      </w:r>
    </w:p>
  </w:footnote>
  <w:footnote w:type="continuationSeparator" w:id="0">
    <w:p w14:paraId="389F61D5" w14:textId="77777777" w:rsidR="00987DBE" w:rsidRDefault="00987DBE">
      <w:r>
        <w:continuationSeparator/>
      </w:r>
    </w:p>
  </w:footnote>
  <w:footnote w:id="1">
    <w:p w14:paraId="50DE89E5" w14:textId="094B05F2" w:rsidR="000B28A0" w:rsidRPr="003F421D" w:rsidRDefault="000B28A0" w:rsidP="000B28A0">
      <w:pPr>
        <w:pStyle w:val="Textodenotaderodap"/>
        <w:rPr>
          <w:rFonts w:ascii="Arial" w:hAnsi="Arial" w:cs="Arial"/>
        </w:rPr>
      </w:pPr>
      <w:r w:rsidRPr="000B28A0">
        <w:rPr>
          <w:rStyle w:val="Hyperlink"/>
          <w:color w:val="auto"/>
          <w:u w:val="none"/>
        </w:rPr>
        <w:footnoteRef/>
      </w:r>
      <w:r w:rsidRPr="000B28A0">
        <w:t xml:space="preserve"> </w:t>
      </w:r>
      <w:bookmarkStart w:id="0" w:name="_Hlk37068492"/>
      <w:r w:rsidRPr="00DD4913">
        <w:rPr>
          <w:rFonts w:ascii="Arial" w:hAnsi="Arial" w:cs="Arial"/>
          <w:b/>
        </w:rPr>
        <w:t>Nota da Biblioteca:</w:t>
      </w:r>
    </w:p>
    <w:p w14:paraId="1F411D28" w14:textId="0698AFAF" w:rsidR="000B28A0" w:rsidRPr="00F95A3C" w:rsidRDefault="000B28A0" w:rsidP="00F95A3C">
      <w:pPr>
        <w:pStyle w:val="Textodenotaderodap"/>
        <w:ind w:left="142"/>
        <w:jc w:val="both"/>
        <w:rPr>
          <w:rFonts w:ascii="Arial" w:hAnsi="Arial" w:cs="Arial"/>
          <w:color w:val="0000FF"/>
        </w:rPr>
      </w:pPr>
      <w:r w:rsidRPr="003F421D">
        <w:rPr>
          <w:rFonts w:ascii="Arial" w:hAnsi="Arial" w:cs="Arial"/>
        </w:rPr>
        <w:t xml:space="preserve">Este texto não substitui o publicado no periódico: </w:t>
      </w:r>
      <w:bookmarkEnd w:id="0"/>
      <w:r w:rsidR="00764446" w:rsidRPr="00764446">
        <w:rPr>
          <w:rFonts w:ascii="Arial" w:hAnsi="Arial" w:cs="Arial"/>
          <w:b/>
          <w:bCs/>
          <w:color w:val="0000FF"/>
          <w:sz w:val="18"/>
          <w:szCs w:val="18"/>
        </w:rPr>
        <w:fldChar w:fldCharType="begin"/>
      </w:r>
      <w:r w:rsidR="00764446" w:rsidRPr="00764446">
        <w:rPr>
          <w:rFonts w:ascii="Arial" w:hAnsi="Arial" w:cs="Arial"/>
          <w:b/>
          <w:bCs/>
          <w:color w:val="0000FF"/>
          <w:sz w:val="18"/>
          <w:szCs w:val="18"/>
        </w:rPr>
        <w:instrText xml:space="preserve"> HYPERLINK "http://www1.tce.pr.gov.br/multimidia/2006/12/pdf/00000530.pdf" </w:instrText>
      </w:r>
      <w:r w:rsidR="00764446" w:rsidRPr="00764446">
        <w:rPr>
          <w:rFonts w:ascii="Arial" w:hAnsi="Arial" w:cs="Arial"/>
          <w:b/>
          <w:bCs/>
          <w:color w:val="0000FF"/>
          <w:sz w:val="18"/>
          <w:szCs w:val="18"/>
        </w:rPr>
      </w:r>
      <w:r w:rsidR="00764446" w:rsidRPr="00764446">
        <w:rPr>
          <w:rFonts w:ascii="Arial" w:hAnsi="Arial" w:cs="Arial"/>
          <w:b/>
          <w:bCs/>
          <w:color w:val="0000FF"/>
          <w:sz w:val="18"/>
          <w:szCs w:val="18"/>
        </w:rPr>
        <w:fldChar w:fldCharType="separate"/>
      </w:r>
      <w:r w:rsidR="00415E1B" w:rsidRPr="00764446">
        <w:rPr>
          <w:rStyle w:val="Hyperlink"/>
          <w:rFonts w:ascii="Arial" w:hAnsi="Arial" w:cs="Arial"/>
          <w:b/>
          <w:bCs/>
          <w:color w:val="0000FF"/>
          <w:sz w:val="18"/>
          <w:szCs w:val="18"/>
        </w:rPr>
        <w:t>Atos Oficiais do Tribunal de Contas do Estado do Paraná</w:t>
      </w:r>
      <w:r w:rsidR="00415E1B" w:rsidRPr="00764446">
        <w:rPr>
          <w:rStyle w:val="Hyperlink"/>
          <w:rFonts w:ascii="Arial" w:hAnsi="Arial" w:cs="Arial"/>
          <w:bCs/>
          <w:color w:val="0000FF"/>
          <w:sz w:val="18"/>
          <w:szCs w:val="18"/>
        </w:rPr>
        <w:t>,</w:t>
      </w:r>
      <w:r w:rsidR="00415E1B" w:rsidRPr="00764446">
        <w:rPr>
          <w:rStyle w:val="Hyperlink"/>
          <w:rFonts w:ascii="Arial" w:hAnsi="Arial" w:cs="Arial"/>
          <w:color w:val="0000FF"/>
          <w:sz w:val="18"/>
          <w:szCs w:val="18"/>
        </w:rPr>
        <w:t xml:space="preserve"> Curitiba, PR, n. 77, 1 dez. 2006, p. 5-6</w:t>
      </w:r>
      <w:r w:rsidR="00764446" w:rsidRPr="00764446">
        <w:rPr>
          <w:rFonts w:ascii="Arial" w:hAnsi="Arial" w:cs="Arial"/>
          <w:b/>
          <w:bCs/>
          <w:color w:val="0000FF"/>
          <w:sz w:val="18"/>
          <w:szCs w:val="18"/>
        </w:rPr>
        <w:fldChar w:fldCharType="end"/>
      </w:r>
      <w:r w:rsidR="00415E1B" w:rsidRPr="00764446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9E92" w14:textId="77777777" w:rsidR="00975D2C" w:rsidRDefault="00975D2C" w:rsidP="00975D2C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604C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Descrição: logo TC colorido - medio" style="position:absolute;left:0;text-align:left;margin-left:2.8pt;margin-top:-6.1pt;width:47.7pt;height:56.1pt;z-index:251659264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67119883" w14:textId="77777777" w:rsidR="00975D2C" w:rsidRDefault="00975D2C" w:rsidP="00975D2C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7F5F60BB" w14:textId="77777777" w:rsidR="001C22E2" w:rsidRDefault="001C22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4710">
    <w:abstractNumId w:val="1"/>
  </w:num>
  <w:num w:numId="2" w16cid:durableId="62130892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096976">
    <w:abstractNumId w:val="1"/>
  </w:num>
  <w:num w:numId="4" w16cid:durableId="18268202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935682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88933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98459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53403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75942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78566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399412">
    <w:abstractNumId w:val="1"/>
  </w:num>
  <w:num w:numId="12" w16cid:durableId="93247111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8597628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162615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88220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461331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33085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33420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726862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240128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733573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8677245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9432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638402">
    <w:abstractNumId w:val="0"/>
  </w:num>
  <w:num w:numId="25" w16cid:durableId="8534936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684B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00C7"/>
    <w:rsid w:val="000B188C"/>
    <w:rsid w:val="000B28A0"/>
    <w:rsid w:val="000B2E9F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92F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C1E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3BFA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26BA"/>
    <w:rsid w:val="003F49C2"/>
    <w:rsid w:val="003F5133"/>
    <w:rsid w:val="00403430"/>
    <w:rsid w:val="00407098"/>
    <w:rsid w:val="00411094"/>
    <w:rsid w:val="004115EB"/>
    <w:rsid w:val="0041175A"/>
    <w:rsid w:val="00413154"/>
    <w:rsid w:val="004137C0"/>
    <w:rsid w:val="00415E1B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203D"/>
    <w:rsid w:val="004F2754"/>
    <w:rsid w:val="00500709"/>
    <w:rsid w:val="00502945"/>
    <w:rsid w:val="00502A94"/>
    <w:rsid w:val="00505CF4"/>
    <w:rsid w:val="0050767B"/>
    <w:rsid w:val="00512428"/>
    <w:rsid w:val="0051318A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C7DFE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70A3"/>
    <w:rsid w:val="00687BCF"/>
    <w:rsid w:val="00690B02"/>
    <w:rsid w:val="00691AE3"/>
    <w:rsid w:val="00692786"/>
    <w:rsid w:val="00694A10"/>
    <w:rsid w:val="00694D57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4446"/>
    <w:rsid w:val="007653A1"/>
    <w:rsid w:val="0076780B"/>
    <w:rsid w:val="0077089C"/>
    <w:rsid w:val="007713BC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0F33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2F36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0718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C42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55B2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53B2"/>
    <w:rsid w:val="008C7B44"/>
    <w:rsid w:val="008D0B65"/>
    <w:rsid w:val="008D3111"/>
    <w:rsid w:val="008D50B0"/>
    <w:rsid w:val="008D7678"/>
    <w:rsid w:val="008E0DA6"/>
    <w:rsid w:val="008E3E97"/>
    <w:rsid w:val="008E45F8"/>
    <w:rsid w:val="008E4D7F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4517"/>
    <w:rsid w:val="00917581"/>
    <w:rsid w:val="0092222F"/>
    <w:rsid w:val="00924212"/>
    <w:rsid w:val="0092522B"/>
    <w:rsid w:val="00925BD9"/>
    <w:rsid w:val="00926B5E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5D2C"/>
    <w:rsid w:val="0097652F"/>
    <w:rsid w:val="009831BE"/>
    <w:rsid w:val="00985991"/>
    <w:rsid w:val="00987DBE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740"/>
    <w:rsid w:val="00A44A37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33C3"/>
    <w:rsid w:val="00A75747"/>
    <w:rsid w:val="00A76870"/>
    <w:rsid w:val="00A7732B"/>
    <w:rsid w:val="00A80FE0"/>
    <w:rsid w:val="00A8293A"/>
    <w:rsid w:val="00A83780"/>
    <w:rsid w:val="00A8415F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CD1"/>
    <w:rsid w:val="00B76D4B"/>
    <w:rsid w:val="00B839AE"/>
    <w:rsid w:val="00B85F4A"/>
    <w:rsid w:val="00B92E3C"/>
    <w:rsid w:val="00B93D1B"/>
    <w:rsid w:val="00B94281"/>
    <w:rsid w:val="00B96D5A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44BC"/>
    <w:rsid w:val="00C56182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45AA"/>
    <w:rsid w:val="00D84A7F"/>
    <w:rsid w:val="00D84F9F"/>
    <w:rsid w:val="00D85E0A"/>
    <w:rsid w:val="00D877B4"/>
    <w:rsid w:val="00D92C47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681E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70D"/>
    <w:rsid w:val="00E559D8"/>
    <w:rsid w:val="00E626E6"/>
    <w:rsid w:val="00E63623"/>
    <w:rsid w:val="00E65843"/>
    <w:rsid w:val="00E65DFC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57BA0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67E0"/>
    <w:rsid w:val="00F91097"/>
    <w:rsid w:val="00F924BE"/>
    <w:rsid w:val="00F92AFF"/>
    <w:rsid w:val="00F944C0"/>
    <w:rsid w:val="00F95A3C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DE3B1A5"/>
  <w15:chartTrackingRefBased/>
  <w15:docId w15:val="{7A18899A-5FAC-4445-AB0F-E7916454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semiHidden/>
    <w:rsid w:val="003B63B0"/>
    <w:rPr>
      <w:vertAlign w:val="superscript"/>
    </w:rPr>
  </w:style>
  <w:style w:type="character" w:styleId="Refdecomentrio">
    <w:name w:val="annotation reference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Primeirorecuodecorpodetexto">
    <w:name w:val="Body Text First Indent"/>
    <w:basedOn w:val="Corpodetexto"/>
    <w:rsid w:val="00B96D5A"/>
    <w:pPr>
      <w:ind w:firstLine="210"/>
    </w:pPr>
  </w:style>
  <w:style w:type="paragraph" w:styleId="Textodenotaderodap">
    <w:name w:val="footnote text"/>
    <w:basedOn w:val="Normal"/>
    <w:link w:val="TextodenotaderodapChar"/>
    <w:rsid w:val="000B28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B28A0"/>
  </w:style>
  <w:style w:type="character" w:styleId="Refdenotaderodap">
    <w:name w:val="footnote reference"/>
    <w:basedOn w:val="Fontepargpadro"/>
    <w:rsid w:val="000B28A0"/>
    <w:rPr>
      <w:vertAlign w:val="superscript"/>
    </w:rPr>
  </w:style>
  <w:style w:type="character" w:styleId="Hyperlink">
    <w:name w:val="Hyperlink"/>
    <w:uiPriority w:val="99"/>
    <w:unhideWhenUsed/>
    <w:rsid w:val="000B28A0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868B-3C3D-40AB-9197-2642EA2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1508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14</cp:revision>
  <cp:lastPrinted>2006-09-22T17:48:00Z</cp:lastPrinted>
  <dcterms:created xsi:type="dcterms:W3CDTF">2022-07-06T22:45:00Z</dcterms:created>
  <dcterms:modified xsi:type="dcterms:W3CDTF">2022-07-07T13:32:00Z</dcterms:modified>
</cp:coreProperties>
</file>