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F616B" w14:textId="0D128CF5" w:rsidR="0051760C" w:rsidRPr="00031E84" w:rsidRDefault="0051760C" w:rsidP="0051760C">
      <w:pPr>
        <w:adjustRightInd w:val="0"/>
        <w:spacing w:line="276" w:lineRule="auto"/>
        <w:ind w:right="-1135"/>
        <w:jc w:val="center"/>
        <w:rPr>
          <w:rFonts w:ascii="Arial" w:hAnsi="Arial" w:cs="Arial"/>
          <w:b/>
          <w:bCs/>
          <w:sz w:val="28"/>
          <w:szCs w:val="28"/>
        </w:rPr>
      </w:pPr>
      <w:r w:rsidRPr="00031E84">
        <w:rPr>
          <w:rFonts w:ascii="Arial" w:hAnsi="Arial" w:cs="Arial"/>
          <w:b/>
          <w:bCs/>
          <w:sz w:val="28"/>
          <w:szCs w:val="28"/>
        </w:rPr>
        <w:t xml:space="preserve">RESOLUÇÃO Nº </w:t>
      </w:r>
      <w:r w:rsidR="001F3197" w:rsidRPr="00031E84">
        <w:rPr>
          <w:rFonts w:ascii="Arial" w:hAnsi="Arial" w:cs="Arial"/>
          <w:b/>
          <w:bCs/>
          <w:sz w:val="28"/>
          <w:szCs w:val="28"/>
        </w:rPr>
        <w:t>60</w:t>
      </w:r>
      <w:r w:rsidRPr="00031E84">
        <w:rPr>
          <w:rFonts w:ascii="Arial" w:hAnsi="Arial" w:cs="Arial"/>
          <w:b/>
          <w:bCs/>
          <w:sz w:val="28"/>
          <w:szCs w:val="28"/>
        </w:rPr>
        <w:t>/201</w:t>
      </w:r>
      <w:r w:rsidR="001F3197" w:rsidRPr="00031E84">
        <w:rPr>
          <w:rFonts w:ascii="Arial" w:hAnsi="Arial" w:cs="Arial"/>
          <w:b/>
          <w:bCs/>
          <w:sz w:val="28"/>
          <w:szCs w:val="28"/>
        </w:rPr>
        <w:t>7</w:t>
      </w:r>
      <w:r w:rsidR="000D336C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275934D7" w14:textId="77777777" w:rsidR="0051760C" w:rsidRPr="0063086D" w:rsidRDefault="0051760C" w:rsidP="00D305A7">
      <w:pPr>
        <w:adjustRightInd w:val="0"/>
        <w:spacing w:before="360" w:after="360"/>
        <w:ind w:left="4536" w:right="-1"/>
        <w:jc w:val="both"/>
        <w:rPr>
          <w:rFonts w:ascii="Arial" w:hAnsi="Arial" w:cs="Arial"/>
          <w:i/>
          <w:iCs/>
          <w:sz w:val="22"/>
          <w:szCs w:val="22"/>
        </w:rPr>
      </w:pPr>
      <w:r w:rsidRPr="0063086D">
        <w:rPr>
          <w:rFonts w:ascii="Arial" w:hAnsi="Arial" w:cs="Arial"/>
          <w:i/>
          <w:iCs/>
          <w:sz w:val="22"/>
          <w:szCs w:val="22"/>
        </w:rPr>
        <w:t>Regulamenta o art. 322-A do Regimento Interno, inserido em consonância com §</w:t>
      </w:r>
      <w:r w:rsidR="000F6413" w:rsidRPr="0063086D">
        <w:rPr>
          <w:rFonts w:ascii="Arial" w:hAnsi="Arial" w:cs="Arial"/>
          <w:i/>
          <w:iCs/>
          <w:sz w:val="22"/>
          <w:szCs w:val="22"/>
        </w:rPr>
        <w:t xml:space="preserve"> </w:t>
      </w:r>
      <w:r w:rsidRPr="0063086D">
        <w:rPr>
          <w:rFonts w:ascii="Arial" w:hAnsi="Arial" w:cs="Arial"/>
          <w:i/>
          <w:iCs/>
          <w:sz w:val="22"/>
          <w:szCs w:val="22"/>
        </w:rPr>
        <w:t>4º, do art. 9º, da Lei Complementar n.º 113, de 15 de dezembro de 2005, incluído pela Lei Complementar n.º 194, de 13 de abril de 2016.</w:t>
      </w:r>
    </w:p>
    <w:p w14:paraId="244CF652" w14:textId="77777777" w:rsidR="0051760C" w:rsidRPr="001F3197" w:rsidRDefault="0051760C" w:rsidP="00D305A7">
      <w:pPr>
        <w:adjustRightInd w:val="0"/>
        <w:spacing w:before="120"/>
        <w:ind w:right="-1" w:firstLine="1134"/>
        <w:jc w:val="both"/>
        <w:rPr>
          <w:rFonts w:ascii="Arial" w:hAnsi="Arial" w:cs="Arial"/>
        </w:rPr>
      </w:pPr>
      <w:r w:rsidRPr="001F3197">
        <w:rPr>
          <w:rFonts w:ascii="Arial" w:hAnsi="Arial" w:cs="Arial"/>
          <w:b/>
          <w:bCs/>
        </w:rPr>
        <w:t xml:space="preserve">O TRIBUNAL DE CONTAS DO ESTADO DO PARANÁ, </w:t>
      </w:r>
      <w:r w:rsidRPr="001F3197">
        <w:rPr>
          <w:rFonts w:ascii="Arial" w:hAnsi="Arial" w:cs="Arial"/>
        </w:rPr>
        <w:t>com fundamento no art. 2º, inciso I, da Lei Complementar Estadual n.º 113/2005 e no art. 188 do Regimento Interno,</w:t>
      </w:r>
    </w:p>
    <w:p w14:paraId="379275F1" w14:textId="77777777" w:rsidR="0051760C" w:rsidRPr="001F3197" w:rsidRDefault="0051760C" w:rsidP="00D305A7">
      <w:pPr>
        <w:adjustRightInd w:val="0"/>
        <w:spacing w:before="120"/>
        <w:ind w:right="-1" w:firstLine="1134"/>
        <w:jc w:val="both"/>
        <w:rPr>
          <w:rFonts w:ascii="Arial" w:hAnsi="Arial" w:cs="Arial"/>
          <w:iCs/>
        </w:rPr>
      </w:pPr>
      <w:r w:rsidRPr="001F3197">
        <w:rPr>
          <w:rFonts w:ascii="Arial" w:hAnsi="Arial" w:cs="Arial"/>
          <w:b/>
          <w:bCs/>
          <w:iCs/>
        </w:rPr>
        <w:t xml:space="preserve">CONSIDERANDO </w:t>
      </w:r>
      <w:r w:rsidRPr="001F3197">
        <w:rPr>
          <w:rFonts w:ascii="Arial" w:hAnsi="Arial" w:cs="Arial"/>
          <w:iCs/>
        </w:rPr>
        <w:t>a previsão do item 12, c, da Resolução n.º 1/2014, da ATRICON, que recomenda o estabelecimento de valor de alçada para a formação de processos;</w:t>
      </w:r>
    </w:p>
    <w:p w14:paraId="08C36357" w14:textId="77777777" w:rsidR="0051760C" w:rsidRPr="001F3197" w:rsidRDefault="0051760C" w:rsidP="00D305A7">
      <w:pPr>
        <w:adjustRightInd w:val="0"/>
        <w:spacing w:before="120"/>
        <w:ind w:right="-1" w:firstLine="1134"/>
        <w:jc w:val="both"/>
        <w:rPr>
          <w:rFonts w:ascii="Arial" w:hAnsi="Arial" w:cs="Arial"/>
        </w:rPr>
      </w:pPr>
      <w:r w:rsidRPr="001F3197">
        <w:rPr>
          <w:rFonts w:ascii="Arial" w:hAnsi="Arial" w:cs="Arial"/>
          <w:b/>
          <w:bCs/>
          <w:iCs/>
        </w:rPr>
        <w:t xml:space="preserve">CONSIDERANDO </w:t>
      </w:r>
      <w:r w:rsidRPr="001F3197">
        <w:rPr>
          <w:rFonts w:ascii="Arial" w:hAnsi="Arial" w:cs="Arial"/>
          <w:iCs/>
        </w:rPr>
        <w:t>que, no intuito de atuar de maneira mais ágil e eficaz, no exercício de sua função fiscalizatória, este Tribunal de Contas vem se utilizando cada vez mais de sistemas informatizados eficientes de coleta e de controle;</w:t>
      </w:r>
    </w:p>
    <w:p w14:paraId="4AC6AA57" w14:textId="77777777" w:rsidR="0051760C" w:rsidRPr="001F3197" w:rsidRDefault="0051760C" w:rsidP="00D305A7">
      <w:pPr>
        <w:spacing w:before="120"/>
        <w:ind w:right="-1" w:firstLine="1134"/>
        <w:jc w:val="both"/>
        <w:rPr>
          <w:rFonts w:ascii="Arial" w:hAnsi="Arial" w:cs="Arial"/>
          <w:iCs/>
        </w:rPr>
      </w:pPr>
      <w:r w:rsidRPr="001F3197">
        <w:rPr>
          <w:rFonts w:ascii="Arial" w:hAnsi="Arial" w:cs="Arial"/>
          <w:b/>
          <w:bCs/>
          <w:iCs/>
        </w:rPr>
        <w:t xml:space="preserve">CONSIDERANDO </w:t>
      </w:r>
      <w:r w:rsidRPr="001F3197">
        <w:rPr>
          <w:rFonts w:ascii="Arial" w:hAnsi="Arial" w:cs="Arial"/>
          <w:iCs/>
        </w:rPr>
        <w:t>também que o §</w:t>
      </w:r>
      <w:r w:rsidR="000F6413">
        <w:rPr>
          <w:rFonts w:ascii="Arial" w:hAnsi="Arial" w:cs="Arial"/>
          <w:iCs/>
        </w:rPr>
        <w:t xml:space="preserve"> </w:t>
      </w:r>
      <w:r w:rsidRPr="001F3197">
        <w:rPr>
          <w:rFonts w:ascii="Arial" w:hAnsi="Arial" w:cs="Arial"/>
          <w:iCs/>
        </w:rPr>
        <w:t>4º, incluído pela Lei Complementar n.º 194, de 13 de abril de 2016, no art. 9º, da Lei Complementar n. 113, previu que a título de racionalização administrativa e economia processual, o Tribunal poderá, mediante ato normativo próprio, estabelecer limites mínimos de valor para fins de instauração de processos ou procedimentos em geral;</w:t>
      </w:r>
    </w:p>
    <w:p w14:paraId="4281AC1D" w14:textId="77777777" w:rsidR="0051760C" w:rsidRPr="001F3197" w:rsidRDefault="0051760C" w:rsidP="00D305A7">
      <w:pPr>
        <w:spacing w:before="120"/>
        <w:ind w:right="-1" w:firstLine="1134"/>
        <w:jc w:val="both"/>
        <w:rPr>
          <w:rFonts w:ascii="Arial" w:hAnsi="Arial" w:cs="Arial"/>
          <w:iCs/>
        </w:rPr>
      </w:pPr>
      <w:r w:rsidRPr="001F3197">
        <w:rPr>
          <w:rFonts w:ascii="Arial" w:hAnsi="Arial" w:cs="Arial"/>
          <w:b/>
          <w:bCs/>
          <w:iCs/>
        </w:rPr>
        <w:t xml:space="preserve">CONSIDERANDO, </w:t>
      </w:r>
      <w:r w:rsidRPr="001F3197">
        <w:rPr>
          <w:rFonts w:ascii="Arial" w:hAnsi="Arial" w:cs="Arial"/>
          <w:iCs/>
        </w:rPr>
        <w:t>por fim, o art. 322-A do Regimento Interno deste Tribunal, que dispõe que a matéria será regulamentada por Resolução;</w:t>
      </w:r>
    </w:p>
    <w:p w14:paraId="03B4AC94" w14:textId="77777777" w:rsidR="0051760C" w:rsidRDefault="0051760C" w:rsidP="00D305A7">
      <w:pPr>
        <w:spacing w:before="240" w:after="240" w:line="276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RESOLVE</w:t>
      </w:r>
    </w:p>
    <w:p w14:paraId="454D6DA7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  <w:bCs/>
        </w:rPr>
        <w:t>A título de racionalização administrativa e economia processual, o Tribunal poderá, mediante Instrução Normativa, fixar valores mínimos relativos ao dano ao erário, apurado ou estimado, para fins de instauração ou processamento dos seguintes processos ou procedimentos em geral:</w:t>
      </w:r>
    </w:p>
    <w:p w14:paraId="467468DF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 – tomadas de contas;</w:t>
      </w:r>
    </w:p>
    <w:p w14:paraId="7AE81E9B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 – comunicações de irregularidade;</w:t>
      </w:r>
    </w:p>
    <w:p w14:paraId="35EB1A38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IIII – procedimentos de fiscalização em geral.</w:t>
      </w:r>
    </w:p>
    <w:p w14:paraId="17599E34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Para fins de fixação dos valores mencionados no </w:t>
      </w:r>
      <w:r>
        <w:rPr>
          <w:rFonts w:ascii="Arial" w:hAnsi="Arial" w:cs="Arial"/>
          <w:i/>
          <w:iCs/>
        </w:rPr>
        <w:t>caput</w:t>
      </w:r>
      <w:r>
        <w:rPr>
          <w:rFonts w:ascii="Arial" w:hAnsi="Arial" w:cs="Arial"/>
        </w:rPr>
        <w:t>, a Diretoria-Geral encaminhará planilha do custo médio da atividade fiscalizatória do Tribunal, elaborada pela Diretoria de Planejamento, à Coordenadoria-Geral de Fiscalização, que submeterá ao Presidente do Tribunal, anualmente, proposta de valores mínimos a partir do qual os processos ou procedimentos devam ser instaurados ou processados neste Tribunal.</w:t>
      </w:r>
    </w:p>
    <w:p w14:paraId="6416EBC8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§ 2º O Núcleo de Apoio à Fiscalização – NAF assessorará a Coordenadoria-Geral de Fiscalização na elaboração da proposta dos valores mínimos, emitindo informação considerando, além do custo médio da atividade fiscalizatória do Tribunal, a congruência entre os vários instrumentos de controle externo e a natureza dos objetos dos processos e dos procedimentos e os critérios de materialidade, relevância, oportunidade e risco.</w:t>
      </w:r>
    </w:p>
    <w:p w14:paraId="5E604F04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§ 3º Competirá ao Presidente propor a edição ou alteração da Instrução Normativa.</w:t>
      </w:r>
    </w:p>
    <w:p w14:paraId="2FC433DB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§ 4º A Instrução Normativa também poderá estabelecer normas de caráter procedimental que se façam necessárias.</w:t>
      </w:r>
    </w:p>
    <w:p w14:paraId="15062583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§ 5º Até que sobrevenha a hipótese do §</w:t>
      </w:r>
      <w:r w:rsidR="000F64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1º, fixa-se em R$</w:t>
      </w:r>
      <w:r w:rsidR="00031E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15.000,00 (quinze mil reais) o valor de que este dispositivo trata.</w:t>
      </w:r>
    </w:p>
    <w:p w14:paraId="27D9DAF9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2º </w:t>
      </w:r>
      <w:r>
        <w:rPr>
          <w:rFonts w:ascii="Arial" w:hAnsi="Arial" w:cs="Arial"/>
          <w:bCs/>
        </w:rPr>
        <w:t>A não instauração ou processamento de processos ou procedimentos em geral em razão do valor não afasta a atuação deste Tribunal, que não deixará de fazer as anotações necessárias nos sistemas competentes, bem como poderá se utilizar das ferramentas eletrônicas disponíveis para advertir o responsável.</w:t>
      </w:r>
    </w:p>
    <w:p w14:paraId="6BB247C3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§ 1º A reincidência em anotações poderá justificar a instauração ou processamento de processo ou procedimento que não tenha alcançado, isoladamente, o valor mínimo fixado. </w:t>
      </w:r>
    </w:p>
    <w:p w14:paraId="317804B8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2º Caso a irregularidade implique em dano ao erário de valor não definido no momento da instauração do processo ou do procedimento e durante o curso do processamento verifique-se que o valor é inferior ao mínimo fixado, avaliar-se-ão os custos já despendidos até o momento e a relevância e a oportunidade de se dar continuidade ao feito, sendo necessário para o encerramento do processo a oitiva da unidade técnica atuante no feito e do Ministério Público de Contas, assim como deliberação do órgão colegiado competente pelo julgamento do processo.</w:t>
      </w:r>
    </w:p>
    <w:p w14:paraId="6459CA81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3º O não encaminhamento de tomada de contas especial quando o dano a ser ressarcido for estimado em valor inferior ao valor mínimo fixado não constitui remissão do débito.</w:t>
      </w:r>
    </w:p>
    <w:p w14:paraId="63BA9186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4° O valor de alçada não serve como limite mínimo para a imputação de sanções.</w:t>
      </w:r>
    </w:p>
    <w:p w14:paraId="076DB9A5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</w:rPr>
        <w:t>Independentemente dos valores mínimos fixados</w:t>
      </w:r>
      <w:r w:rsidRPr="00031E84">
        <w:rPr>
          <w:rFonts w:ascii="Arial" w:hAnsi="Arial" w:cs="Arial"/>
          <w:iCs/>
        </w:rPr>
        <w:t>:</w:t>
      </w:r>
    </w:p>
    <w:p w14:paraId="17779B01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- os fiscalizados permanecem obrigados a alimentar os sistemas deste Tribunal;</w:t>
      </w:r>
    </w:p>
    <w:p w14:paraId="62822158" w14:textId="77777777" w:rsidR="0051760C" w:rsidRDefault="0051760C" w:rsidP="00D305A7">
      <w:pPr>
        <w:spacing w:before="120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II - o Tribunal poderá, sempre que o interesse público exigir e segundo critérios de materialidade, relevância, oportunidade e risco, promover os procedimentos de fiscalização, previstos no Regimento Interno, bem como instaurar ou processar tomadas ou prestações de contas, além dos processos ou procedimentos em geral.</w:t>
      </w:r>
    </w:p>
    <w:p w14:paraId="35461EB6" w14:textId="77777777" w:rsidR="00A00DF2" w:rsidRDefault="0051760C" w:rsidP="00D305A7">
      <w:pPr>
        <w:spacing w:before="120"/>
        <w:ind w:right="-1" w:firstLine="113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4º </w:t>
      </w:r>
      <w:r>
        <w:rPr>
          <w:rFonts w:ascii="Arial" w:hAnsi="Arial" w:cs="Arial"/>
        </w:rPr>
        <w:t>Esta Resolução entra em vigor na data de sua publicação.</w:t>
      </w:r>
    </w:p>
    <w:p w14:paraId="5E14FB9D" w14:textId="77777777" w:rsidR="001F3197" w:rsidRDefault="001F3197" w:rsidP="0043532A">
      <w:pPr>
        <w:pStyle w:val="Recuodecorpodetexto3"/>
        <w:tabs>
          <w:tab w:val="left" w:pos="709"/>
        </w:tabs>
        <w:spacing w:before="360"/>
        <w:ind w:right="-1" w:firstLine="0"/>
        <w:jc w:val="center"/>
        <w:rPr>
          <w:rFonts w:ascii="Arial" w:hAnsi="Arial" w:cs="Arial"/>
          <w:color w:val="000000"/>
        </w:rPr>
      </w:pPr>
      <w:r w:rsidRPr="00B5088E">
        <w:rPr>
          <w:rFonts w:ascii="Arial" w:hAnsi="Arial" w:cs="Arial"/>
          <w:color w:val="000000"/>
        </w:rPr>
        <w:t>Curitiba</w:t>
      </w:r>
      <w:r>
        <w:rPr>
          <w:rFonts w:ascii="Arial" w:hAnsi="Arial" w:cs="Arial"/>
          <w:color w:val="000000"/>
        </w:rPr>
        <w:t>,17 de fevereiro de 2017.</w:t>
      </w:r>
    </w:p>
    <w:p w14:paraId="35F4EAD2" w14:textId="77777777" w:rsidR="0043532A" w:rsidRPr="00B5088E" w:rsidRDefault="0043532A" w:rsidP="0043532A">
      <w:pPr>
        <w:pStyle w:val="Recuodecorpodetexto3"/>
        <w:tabs>
          <w:tab w:val="left" w:pos="709"/>
        </w:tabs>
        <w:spacing w:before="360"/>
        <w:ind w:right="-1" w:firstLine="0"/>
        <w:jc w:val="center"/>
        <w:rPr>
          <w:rFonts w:ascii="Arial" w:hAnsi="Arial" w:cs="Arial"/>
          <w:color w:val="000000"/>
        </w:rPr>
      </w:pPr>
    </w:p>
    <w:p w14:paraId="6605AB85" w14:textId="77777777" w:rsidR="001F3197" w:rsidRPr="00565BE1" w:rsidRDefault="001F3197" w:rsidP="0043532A">
      <w:pPr>
        <w:tabs>
          <w:tab w:val="left" w:pos="709"/>
        </w:tabs>
        <w:spacing w:before="360"/>
        <w:ind w:right="-1"/>
        <w:jc w:val="center"/>
        <w:rPr>
          <w:rFonts w:ascii="Arial" w:hAnsi="Arial" w:cs="Arial"/>
          <w:b/>
          <w:szCs w:val="14"/>
        </w:rPr>
      </w:pPr>
      <w:r w:rsidRPr="00565BE1">
        <w:rPr>
          <w:rFonts w:ascii="Arial" w:hAnsi="Arial" w:cs="Arial"/>
          <w:color w:val="000000"/>
          <w:szCs w:val="24"/>
        </w:rPr>
        <w:t xml:space="preserve">Conselheiro </w:t>
      </w:r>
      <w:r w:rsidRPr="00565BE1">
        <w:rPr>
          <w:rFonts w:ascii="Arial" w:hAnsi="Arial" w:cs="Arial"/>
          <w:b/>
          <w:szCs w:val="14"/>
        </w:rPr>
        <w:t>JOSÉ DURVAL MATTOS DO AMARAL</w:t>
      </w:r>
    </w:p>
    <w:p w14:paraId="02920654" w14:textId="77777777" w:rsidR="001F3197" w:rsidRDefault="001F3197" w:rsidP="0043532A">
      <w:pPr>
        <w:tabs>
          <w:tab w:val="left" w:pos="709"/>
        </w:tabs>
        <w:ind w:right="-1"/>
        <w:jc w:val="center"/>
      </w:pPr>
      <w:r w:rsidRPr="00B5088E">
        <w:rPr>
          <w:rFonts w:ascii="Arial" w:hAnsi="Arial" w:cs="Arial"/>
          <w:color w:val="000000"/>
          <w:szCs w:val="24"/>
        </w:rPr>
        <w:t>Presidente</w:t>
      </w:r>
    </w:p>
    <w:sectPr w:rsidR="001F3197" w:rsidSect="00D305A7">
      <w:headerReference w:type="default" r:id="rId7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19AD4" w14:textId="77777777" w:rsidR="00C1706C" w:rsidRDefault="00C1706C" w:rsidP="001F3197">
      <w:r>
        <w:separator/>
      </w:r>
    </w:p>
  </w:endnote>
  <w:endnote w:type="continuationSeparator" w:id="0">
    <w:p w14:paraId="2599F453" w14:textId="77777777" w:rsidR="00C1706C" w:rsidRDefault="00C1706C" w:rsidP="001F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0455F" w14:textId="77777777" w:rsidR="00C1706C" w:rsidRDefault="00C1706C" w:rsidP="001F3197">
      <w:r>
        <w:separator/>
      </w:r>
    </w:p>
  </w:footnote>
  <w:footnote w:type="continuationSeparator" w:id="0">
    <w:p w14:paraId="01E59B83" w14:textId="77777777" w:rsidR="00C1706C" w:rsidRDefault="00C1706C" w:rsidP="001F3197">
      <w:r>
        <w:continuationSeparator/>
      </w:r>
    </w:p>
  </w:footnote>
  <w:footnote w:id="1">
    <w:p w14:paraId="63E3883D" w14:textId="77777777" w:rsidR="000D336C" w:rsidRPr="00715AED" w:rsidRDefault="000D336C" w:rsidP="000D336C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715AED">
        <w:rPr>
          <w:rFonts w:ascii="Arial" w:hAnsi="Arial" w:cs="Arial"/>
          <w:b/>
        </w:rPr>
        <w:t>Notas da Biblioteca:</w:t>
      </w:r>
    </w:p>
    <w:p w14:paraId="3B7FBF3C" w14:textId="77777777" w:rsidR="00AF25ED" w:rsidRDefault="000D336C" w:rsidP="00AF25ED">
      <w:pPr>
        <w:pStyle w:val="Textodenotaderodap"/>
        <w:numPr>
          <w:ilvl w:val="0"/>
          <w:numId w:val="1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715AED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9B3C5D" w:rsidRPr="00715AED">
          <w:rPr>
            <w:rStyle w:val="Hyperlink"/>
            <w:rFonts w:ascii="Arial" w:hAnsi="Arial" w:cs="Arial"/>
            <w:b/>
          </w:rPr>
          <w:t>Diário Eletrônico do Tribunal de Contas do Estado</w:t>
        </w:r>
        <w:r w:rsidR="009B3C5D" w:rsidRPr="00715AED">
          <w:rPr>
            <w:rStyle w:val="Hyperlink"/>
            <w:rFonts w:ascii="Arial" w:hAnsi="Arial" w:cs="Arial"/>
            <w:bCs/>
          </w:rPr>
          <w:t xml:space="preserve"> </w:t>
        </w:r>
        <w:r w:rsidR="009B3C5D" w:rsidRPr="00715AED">
          <w:rPr>
            <w:rStyle w:val="Hyperlink"/>
            <w:rFonts w:ascii="Arial" w:hAnsi="Arial" w:cs="Arial"/>
            <w:b/>
          </w:rPr>
          <w:t>do Paraná</w:t>
        </w:r>
        <w:r w:rsidR="009B3C5D" w:rsidRPr="00715AED">
          <w:rPr>
            <w:rStyle w:val="Hyperlink"/>
            <w:rFonts w:ascii="Arial" w:hAnsi="Arial" w:cs="Arial"/>
            <w:bCs/>
          </w:rPr>
          <w:t>, Curitiba, PR, n. 1545, 3 mar. 2017, p. 28</w:t>
        </w:r>
      </w:hyperlink>
      <w:r w:rsidR="009B3C5D" w:rsidRPr="00715AED">
        <w:rPr>
          <w:rFonts w:ascii="Arial" w:hAnsi="Arial" w:cs="Arial"/>
          <w:bCs/>
        </w:rPr>
        <w:t>.</w:t>
      </w:r>
    </w:p>
    <w:p w14:paraId="390FB5EB" w14:textId="012D220B" w:rsidR="00AF25ED" w:rsidRPr="00AF25ED" w:rsidRDefault="00AF25ED" w:rsidP="00AF25ED">
      <w:pPr>
        <w:pStyle w:val="Textodenotaderodap"/>
        <w:numPr>
          <w:ilvl w:val="0"/>
          <w:numId w:val="1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AF25ED">
        <w:rPr>
          <w:rFonts w:ascii="Arial" w:hAnsi="Arial" w:cs="Arial"/>
        </w:rPr>
        <w:t xml:space="preserve">Origem: Processo n. 808024/23– </w:t>
      </w:r>
      <w:hyperlink r:id="rId2" w:history="1">
        <w:r w:rsidRPr="00AF25ED">
          <w:rPr>
            <w:rStyle w:val="Hyperlink"/>
            <w:rFonts w:ascii="Arial" w:hAnsi="Arial" w:cs="Arial"/>
          </w:rPr>
          <w:t>Acórdão n. 1236/24 - Tribunal Pleno</w:t>
        </w:r>
      </w:hyperlink>
      <w:r w:rsidRPr="00AF25ED">
        <w:rPr>
          <w:rFonts w:ascii="Arial" w:hAnsi="Arial" w:cs="Arial"/>
        </w:rPr>
        <w:t>.</w:t>
      </w:r>
    </w:p>
    <w:p w14:paraId="3803C1E2" w14:textId="5AA52FAF" w:rsidR="0035755B" w:rsidRPr="0035755B" w:rsidRDefault="0035755B" w:rsidP="000D336C">
      <w:pPr>
        <w:pStyle w:val="Textodenotaderodap"/>
        <w:numPr>
          <w:ilvl w:val="0"/>
          <w:numId w:val="1"/>
        </w:numPr>
        <w:autoSpaceDE/>
        <w:autoSpaceDN/>
        <w:ind w:left="426" w:hanging="284"/>
        <w:jc w:val="both"/>
        <w:rPr>
          <w:rFonts w:ascii="Arial" w:hAnsi="Arial" w:cs="Arial"/>
          <w:b/>
        </w:rPr>
      </w:pPr>
      <w:r w:rsidRPr="0035755B">
        <w:rPr>
          <w:rFonts w:ascii="Arial" w:hAnsi="Arial" w:cs="Arial"/>
          <w:b/>
        </w:rPr>
        <w:t>Alterada por:</w:t>
      </w:r>
      <w:r>
        <w:rPr>
          <w:rFonts w:ascii="Arial" w:hAnsi="Arial" w:cs="Arial"/>
          <w:b/>
        </w:rPr>
        <w:t xml:space="preserve"> </w:t>
      </w:r>
      <w:hyperlink r:id="rId3" w:history="1">
        <w:r>
          <w:rPr>
            <w:rStyle w:val="Hyperlink"/>
            <w:rFonts w:ascii="Tahoma" w:hAnsi="Tahoma" w:cs="Tahoma"/>
            <w:color w:val="004C78"/>
          </w:rPr>
          <w:t>Resolução n. 112, de 20 de maio de 2024.</w:t>
        </w:r>
      </w:hyperlink>
    </w:p>
    <w:p w14:paraId="3ACA1B23" w14:textId="0BE6D94E" w:rsidR="005A3D2D" w:rsidRPr="00715AED" w:rsidRDefault="005A3D2D" w:rsidP="000D336C">
      <w:pPr>
        <w:pStyle w:val="Textodenotaderodap"/>
        <w:numPr>
          <w:ilvl w:val="0"/>
          <w:numId w:val="1"/>
        </w:numPr>
        <w:autoSpaceDE/>
        <w:autoSpaceDN/>
        <w:ind w:left="426" w:hanging="284"/>
        <w:jc w:val="both"/>
        <w:rPr>
          <w:rFonts w:ascii="Arial" w:hAnsi="Arial" w:cs="Arial"/>
          <w:b/>
        </w:rPr>
      </w:pPr>
      <w:r w:rsidRPr="00715AED">
        <w:rPr>
          <w:rFonts w:ascii="Arial" w:hAnsi="Arial" w:cs="Arial"/>
          <w:b/>
        </w:rPr>
        <w:t>Ver:</w:t>
      </w:r>
    </w:p>
    <w:p w14:paraId="3CF06F1A" w14:textId="2A52AFAC" w:rsidR="005A3D2D" w:rsidRPr="00715AED" w:rsidRDefault="00AF25ED" w:rsidP="005A3D2D">
      <w:pPr>
        <w:pStyle w:val="Textodenotaderodap"/>
        <w:autoSpaceDE/>
        <w:autoSpaceDN/>
        <w:ind w:left="426"/>
        <w:jc w:val="both"/>
        <w:rPr>
          <w:rFonts w:ascii="Arial" w:hAnsi="Arial" w:cs="Arial"/>
        </w:rPr>
      </w:pPr>
      <w:hyperlink r:id="rId4" w:history="1">
        <w:r w:rsidR="0078125D" w:rsidRPr="00715AED">
          <w:rPr>
            <w:rStyle w:val="Hyperlink"/>
            <w:rFonts w:ascii="Arial" w:hAnsi="Arial" w:cs="Arial"/>
            <w:iCs/>
          </w:rPr>
          <w:t>Lei Complementar n. 113, de 15 de dezembro de 2005</w:t>
        </w:r>
      </w:hyperlink>
      <w:r w:rsidR="0078125D" w:rsidRPr="00715AED">
        <w:rPr>
          <w:rFonts w:ascii="Arial" w:hAnsi="Arial" w:cs="Arial"/>
          <w:iCs/>
        </w:rPr>
        <w:t>.</w:t>
      </w:r>
    </w:p>
    <w:p w14:paraId="1BB64223" w14:textId="7BB832BB" w:rsidR="000D336C" w:rsidRPr="00715AED" w:rsidRDefault="00AF25ED" w:rsidP="00266CB1">
      <w:pPr>
        <w:pStyle w:val="Textodenotaderodap"/>
        <w:ind w:firstLine="426"/>
        <w:rPr>
          <w:rFonts w:ascii="Arial" w:hAnsi="Arial" w:cs="Arial"/>
          <w:iCs/>
        </w:rPr>
      </w:pPr>
      <w:hyperlink r:id="rId5" w:anchor="957607" w:history="1">
        <w:r w:rsidR="002B67A7" w:rsidRPr="00715AED">
          <w:rPr>
            <w:rStyle w:val="Hyperlink"/>
            <w:rFonts w:ascii="Arial" w:hAnsi="Arial" w:cs="Arial"/>
            <w:iCs/>
          </w:rPr>
          <w:t>Lei Complementar n. 194, de 13 de abril de 2016</w:t>
        </w:r>
      </w:hyperlink>
      <w:r w:rsidR="002B67A7" w:rsidRPr="00715AED">
        <w:rPr>
          <w:rFonts w:ascii="Arial" w:hAnsi="Arial" w:cs="Arial"/>
          <w:iCs/>
        </w:rPr>
        <w:t>.</w:t>
      </w:r>
    </w:p>
    <w:p w14:paraId="35866A8F" w14:textId="00191E76" w:rsidR="00266CB1" w:rsidRPr="00F27058" w:rsidRDefault="00AF25ED" w:rsidP="00F27058">
      <w:pPr>
        <w:pStyle w:val="Textodenotaderodap"/>
        <w:ind w:left="426"/>
        <w:jc w:val="both"/>
        <w:rPr>
          <w:rFonts w:ascii="Arial" w:hAnsi="Arial" w:cs="Arial"/>
          <w:color w:val="0000FF"/>
          <w:u w:val="single"/>
        </w:rPr>
      </w:pPr>
      <w:hyperlink r:id="rId6" w:history="1">
        <w:r w:rsidR="00F27058" w:rsidRPr="00D10126">
          <w:rPr>
            <w:rStyle w:val="Hyperlink"/>
            <w:rFonts w:ascii="Tahoma" w:hAnsi="Tahoma" w:cs="Tahoma"/>
          </w:rPr>
          <w:t>Resolução n. 1, de 24 de janeiro de 2006 - Regimento Interno</w:t>
        </w:r>
      </w:hyperlink>
      <w:r w:rsidR="00F27058" w:rsidRPr="00D10126">
        <w:rPr>
          <w:rStyle w:val="Hyperlink"/>
          <w:rFonts w:ascii="Arial" w:hAnsi="Arial" w:cs="Arial"/>
        </w:rPr>
        <w:t xml:space="preserve"> (e alterações posteriores)</w:t>
      </w:r>
      <w:r w:rsidR="00F27058">
        <w:rPr>
          <w:rStyle w:val="Hyperlink"/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4EEAE" w14:textId="77777777" w:rsidR="001F3197" w:rsidRDefault="00AF25ED" w:rsidP="001F3197">
    <w:pPr>
      <w:keepLines/>
      <w:spacing w:before="480" w:after="600"/>
      <w:ind w:firstLine="1418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262C5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1F3197" w:rsidRPr="00347E10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23E19"/>
    <w:multiLevelType w:val="hybridMultilevel"/>
    <w:tmpl w:val="BBB824DC"/>
    <w:lvl w:ilvl="0" w:tplc="FFFFFFFF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23CC0"/>
    <w:multiLevelType w:val="hybridMultilevel"/>
    <w:tmpl w:val="7ADEFBF2"/>
    <w:lvl w:ilvl="0" w:tplc="0416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455259">
    <w:abstractNumId w:val="0"/>
  </w:num>
  <w:num w:numId="2" w16cid:durableId="2124838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0C"/>
    <w:rsid w:val="00031E84"/>
    <w:rsid w:val="00085C0C"/>
    <w:rsid w:val="000D336C"/>
    <w:rsid w:val="000F6413"/>
    <w:rsid w:val="001F3197"/>
    <w:rsid w:val="00266CB1"/>
    <w:rsid w:val="002B24C0"/>
    <w:rsid w:val="002B67A7"/>
    <w:rsid w:val="0035755B"/>
    <w:rsid w:val="0043532A"/>
    <w:rsid w:val="00454551"/>
    <w:rsid w:val="0051760C"/>
    <w:rsid w:val="00581B0F"/>
    <w:rsid w:val="005A3D2D"/>
    <w:rsid w:val="0063086D"/>
    <w:rsid w:val="00715AED"/>
    <w:rsid w:val="0078125D"/>
    <w:rsid w:val="009B3C5D"/>
    <w:rsid w:val="00A00DF2"/>
    <w:rsid w:val="00AF25ED"/>
    <w:rsid w:val="00B452A8"/>
    <w:rsid w:val="00C1706C"/>
    <w:rsid w:val="00D305A7"/>
    <w:rsid w:val="00F27058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6A3AB"/>
  <w15:chartTrackingRefBased/>
  <w15:docId w15:val="{C09CA54D-3FA4-4695-B5BE-388919A8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0C"/>
    <w:pPr>
      <w:autoSpaceDE w:val="0"/>
      <w:autoSpaceDN w:val="0"/>
    </w:pPr>
    <w:rPr>
      <w:rFonts w:ascii="Times New Roman" w:eastAsia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1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F3197"/>
    <w:rPr>
      <w:rFonts w:ascii="Times New Roman" w:eastAsia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F31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F3197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1F3197"/>
    <w:pPr>
      <w:autoSpaceDE/>
      <w:autoSpaceDN/>
      <w:ind w:firstLine="720"/>
      <w:jc w:val="both"/>
    </w:pPr>
    <w:rPr>
      <w:color w:val="FF0000"/>
      <w:szCs w:val="24"/>
    </w:rPr>
  </w:style>
  <w:style w:type="character" w:customStyle="1" w:styleId="Recuodecorpodetexto3Char">
    <w:name w:val="Recuo de corpo de texto 3 Char"/>
    <w:link w:val="Recuodecorpodetexto3"/>
    <w:rsid w:val="001F3197"/>
    <w:rPr>
      <w:rFonts w:ascii="Times New Roman" w:eastAsia="Times New Roman" w:hAnsi="Times New Roman"/>
      <w:color w:val="FF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0D336C"/>
    <w:rPr>
      <w:sz w:val="20"/>
    </w:rPr>
  </w:style>
  <w:style w:type="character" w:customStyle="1" w:styleId="TextodenotaderodapChar">
    <w:name w:val="Texto de nota de rodapé Char"/>
    <w:link w:val="Textodenotaderodap"/>
    <w:rsid w:val="000D336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0D336C"/>
    <w:rPr>
      <w:vertAlign w:val="superscript"/>
    </w:rPr>
  </w:style>
  <w:style w:type="character" w:styleId="Hyperlink">
    <w:name w:val="Hyperlink"/>
    <w:uiPriority w:val="99"/>
    <w:rsid w:val="000D336C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581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12-de-20-de-maio-de-2024/354715/area/249" TargetMode="External"/><Relationship Id="rId2" Type="http://schemas.openxmlformats.org/officeDocument/2006/relationships/hyperlink" Target="https://www1.tce.pr.gov.br/busca/?por=ACO-1236-2024-TP" TargetMode="External"/><Relationship Id="rId1" Type="http://schemas.openxmlformats.org/officeDocument/2006/relationships/hyperlink" Target="http://www1.tce.pr.gov.br/multimidia/2017/3/pdf/00310881.pdf" TargetMode="External"/><Relationship Id="rId6" Type="http://schemas.openxmlformats.org/officeDocument/2006/relationships/hyperlink" Target="https://www1.tce.pr.gov.br/conteudo/resolucao-n-1-de-24-de-janeiro-de-2006-regimento-interno/1403/area/10" TargetMode="External"/><Relationship Id="rId5" Type="http://schemas.openxmlformats.org/officeDocument/2006/relationships/hyperlink" Target="https://www.legislacao.pr.gov.br/legislacao/pesquisarAto.do?action=exibir&amp;codAto=155320&amp;codItemAto=957607" TargetMode="External"/><Relationship Id="rId4" Type="http://schemas.openxmlformats.org/officeDocument/2006/relationships/hyperlink" Target="https://www.legislacao.pr.gov.br/legislacao/pesquisarAto.do?action=exibir&amp;codAto=7482&amp;indice=1&amp;totalRegistros=3&amp;dt=5.6.2022.19.52.22.6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cp:lastModifiedBy>Milena Caroline Antunes dos Santos da Luz</cp:lastModifiedBy>
  <cp:revision>16</cp:revision>
  <dcterms:created xsi:type="dcterms:W3CDTF">2022-07-05T22:45:00Z</dcterms:created>
  <dcterms:modified xsi:type="dcterms:W3CDTF">2024-05-24T16:30:00Z</dcterms:modified>
</cp:coreProperties>
</file>