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BA0F" w14:textId="15924ADD" w:rsidR="00CB3A8A" w:rsidRDefault="00CB3A8A" w:rsidP="009973DB">
      <w:pPr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7364E">
        <w:rPr>
          <w:rFonts w:ascii="Arial" w:eastAsia="Calibri" w:hAnsi="Arial" w:cs="Arial"/>
          <w:b/>
          <w:bCs/>
          <w:sz w:val="28"/>
          <w:szCs w:val="28"/>
        </w:rPr>
        <w:t>RESOLUÇÃO</w:t>
      </w:r>
      <w:r w:rsidR="0038666C" w:rsidRPr="0037364E">
        <w:rPr>
          <w:rFonts w:ascii="Arial" w:eastAsia="Calibri" w:hAnsi="Arial" w:cs="Arial"/>
          <w:b/>
          <w:bCs/>
          <w:sz w:val="28"/>
          <w:szCs w:val="28"/>
        </w:rPr>
        <w:t xml:space="preserve"> Nº</w:t>
      </w:r>
      <w:r w:rsidR="00714C75">
        <w:rPr>
          <w:rFonts w:ascii="Arial" w:eastAsia="Calibri" w:hAnsi="Arial" w:cs="Arial"/>
          <w:b/>
          <w:bCs/>
          <w:sz w:val="28"/>
          <w:szCs w:val="28"/>
        </w:rPr>
        <w:t xml:space="preserve"> 49</w:t>
      </w:r>
      <w:r w:rsidR="00A721EF" w:rsidRPr="0037364E">
        <w:rPr>
          <w:rFonts w:ascii="Arial" w:eastAsia="Calibri" w:hAnsi="Arial" w:cs="Arial"/>
          <w:b/>
          <w:bCs/>
          <w:sz w:val="28"/>
          <w:szCs w:val="28"/>
        </w:rPr>
        <w:t>/2014</w:t>
      </w:r>
      <w:r w:rsidR="005E08A5">
        <w:rPr>
          <w:rStyle w:val="Refdenotaderodap"/>
          <w:rFonts w:ascii="Arial" w:eastAsia="Calibri" w:hAnsi="Arial" w:cs="Arial"/>
          <w:b/>
          <w:bCs/>
          <w:sz w:val="28"/>
          <w:szCs w:val="28"/>
        </w:rPr>
        <w:footnoteReference w:id="1"/>
      </w:r>
    </w:p>
    <w:p w14:paraId="2D4BD329" w14:textId="77777777" w:rsidR="00714C75" w:rsidRPr="003A5754" w:rsidRDefault="00714C75" w:rsidP="003A5754">
      <w:pPr>
        <w:adjustRightInd w:val="0"/>
        <w:spacing w:before="360" w:after="360"/>
        <w:ind w:left="4536"/>
        <w:jc w:val="both"/>
        <w:rPr>
          <w:rFonts w:ascii="Arial,Italic" w:eastAsia="Calibri" w:hAnsi="Arial,Italic" w:cs="Arial,Italic"/>
          <w:i/>
          <w:iCs/>
          <w:sz w:val="22"/>
          <w:szCs w:val="22"/>
        </w:rPr>
      </w:pPr>
      <w:r w:rsidRPr="003A5754">
        <w:rPr>
          <w:rFonts w:ascii="Arial,Italic" w:eastAsia="Calibri" w:hAnsi="Arial,Italic" w:cs="Arial,Italic"/>
          <w:i/>
          <w:iCs/>
          <w:sz w:val="22"/>
          <w:szCs w:val="22"/>
        </w:rPr>
        <w:t>Dispõe sobre o pagamento, a título de</w:t>
      </w:r>
      <w:r w:rsidR="00DA42A7" w:rsidRPr="003A5754">
        <w:rPr>
          <w:rFonts w:ascii="Arial,Italic" w:eastAsia="Calibri" w:hAnsi="Arial,Italic" w:cs="Arial,Italic"/>
          <w:i/>
          <w:iCs/>
          <w:sz w:val="22"/>
          <w:szCs w:val="22"/>
        </w:rPr>
        <w:t xml:space="preserve"> </w:t>
      </w:r>
      <w:r w:rsidRPr="003A5754">
        <w:rPr>
          <w:rFonts w:ascii="Arial,Italic" w:eastAsia="Calibri" w:hAnsi="Arial,Italic" w:cs="Arial,Italic"/>
          <w:i/>
          <w:iCs/>
          <w:sz w:val="22"/>
          <w:szCs w:val="22"/>
        </w:rPr>
        <w:t>indenização, de férias não usufruídas por</w:t>
      </w:r>
      <w:r w:rsidR="004E06AC" w:rsidRPr="003A5754">
        <w:rPr>
          <w:rFonts w:ascii="Arial,Italic" w:eastAsia="Calibri" w:hAnsi="Arial,Italic" w:cs="Arial,Italic"/>
          <w:i/>
          <w:iCs/>
          <w:sz w:val="22"/>
          <w:szCs w:val="22"/>
        </w:rPr>
        <w:t xml:space="preserve"> </w:t>
      </w:r>
      <w:r w:rsidRPr="003A5754">
        <w:rPr>
          <w:rFonts w:ascii="Arial,Italic" w:eastAsia="Calibri" w:hAnsi="Arial,Italic" w:cs="Arial,Italic"/>
          <w:i/>
          <w:iCs/>
          <w:sz w:val="22"/>
          <w:szCs w:val="22"/>
        </w:rPr>
        <w:t>membros at</w:t>
      </w:r>
      <w:r w:rsidR="00DA42A7" w:rsidRPr="003A5754">
        <w:rPr>
          <w:rFonts w:ascii="Arial,Italic" w:eastAsia="Calibri" w:hAnsi="Arial,Italic" w:cs="Arial,Italic"/>
          <w:i/>
          <w:iCs/>
          <w:sz w:val="22"/>
          <w:szCs w:val="22"/>
        </w:rPr>
        <w:t xml:space="preserve">ivos do Tribunal de Contas, e dá outras </w:t>
      </w:r>
      <w:r w:rsidRPr="003A5754">
        <w:rPr>
          <w:rFonts w:ascii="Arial,Italic" w:eastAsia="Calibri" w:hAnsi="Arial,Italic" w:cs="Arial,Italic"/>
          <w:i/>
          <w:iCs/>
          <w:sz w:val="22"/>
          <w:szCs w:val="22"/>
        </w:rPr>
        <w:t>providências.</w:t>
      </w:r>
    </w:p>
    <w:p w14:paraId="7812F5FF" w14:textId="77777777" w:rsidR="00714C75" w:rsidRDefault="00714C75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>O TRIBUNAL DE CONTAS DO ESTADO DO PARANÁ</w:t>
      </w:r>
      <w:r>
        <w:rPr>
          <w:rFonts w:ascii="Arial" w:eastAsia="Calibri" w:hAnsi="Arial" w:cs="Arial"/>
          <w:sz w:val="24"/>
          <w:szCs w:val="24"/>
        </w:rPr>
        <w:t>, no uso das atribuições que</w:t>
      </w:r>
      <w:r w:rsidR="004E06A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lhe confere</w:t>
      </w:r>
      <w:r w:rsidR="00697944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 xml:space="preserve"> o art. 116, inciso XII, da Lei Complementar nº 113, de 15 de dezembro de 2005, e o art. 188 do Regimento Interno,</w:t>
      </w:r>
    </w:p>
    <w:p w14:paraId="2486E7C6" w14:textId="77777777" w:rsidR="00714C75" w:rsidRDefault="00714C75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CONSIDERANDO ser devida ao magistrado indenização de férias não </w:t>
      </w:r>
      <w:r w:rsidR="003E03D3">
        <w:rPr>
          <w:rFonts w:ascii="Arial" w:eastAsia="Calibri" w:hAnsi="Arial" w:cs="Arial"/>
          <w:sz w:val="24"/>
          <w:szCs w:val="24"/>
        </w:rPr>
        <w:t xml:space="preserve">gozadas, por </w:t>
      </w:r>
      <w:r>
        <w:rPr>
          <w:rFonts w:ascii="Arial" w:eastAsia="Calibri" w:hAnsi="Arial" w:cs="Arial"/>
          <w:sz w:val="24"/>
          <w:szCs w:val="24"/>
        </w:rPr>
        <w:t xml:space="preserve">absoluta necessidade de serviço, após o acúmulo de </w:t>
      </w:r>
      <w:r w:rsidR="00697944">
        <w:rPr>
          <w:rFonts w:ascii="Arial" w:eastAsia="Calibri" w:hAnsi="Arial" w:cs="Arial"/>
          <w:sz w:val="24"/>
          <w:szCs w:val="24"/>
        </w:rPr>
        <w:t>2 (</w:t>
      </w:r>
      <w:r>
        <w:rPr>
          <w:rFonts w:ascii="Arial" w:eastAsia="Calibri" w:hAnsi="Arial" w:cs="Arial"/>
          <w:sz w:val="24"/>
          <w:szCs w:val="24"/>
        </w:rPr>
        <w:t>d</w:t>
      </w:r>
      <w:r w:rsidR="003E03D3">
        <w:rPr>
          <w:rFonts w:ascii="Arial" w:eastAsia="Calibri" w:hAnsi="Arial" w:cs="Arial"/>
          <w:sz w:val="24"/>
          <w:szCs w:val="24"/>
        </w:rPr>
        <w:t>ois</w:t>
      </w:r>
      <w:r w:rsidR="00697944">
        <w:rPr>
          <w:rFonts w:ascii="Arial" w:eastAsia="Calibri" w:hAnsi="Arial" w:cs="Arial"/>
          <w:sz w:val="24"/>
          <w:szCs w:val="24"/>
        </w:rPr>
        <w:t>)</w:t>
      </w:r>
      <w:r w:rsidR="003E03D3">
        <w:rPr>
          <w:rFonts w:ascii="Arial" w:eastAsia="Calibri" w:hAnsi="Arial" w:cs="Arial"/>
          <w:sz w:val="24"/>
          <w:szCs w:val="24"/>
        </w:rPr>
        <w:t xml:space="preserve"> períodos, nos exatos </w:t>
      </w:r>
      <w:r w:rsidR="00DA42A7">
        <w:rPr>
          <w:rFonts w:ascii="Arial" w:eastAsia="Calibri" w:hAnsi="Arial" w:cs="Arial"/>
          <w:sz w:val="24"/>
          <w:szCs w:val="24"/>
        </w:rPr>
        <w:t xml:space="preserve">termos </w:t>
      </w:r>
      <w:r>
        <w:rPr>
          <w:rFonts w:ascii="Arial" w:eastAsia="Calibri" w:hAnsi="Arial" w:cs="Arial"/>
          <w:sz w:val="24"/>
          <w:szCs w:val="24"/>
        </w:rPr>
        <w:t>do art. 1º, alínea “f”, da Resoluçã</w:t>
      </w:r>
      <w:r w:rsidR="00697944">
        <w:rPr>
          <w:rFonts w:ascii="Arial" w:eastAsia="Calibri" w:hAnsi="Arial" w:cs="Arial"/>
          <w:sz w:val="24"/>
          <w:szCs w:val="24"/>
        </w:rPr>
        <w:t>o n</w:t>
      </w:r>
      <w:r>
        <w:rPr>
          <w:rFonts w:ascii="Arial" w:eastAsia="Calibri" w:hAnsi="Arial" w:cs="Arial"/>
          <w:sz w:val="24"/>
          <w:szCs w:val="24"/>
        </w:rPr>
        <w:t>º 133, de 2</w:t>
      </w:r>
      <w:r w:rsidR="00DA42A7">
        <w:rPr>
          <w:rFonts w:ascii="Arial" w:eastAsia="Calibri" w:hAnsi="Arial" w:cs="Arial"/>
          <w:sz w:val="24"/>
          <w:szCs w:val="24"/>
        </w:rPr>
        <w:t xml:space="preserve">1 de junho de 2011, do Conselho </w:t>
      </w:r>
      <w:r>
        <w:rPr>
          <w:rFonts w:ascii="Arial" w:eastAsia="Calibri" w:hAnsi="Arial" w:cs="Arial"/>
          <w:sz w:val="24"/>
          <w:szCs w:val="24"/>
        </w:rPr>
        <w:t>Nacional de Justiça, que, por sua vez, estende as van</w:t>
      </w:r>
      <w:r w:rsidR="00DA42A7">
        <w:rPr>
          <w:rFonts w:ascii="Arial" w:eastAsia="Calibri" w:hAnsi="Arial" w:cs="Arial"/>
          <w:sz w:val="24"/>
          <w:szCs w:val="24"/>
        </w:rPr>
        <w:t xml:space="preserve">tagens funcionais do Ministério </w:t>
      </w:r>
      <w:r>
        <w:rPr>
          <w:rFonts w:ascii="Arial" w:eastAsia="Calibri" w:hAnsi="Arial" w:cs="Arial"/>
          <w:sz w:val="24"/>
          <w:szCs w:val="24"/>
        </w:rPr>
        <w:t>Público Federal à Magistratura Nacional;</w:t>
      </w:r>
    </w:p>
    <w:p w14:paraId="64111DF1" w14:textId="77777777" w:rsidR="00714C75" w:rsidRDefault="00714C75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CONSIDERANDO que o Tribunal de Justiça do</w:t>
      </w:r>
      <w:r w:rsidR="004E06AC">
        <w:rPr>
          <w:rFonts w:ascii="Arial" w:eastAsia="Calibri" w:hAnsi="Arial" w:cs="Arial"/>
          <w:sz w:val="24"/>
          <w:szCs w:val="24"/>
        </w:rPr>
        <w:t xml:space="preserve"> Estado do Paraná disciplinou a </w:t>
      </w:r>
      <w:r>
        <w:rPr>
          <w:rFonts w:ascii="Arial" w:eastAsia="Calibri" w:hAnsi="Arial" w:cs="Arial"/>
          <w:sz w:val="24"/>
          <w:szCs w:val="24"/>
        </w:rPr>
        <w:t>concessão de indenização de férias não gozadas a magistra</w:t>
      </w:r>
      <w:r w:rsidR="004E06AC">
        <w:rPr>
          <w:rFonts w:ascii="Arial" w:eastAsia="Calibri" w:hAnsi="Arial" w:cs="Arial"/>
          <w:sz w:val="24"/>
          <w:szCs w:val="24"/>
        </w:rPr>
        <w:t xml:space="preserve">dos, por absoluta </w:t>
      </w:r>
      <w:r>
        <w:rPr>
          <w:rFonts w:ascii="Arial" w:eastAsia="Calibri" w:hAnsi="Arial" w:cs="Arial"/>
          <w:sz w:val="24"/>
          <w:szCs w:val="24"/>
        </w:rPr>
        <w:t xml:space="preserve">necessidade de serviço, </w:t>
      </w:r>
      <w:r w:rsidR="00697944">
        <w:rPr>
          <w:rFonts w:ascii="Arial" w:eastAsia="Calibri" w:hAnsi="Arial" w:cs="Arial"/>
          <w:sz w:val="24"/>
          <w:szCs w:val="24"/>
        </w:rPr>
        <w:t>por meio</w:t>
      </w:r>
      <w:r>
        <w:rPr>
          <w:rFonts w:ascii="Arial" w:eastAsia="Calibri" w:hAnsi="Arial" w:cs="Arial"/>
          <w:sz w:val="24"/>
          <w:szCs w:val="24"/>
        </w:rPr>
        <w:t xml:space="preserve"> da Resolução nº</w:t>
      </w:r>
      <w:r w:rsidR="004E06AC">
        <w:rPr>
          <w:rFonts w:ascii="Arial" w:eastAsia="Calibri" w:hAnsi="Arial" w:cs="Arial"/>
          <w:sz w:val="24"/>
          <w:szCs w:val="24"/>
        </w:rPr>
        <w:t xml:space="preserve"> 74, de 26 de novembro de 2012, </w:t>
      </w:r>
      <w:r>
        <w:rPr>
          <w:rFonts w:ascii="Arial" w:eastAsia="Calibri" w:hAnsi="Arial" w:cs="Arial"/>
          <w:sz w:val="24"/>
          <w:szCs w:val="24"/>
        </w:rPr>
        <w:t>complementada pelo Decreto Judiciário nº 439</w:t>
      </w:r>
      <w:r w:rsidR="004E06AC">
        <w:rPr>
          <w:rFonts w:ascii="Arial" w:eastAsia="Calibri" w:hAnsi="Arial" w:cs="Arial"/>
          <w:sz w:val="24"/>
          <w:szCs w:val="24"/>
        </w:rPr>
        <w:t xml:space="preserve">, de 13 de novembro de 2013, em </w:t>
      </w:r>
      <w:r>
        <w:rPr>
          <w:rFonts w:ascii="Arial" w:eastAsia="Calibri" w:hAnsi="Arial" w:cs="Arial"/>
          <w:sz w:val="24"/>
          <w:szCs w:val="24"/>
        </w:rPr>
        <w:t>observância à Resolução nº 133, de 21 de junho d</w:t>
      </w:r>
      <w:r w:rsidR="004E06AC">
        <w:rPr>
          <w:rFonts w:ascii="Arial" w:eastAsia="Calibri" w:hAnsi="Arial" w:cs="Arial"/>
          <w:sz w:val="24"/>
          <w:szCs w:val="24"/>
        </w:rPr>
        <w:t xml:space="preserve">e 2011, do Conselho Nacional de </w:t>
      </w:r>
      <w:r>
        <w:rPr>
          <w:rFonts w:ascii="Arial" w:eastAsia="Calibri" w:hAnsi="Arial" w:cs="Arial"/>
          <w:sz w:val="24"/>
          <w:szCs w:val="24"/>
        </w:rPr>
        <w:t>Justiça;</w:t>
      </w:r>
    </w:p>
    <w:p w14:paraId="19DDD1AE" w14:textId="77777777" w:rsidR="00714C75" w:rsidRDefault="00714C75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CONSIDERANDO a necessidade do Tribuna</w:t>
      </w:r>
      <w:r w:rsidR="004E06AC">
        <w:rPr>
          <w:rFonts w:ascii="Arial" w:eastAsia="Calibri" w:hAnsi="Arial" w:cs="Arial"/>
          <w:sz w:val="24"/>
          <w:szCs w:val="24"/>
        </w:rPr>
        <w:t xml:space="preserve">l de Contas do Estado do Paraná </w:t>
      </w:r>
      <w:r>
        <w:rPr>
          <w:rFonts w:ascii="Arial" w:eastAsia="Calibri" w:hAnsi="Arial" w:cs="Arial"/>
          <w:sz w:val="24"/>
          <w:szCs w:val="24"/>
        </w:rPr>
        <w:t>estabelecer normativa interna para disciplinar a con</w:t>
      </w:r>
      <w:r w:rsidR="004E06AC">
        <w:rPr>
          <w:rFonts w:ascii="Arial" w:eastAsia="Calibri" w:hAnsi="Arial" w:cs="Arial"/>
          <w:sz w:val="24"/>
          <w:szCs w:val="24"/>
        </w:rPr>
        <w:t xml:space="preserve">cessão de indenização de férias </w:t>
      </w:r>
      <w:r>
        <w:rPr>
          <w:rFonts w:ascii="Arial" w:eastAsia="Calibri" w:hAnsi="Arial" w:cs="Arial"/>
          <w:sz w:val="24"/>
          <w:szCs w:val="24"/>
        </w:rPr>
        <w:t>não gozadas a seus membros ativos (Conselheiros</w:t>
      </w:r>
      <w:r w:rsidR="00697944">
        <w:rPr>
          <w:rFonts w:ascii="Arial" w:eastAsia="Calibri" w:hAnsi="Arial" w:cs="Arial"/>
          <w:sz w:val="24"/>
          <w:szCs w:val="24"/>
        </w:rPr>
        <w:t>, Auditores</w:t>
      </w:r>
      <w:r w:rsidR="004E06AC">
        <w:rPr>
          <w:rFonts w:ascii="Arial" w:eastAsia="Calibri" w:hAnsi="Arial" w:cs="Arial"/>
          <w:sz w:val="24"/>
          <w:szCs w:val="24"/>
        </w:rPr>
        <w:t xml:space="preserve"> e Procuradores do </w:t>
      </w:r>
      <w:r>
        <w:rPr>
          <w:rFonts w:ascii="Arial" w:eastAsia="Calibri" w:hAnsi="Arial" w:cs="Arial"/>
          <w:sz w:val="24"/>
          <w:szCs w:val="24"/>
        </w:rPr>
        <w:t>Ministério Público de Contas</w:t>
      </w:r>
      <w:r w:rsidR="00697944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>, em razão da autono</w:t>
      </w:r>
      <w:r w:rsidR="004E06AC">
        <w:rPr>
          <w:rFonts w:ascii="Arial" w:eastAsia="Calibri" w:hAnsi="Arial" w:cs="Arial"/>
          <w:sz w:val="24"/>
          <w:szCs w:val="24"/>
        </w:rPr>
        <w:t xml:space="preserve">mia administrativa conferida às </w:t>
      </w:r>
      <w:r>
        <w:rPr>
          <w:rFonts w:ascii="Arial" w:eastAsia="Calibri" w:hAnsi="Arial" w:cs="Arial"/>
          <w:sz w:val="24"/>
          <w:szCs w:val="24"/>
        </w:rPr>
        <w:t>Cortes de Contas;</w:t>
      </w:r>
    </w:p>
    <w:p w14:paraId="3DC359D5" w14:textId="7CADA31D" w:rsidR="00714C75" w:rsidRDefault="00714C75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CONSIDERANDO a paridade existente entre Des</w:t>
      </w:r>
      <w:r w:rsidR="004E06AC">
        <w:rPr>
          <w:rFonts w:ascii="Arial" w:eastAsia="Calibri" w:hAnsi="Arial" w:cs="Arial"/>
          <w:sz w:val="24"/>
          <w:szCs w:val="24"/>
        </w:rPr>
        <w:t xml:space="preserve">embargadores e Conselheiros dos </w:t>
      </w:r>
      <w:r>
        <w:rPr>
          <w:rFonts w:ascii="Arial" w:eastAsia="Calibri" w:hAnsi="Arial" w:cs="Arial"/>
          <w:sz w:val="24"/>
          <w:szCs w:val="24"/>
        </w:rPr>
        <w:t>Tribunais de Contas dos Estados, nos moldes do art. 77, § 3º, da Constituição</w:t>
      </w:r>
      <w:r w:rsidR="004E06A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Estadual, do art. 136 da Lei Complementar nº 113, </w:t>
      </w:r>
      <w:r w:rsidR="004E06AC">
        <w:rPr>
          <w:rFonts w:ascii="Arial" w:eastAsia="Calibri" w:hAnsi="Arial" w:cs="Arial"/>
          <w:sz w:val="24"/>
          <w:szCs w:val="24"/>
        </w:rPr>
        <w:t xml:space="preserve">de 15 de dezembro de 2005, e em </w:t>
      </w:r>
      <w:r>
        <w:rPr>
          <w:rFonts w:ascii="Arial" w:eastAsia="Calibri" w:hAnsi="Arial" w:cs="Arial"/>
          <w:sz w:val="24"/>
          <w:szCs w:val="24"/>
        </w:rPr>
        <w:t xml:space="preserve">conformidade </w:t>
      </w:r>
      <w:r w:rsidR="00903188">
        <w:rPr>
          <w:rFonts w:ascii="Arial" w:eastAsia="Calibri" w:hAnsi="Arial" w:cs="Arial"/>
          <w:sz w:val="24"/>
          <w:szCs w:val="24"/>
        </w:rPr>
        <w:t>ao</w:t>
      </w:r>
      <w:r>
        <w:rPr>
          <w:rFonts w:ascii="Arial" w:eastAsia="Calibri" w:hAnsi="Arial" w:cs="Arial"/>
          <w:sz w:val="24"/>
          <w:szCs w:val="24"/>
        </w:rPr>
        <w:t xml:space="preserve"> deliberado pelo Tribunal de Contas paranaense em suas</w:t>
      </w:r>
      <w:r w:rsidR="004E06AC">
        <w:rPr>
          <w:rFonts w:ascii="Arial" w:eastAsia="Calibri" w:hAnsi="Arial" w:cs="Arial"/>
          <w:sz w:val="24"/>
          <w:szCs w:val="24"/>
        </w:rPr>
        <w:t xml:space="preserve"> </w:t>
      </w:r>
      <w:r w:rsidRPr="003A5754">
        <w:rPr>
          <w:rFonts w:ascii="Arial" w:eastAsia="Calibri" w:hAnsi="Arial" w:cs="Arial"/>
          <w:color w:val="0000FF"/>
          <w:sz w:val="24"/>
          <w:szCs w:val="24"/>
        </w:rPr>
        <w:t xml:space="preserve">Resoluções </w:t>
      </w:r>
      <w:hyperlink r:id="rId8" w:history="1">
        <w:r w:rsidRPr="007D5CEB">
          <w:rPr>
            <w:rStyle w:val="Hyperlink"/>
            <w:rFonts w:ascii="Arial" w:eastAsia="Calibri" w:hAnsi="Arial" w:cs="Arial"/>
            <w:sz w:val="24"/>
            <w:szCs w:val="24"/>
          </w:rPr>
          <w:t>nº 21, de 03 de dezembro de 2009</w:t>
        </w:r>
      </w:hyperlink>
      <w:r>
        <w:rPr>
          <w:rFonts w:ascii="Arial" w:eastAsia="Calibri" w:hAnsi="Arial" w:cs="Arial"/>
          <w:sz w:val="24"/>
          <w:szCs w:val="24"/>
        </w:rPr>
        <w:t xml:space="preserve">, </w:t>
      </w:r>
      <w:hyperlink r:id="rId9" w:history="1">
        <w:r w:rsidRPr="00E52BDF">
          <w:rPr>
            <w:rStyle w:val="Hyperlink"/>
            <w:rFonts w:ascii="Arial" w:eastAsia="Calibri" w:hAnsi="Arial" w:cs="Arial"/>
            <w:sz w:val="24"/>
            <w:szCs w:val="24"/>
          </w:rPr>
          <w:t xml:space="preserve">nº 32, </w:t>
        </w:r>
        <w:r w:rsidR="004E06AC" w:rsidRPr="00E52BDF">
          <w:rPr>
            <w:rStyle w:val="Hyperlink"/>
            <w:rFonts w:ascii="Arial" w:eastAsia="Calibri" w:hAnsi="Arial" w:cs="Arial"/>
            <w:sz w:val="24"/>
            <w:szCs w:val="24"/>
          </w:rPr>
          <w:t>de 31 de maio de 2012</w:t>
        </w:r>
      </w:hyperlink>
      <w:r w:rsidR="004E06AC">
        <w:rPr>
          <w:rFonts w:ascii="Arial" w:eastAsia="Calibri" w:hAnsi="Arial" w:cs="Arial"/>
          <w:sz w:val="24"/>
          <w:szCs w:val="24"/>
        </w:rPr>
        <w:t xml:space="preserve">, e </w:t>
      </w:r>
      <w:hyperlink r:id="rId10" w:history="1">
        <w:r w:rsidR="004E06AC" w:rsidRPr="00991306">
          <w:rPr>
            <w:rStyle w:val="Hyperlink"/>
            <w:rFonts w:ascii="Arial" w:eastAsia="Calibri" w:hAnsi="Arial" w:cs="Arial"/>
            <w:sz w:val="24"/>
            <w:szCs w:val="24"/>
          </w:rPr>
          <w:t xml:space="preserve">nº 35, </w:t>
        </w:r>
        <w:r w:rsidRPr="00991306">
          <w:rPr>
            <w:rStyle w:val="Hyperlink"/>
            <w:rFonts w:ascii="Arial" w:eastAsia="Calibri" w:hAnsi="Arial" w:cs="Arial"/>
            <w:sz w:val="24"/>
            <w:szCs w:val="24"/>
          </w:rPr>
          <w:t>de 14 de fevereiro de 2013</w:t>
        </w:r>
      </w:hyperlink>
      <w:r>
        <w:rPr>
          <w:rFonts w:ascii="Arial" w:eastAsia="Calibri" w:hAnsi="Arial" w:cs="Arial"/>
          <w:sz w:val="24"/>
          <w:szCs w:val="24"/>
        </w:rPr>
        <w:t>;</w:t>
      </w:r>
    </w:p>
    <w:p w14:paraId="3A59CE4C" w14:textId="77777777" w:rsidR="003E03D3" w:rsidRDefault="00714C75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CONSIDERANDO o disposto no art. 72, parágrafo</w:t>
      </w:r>
      <w:r w:rsidR="004E06AC">
        <w:rPr>
          <w:rFonts w:ascii="Arial" w:eastAsia="Calibri" w:hAnsi="Arial" w:cs="Arial"/>
          <w:sz w:val="24"/>
          <w:szCs w:val="24"/>
        </w:rPr>
        <w:t xml:space="preserve"> único, do Regimento Interno do </w:t>
      </w:r>
      <w:r>
        <w:rPr>
          <w:rFonts w:ascii="Arial" w:eastAsia="Calibri" w:hAnsi="Arial" w:cs="Arial"/>
          <w:sz w:val="24"/>
          <w:szCs w:val="24"/>
        </w:rPr>
        <w:t>TCE-PR</w:t>
      </w:r>
      <w:r w:rsidR="0090318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e ao fato de </w:t>
      </w:r>
      <w:r w:rsidR="00903188">
        <w:rPr>
          <w:rFonts w:ascii="Arial" w:eastAsia="Calibri" w:hAnsi="Arial" w:cs="Arial"/>
          <w:sz w:val="24"/>
          <w:szCs w:val="24"/>
        </w:rPr>
        <w:t>se aplicar</w:t>
      </w:r>
      <w:r>
        <w:rPr>
          <w:rFonts w:ascii="Arial" w:eastAsia="Calibri" w:hAnsi="Arial" w:cs="Arial"/>
          <w:sz w:val="24"/>
          <w:szCs w:val="24"/>
        </w:rPr>
        <w:t xml:space="preserve"> ao Ministério Público </w:t>
      </w:r>
      <w:r w:rsidR="00903188">
        <w:rPr>
          <w:rFonts w:ascii="Arial" w:eastAsia="Calibri" w:hAnsi="Arial" w:cs="Arial"/>
          <w:sz w:val="24"/>
          <w:szCs w:val="24"/>
        </w:rPr>
        <w:t>de Contas, nos termos do art.</w:t>
      </w:r>
      <w:r w:rsidR="004E06A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152 da Lei Complementar nº 113, de 15 de deze</w:t>
      </w:r>
      <w:r w:rsidR="004E06AC">
        <w:rPr>
          <w:rFonts w:ascii="Arial" w:eastAsia="Calibri" w:hAnsi="Arial" w:cs="Arial"/>
          <w:sz w:val="24"/>
          <w:szCs w:val="24"/>
        </w:rPr>
        <w:t xml:space="preserve">mbro de 2005, a Lei Orgânica do </w:t>
      </w:r>
      <w:r>
        <w:rPr>
          <w:rFonts w:ascii="Arial" w:eastAsia="Calibri" w:hAnsi="Arial" w:cs="Arial"/>
          <w:sz w:val="24"/>
          <w:szCs w:val="24"/>
        </w:rPr>
        <w:t>Ministério Público do Estado, bem assim a Lei Comple</w:t>
      </w:r>
      <w:r w:rsidR="004E06AC">
        <w:rPr>
          <w:rFonts w:ascii="Arial" w:eastAsia="Calibri" w:hAnsi="Arial" w:cs="Arial"/>
          <w:sz w:val="24"/>
          <w:szCs w:val="24"/>
        </w:rPr>
        <w:t xml:space="preserve">mentar nº </w:t>
      </w:r>
      <w:r w:rsidR="00161A2E">
        <w:rPr>
          <w:rFonts w:ascii="Arial" w:eastAsia="Calibri" w:hAnsi="Arial" w:cs="Arial"/>
          <w:sz w:val="24"/>
          <w:szCs w:val="24"/>
        </w:rPr>
        <w:t xml:space="preserve">75, de 20 de maio de </w:t>
      </w:r>
      <w:r w:rsidR="004E06AC">
        <w:rPr>
          <w:rFonts w:ascii="Arial" w:eastAsia="Calibri" w:hAnsi="Arial" w:cs="Arial"/>
          <w:sz w:val="24"/>
          <w:szCs w:val="24"/>
        </w:rPr>
        <w:t xml:space="preserve">1993 e Lei Federal </w:t>
      </w:r>
      <w:r w:rsidR="00161A2E">
        <w:rPr>
          <w:rFonts w:ascii="Arial" w:eastAsia="Calibri" w:hAnsi="Arial" w:cs="Arial"/>
          <w:sz w:val="24"/>
          <w:szCs w:val="24"/>
        </w:rPr>
        <w:t xml:space="preserve">nº 8.625, de 12 de fevereiro de </w:t>
      </w:r>
      <w:r>
        <w:rPr>
          <w:rFonts w:ascii="Arial" w:eastAsia="Calibri" w:hAnsi="Arial" w:cs="Arial"/>
          <w:sz w:val="24"/>
          <w:szCs w:val="24"/>
        </w:rPr>
        <w:t xml:space="preserve">1993, restando assente a simetria constitucional existente </w:t>
      </w:r>
      <w:r>
        <w:rPr>
          <w:rFonts w:ascii="Arial" w:eastAsia="Calibri" w:hAnsi="Arial" w:cs="Arial"/>
          <w:sz w:val="24"/>
          <w:szCs w:val="24"/>
        </w:rPr>
        <w:lastRenderedPageBreak/>
        <w:t>entre a Magistratura</w:t>
      </w:r>
      <w:r w:rsidR="003E03D3">
        <w:rPr>
          <w:rFonts w:ascii="Arial" w:eastAsia="Calibri" w:hAnsi="Arial" w:cs="Arial"/>
          <w:sz w:val="24"/>
          <w:szCs w:val="24"/>
        </w:rPr>
        <w:t xml:space="preserve"> e o Ministério Público, nos termos do art. 129, § 4º, da Constituição da República, e a</w:t>
      </w:r>
      <w:r w:rsidR="004E06AC">
        <w:rPr>
          <w:rFonts w:ascii="Arial" w:eastAsia="Calibri" w:hAnsi="Arial" w:cs="Arial"/>
          <w:sz w:val="24"/>
          <w:szCs w:val="24"/>
        </w:rPr>
        <w:t xml:space="preserve"> </w:t>
      </w:r>
      <w:r w:rsidR="003E03D3">
        <w:rPr>
          <w:rFonts w:ascii="Arial" w:eastAsia="Calibri" w:hAnsi="Arial" w:cs="Arial"/>
          <w:sz w:val="24"/>
          <w:szCs w:val="24"/>
        </w:rPr>
        <w:t>autoaplicabilidade do preceito,</w:t>
      </w:r>
    </w:p>
    <w:p w14:paraId="224C0B35" w14:textId="77777777" w:rsidR="004E06AC" w:rsidRDefault="004E06AC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</w:p>
    <w:p w14:paraId="5A56C2AC" w14:textId="77777777" w:rsidR="003E03D3" w:rsidRDefault="003E03D3" w:rsidP="008F5F41">
      <w:pPr>
        <w:adjustRightInd w:val="0"/>
        <w:spacing w:before="120" w:after="120"/>
        <w:ind w:firstLine="1134"/>
        <w:jc w:val="both"/>
        <w:rPr>
          <w:rFonts w:ascii="Arial,Bold" w:eastAsia="Calibri" w:hAnsi="Arial,Bold" w:cs="Arial,Bold"/>
          <w:b/>
          <w:bCs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>RESOLVE</w:t>
      </w:r>
    </w:p>
    <w:p w14:paraId="4D773931" w14:textId="77777777" w:rsidR="004E06AC" w:rsidRDefault="004E06AC" w:rsidP="004E06AC">
      <w:pPr>
        <w:adjustRightInd w:val="0"/>
        <w:spacing w:before="120"/>
        <w:ind w:firstLine="1134"/>
        <w:jc w:val="both"/>
        <w:rPr>
          <w:rFonts w:ascii="Arial,Bold" w:eastAsia="Calibri" w:hAnsi="Arial,Bold" w:cs="Arial,Bold"/>
          <w:b/>
          <w:bCs/>
          <w:sz w:val="24"/>
          <w:szCs w:val="24"/>
        </w:rPr>
      </w:pPr>
    </w:p>
    <w:p w14:paraId="71D9FE8A" w14:textId="77777777" w:rsidR="004E06AC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 xml:space="preserve">Art. 1º </w:t>
      </w:r>
      <w:r w:rsidR="00903188">
        <w:rPr>
          <w:rFonts w:ascii="Arial" w:eastAsia="Calibri" w:hAnsi="Arial" w:cs="Arial"/>
          <w:sz w:val="24"/>
          <w:szCs w:val="24"/>
        </w:rPr>
        <w:t>Assegurar aos membros (</w:t>
      </w:r>
      <w:r>
        <w:rPr>
          <w:rFonts w:ascii="Arial" w:eastAsia="Calibri" w:hAnsi="Arial" w:cs="Arial"/>
          <w:sz w:val="24"/>
          <w:szCs w:val="24"/>
        </w:rPr>
        <w:t>Conselheiros, Au</w:t>
      </w:r>
      <w:r w:rsidR="004E06AC">
        <w:rPr>
          <w:rFonts w:ascii="Arial" w:eastAsia="Calibri" w:hAnsi="Arial" w:cs="Arial"/>
          <w:sz w:val="24"/>
          <w:szCs w:val="24"/>
        </w:rPr>
        <w:t xml:space="preserve">ditores e </w:t>
      </w:r>
      <w:r w:rsidR="00903188">
        <w:rPr>
          <w:rFonts w:ascii="Arial" w:eastAsia="Calibri" w:hAnsi="Arial" w:cs="Arial"/>
          <w:sz w:val="24"/>
          <w:szCs w:val="24"/>
        </w:rPr>
        <w:t xml:space="preserve">Procuradores </w:t>
      </w:r>
      <w:r w:rsidR="004E06AC">
        <w:rPr>
          <w:rFonts w:ascii="Arial" w:eastAsia="Calibri" w:hAnsi="Arial" w:cs="Arial"/>
          <w:sz w:val="24"/>
          <w:szCs w:val="24"/>
        </w:rPr>
        <w:t xml:space="preserve">do Ministério </w:t>
      </w:r>
      <w:r>
        <w:rPr>
          <w:rFonts w:ascii="Arial" w:eastAsia="Calibri" w:hAnsi="Arial" w:cs="Arial"/>
          <w:sz w:val="24"/>
          <w:szCs w:val="24"/>
        </w:rPr>
        <w:t>Público junto ao Tribunal de Contas do Estado do P</w:t>
      </w:r>
      <w:r w:rsidR="004E06AC">
        <w:rPr>
          <w:rFonts w:ascii="Arial" w:eastAsia="Calibri" w:hAnsi="Arial" w:cs="Arial"/>
          <w:sz w:val="24"/>
          <w:szCs w:val="24"/>
        </w:rPr>
        <w:t>araná</w:t>
      </w:r>
      <w:r w:rsidR="00903188">
        <w:rPr>
          <w:rFonts w:ascii="Arial" w:eastAsia="Calibri" w:hAnsi="Arial" w:cs="Arial"/>
          <w:sz w:val="24"/>
          <w:szCs w:val="24"/>
        </w:rPr>
        <w:t>)</w:t>
      </w:r>
      <w:r w:rsidR="004E06AC">
        <w:rPr>
          <w:rFonts w:ascii="Arial" w:eastAsia="Calibri" w:hAnsi="Arial" w:cs="Arial"/>
          <w:sz w:val="24"/>
          <w:szCs w:val="24"/>
        </w:rPr>
        <w:t xml:space="preserve">, o pagamento, a título de </w:t>
      </w:r>
      <w:r>
        <w:rPr>
          <w:rFonts w:ascii="Arial" w:eastAsia="Calibri" w:hAnsi="Arial" w:cs="Arial"/>
          <w:sz w:val="24"/>
          <w:szCs w:val="24"/>
        </w:rPr>
        <w:t>indenização, dos períodos de férias não usufruídos</w:t>
      </w:r>
      <w:r w:rsidR="004E06AC">
        <w:rPr>
          <w:rFonts w:ascii="Arial" w:eastAsia="Calibri" w:hAnsi="Arial" w:cs="Arial"/>
          <w:sz w:val="24"/>
          <w:szCs w:val="24"/>
        </w:rPr>
        <w:t xml:space="preserve">, integral ou parcialmente, por </w:t>
      </w:r>
      <w:r>
        <w:rPr>
          <w:rFonts w:ascii="Arial" w:eastAsia="Calibri" w:hAnsi="Arial" w:cs="Arial"/>
          <w:sz w:val="24"/>
          <w:szCs w:val="24"/>
        </w:rPr>
        <w:t>absoluta necessidade de serviço, após o acúmulo</w:t>
      </w:r>
      <w:r w:rsidR="00903188">
        <w:rPr>
          <w:rFonts w:ascii="Arial" w:eastAsia="Calibri" w:hAnsi="Arial" w:cs="Arial"/>
          <w:sz w:val="24"/>
          <w:szCs w:val="24"/>
        </w:rPr>
        <w:t xml:space="preserve"> superior a 60 (sessenta) </w:t>
      </w:r>
      <w:r w:rsidR="004E06AC">
        <w:rPr>
          <w:rFonts w:ascii="Arial" w:eastAsia="Calibri" w:hAnsi="Arial" w:cs="Arial"/>
          <w:sz w:val="24"/>
          <w:szCs w:val="24"/>
        </w:rPr>
        <w:t xml:space="preserve">dias, </w:t>
      </w:r>
      <w:r>
        <w:rPr>
          <w:rFonts w:ascii="Arial" w:eastAsia="Calibri" w:hAnsi="Arial" w:cs="Arial"/>
          <w:sz w:val="24"/>
          <w:szCs w:val="24"/>
        </w:rPr>
        <w:t>referentes ao período aquisitivo em vigor à época do cálculo da indenização.</w:t>
      </w:r>
    </w:p>
    <w:p w14:paraId="5306E9FF" w14:textId="77777777" w:rsidR="004E06AC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 1º Consideram-se como cassadas</w:t>
      </w:r>
      <w:r w:rsidR="0090318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por absoluta n</w:t>
      </w:r>
      <w:r w:rsidR="004E06AC">
        <w:rPr>
          <w:rFonts w:ascii="Arial" w:eastAsia="Calibri" w:hAnsi="Arial" w:cs="Arial"/>
          <w:sz w:val="24"/>
          <w:szCs w:val="24"/>
        </w:rPr>
        <w:t>ecessidade de serviço</w:t>
      </w:r>
      <w:r w:rsidR="00903188">
        <w:rPr>
          <w:rFonts w:ascii="Arial" w:eastAsia="Calibri" w:hAnsi="Arial" w:cs="Arial"/>
          <w:sz w:val="24"/>
          <w:szCs w:val="24"/>
        </w:rPr>
        <w:t>,</w:t>
      </w:r>
      <w:r w:rsidR="004E06AC">
        <w:rPr>
          <w:rFonts w:ascii="Arial" w:eastAsia="Calibri" w:hAnsi="Arial" w:cs="Arial"/>
          <w:sz w:val="24"/>
          <w:szCs w:val="24"/>
        </w:rPr>
        <w:t xml:space="preserve"> as férias </w:t>
      </w:r>
      <w:r>
        <w:rPr>
          <w:rFonts w:ascii="Arial" w:eastAsia="Calibri" w:hAnsi="Arial" w:cs="Arial"/>
          <w:sz w:val="24"/>
          <w:szCs w:val="24"/>
        </w:rPr>
        <w:t>acumuladas, total ou parcialmente, anteriores à presente Resolução.</w:t>
      </w:r>
    </w:p>
    <w:p w14:paraId="4B4BAAD6" w14:textId="77777777" w:rsidR="004E06AC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§ 2º A partir desta Resolução, a cassação de férias </w:t>
      </w:r>
      <w:r w:rsidR="004E06AC">
        <w:rPr>
          <w:rFonts w:ascii="Arial" w:eastAsia="Calibri" w:hAnsi="Arial" w:cs="Arial"/>
          <w:sz w:val="24"/>
          <w:szCs w:val="24"/>
        </w:rPr>
        <w:t>de Auditores e Conselheiros</w:t>
      </w:r>
      <w:r w:rsidR="00903188">
        <w:rPr>
          <w:rFonts w:ascii="Arial" w:eastAsia="Calibri" w:hAnsi="Arial" w:cs="Arial"/>
          <w:sz w:val="24"/>
          <w:szCs w:val="24"/>
        </w:rPr>
        <w:t>,</w:t>
      </w:r>
      <w:r w:rsidR="004E06AC">
        <w:rPr>
          <w:rFonts w:ascii="Arial" w:eastAsia="Calibri" w:hAnsi="Arial" w:cs="Arial"/>
          <w:sz w:val="24"/>
          <w:szCs w:val="24"/>
        </w:rPr>
        <w:t xml:space="preserve"> por </w:t>
      </w:r>
      <w:r>
        <w:rPr>
          <w:rFonts w:ascii="Arial" w:eastAsia="Calibri" w:hAnsi="Arial" w:cs="Arial"/>
          <w:sz w:val="24"/>
          <w:szCs w:val="24"/>
        </w:rPr>
        <w:t>absoluta necessidade de serviço</w:t>
      </w:r>
      <w:r w:rsidR="0090318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somente po</w:t>
      </w:r>
      <w:r w:rsidR="004E06AC">
        <w:rPr>
          <w:rFonts w:ascii="Arial" w:eastAsia="Calibri" w:hAnsi="Arial" w:cs="Arial"/>
          <w:sz w:val="24"/>
          <w:szCs w:val="24"/>
        </w:rPr>
        <w:t xml:space="preserve">derá se dar por ato motivado do </w:t>
      </w:r>
      <w:r>
        <w:rPr>
          <w:rFonts w:ascii="Arial" w:eastAsia="Calibri" w:hAnsi="Arial" w:cs="Arial"/>
          <w:sz w:val="24"/>
          <w:szCs w:val="24"/>
        </w:rPr>
        <w:t>Presidente do Tribunal de Contas</w:t>
      </w:r>
      <w:r w:rsidR="0090318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ou do Procurador</w:t>
      </w:r>
      <w:r w:rsidR="004E06AC">
        <w:rPr>
          <w:rFonts w:ascii="Arial" w:eastAsia="Calibri" w:hAnsi="Arial" w:cs="Arial"/>
          <w:sz w:val="24"/>
          <w:szCs w:val="24"/>
        </w:rPr>
        <w:t xml:space="preserve">-Geral do Ministério Público de </w:t>
      </w:r>
      <w:r>
        <w:rPr>
          <w:rFonts w:ascii="Arial" w:eastAsia="Calibri" w:hAnsi="Arial" w:cs="Arial"/>
          <w:sz w:val="24"/>
          <w:szCs w:val="24"/>
        </w:rPr>
        <w:t xml:space="preserve">Contas, no caso </w:t>
      </w:r>
      <w:r w:rsidR="00903188">
        <w:rPr>
          <w:rFonts w:ascii="Arial" w:eastAsia="Calibri" w:hAnsi="Arial" w:cs="Arial"/>
          <w:sz w:val="24"/>
          <w:szCs w:val="24"/>
        </w:rPr>
        <w:t>de</w:t>
      </w:r>
      <w:r>
        <w:rPr>
          <w:rFonts w:ascii="Arial" w:eastAsia="Calibri" w:hAnsi="Arial" w:cs="Arial"/>
          <w:sz w:val="24"/>
          <w:szCs w:val="24"/>
        </w:rPr>
        <w:t xml:space="preserve"> seus membros.</w:t>
      </w:r>
    </w:p>
    <w:p w14:paraId="30E5AD5C" w14:textId="77777777" w:rsidR="004E06AC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§ 3º Presume-se que as férias não gozadas pelo </w:t>
      </w:r>
      <w:r w:rsidR="00903188">
        <w:rPr>
          <w:rFonts w:ascii="Arial" w:eastAsia="Calibri" w:hAnsi="Arial" w:cs="Arial"/>
          <w:sz w:val="24"/>
          <w:szCs w:val="24"/>
        </w:rPr>
        <w:t>Presidente, Vice- Presidente,</w:t>
      </w:r>
      <w:r w:rsidR="004E06A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Corregedor-Geral e Procurador-Geral decorreram de absoluta necessidade do serviço.</w:t>
      </w:r>
    </w:p>
    <w:p w14:paraId="76385F30" w14:textId="77777777" w:rsidR="003E03D3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 xml:space="preserve">Art. 2º </w:t>
      </w:r>
      <w:r>
        <w:rPr>
          <w:rFonts w:ascii="Arial" w:eastAsia="Calibri" w:hAnsi="Arial" w:cs="Arial"/>
          <w:sz w:val="24"/>
          <w:szCs w:val="24"/>
        </w:rPr>
        <w:t xml:space="preserve">A indenização, para cada período de </w:t>
      </w:r>
      <w:r w:rsidR="00903188">
        <w:rPr>
          <w:rFonts w:ascii="Arial" w:eastAsia="Calibri" w:hAnsi="Arial" w:cs="Arial"/>
          <w:sz w:val="24"/>
          <w:szCs w:val="24"/>
        </w:rPr>
        <w:t>30 (</w:t>
      </w:r>
      <w:r>
        <w:rPr>
          <w:rFonts w:ascii="Arial" w:eastAsia="Calibri" w:hAnsi="Arial" w:cs="Arial"/>
          <w:sz w:val="24"/>
          <w:szCs w:val="24"/>
        </w:rPr>
        <w:t>trinta</w:t>
      </w:r>
      <w:r w:rsidR="00903188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E06AC">
        <w:rPr>
          <w:rFonts w:ascii="Arial" w:eastAsia="Calibri" w:hAnsi="Arial" w:cs="Arial"/>
          <w:sz w:val="24"/>
          <w:szCs w:val="24"/>
        </w:rPr>
        <w:t xml:space="preserve">dias de férias, equivalerá ao </w:t>
      </w:r>
      <w:r>
        <w:rPr>
          <w:rFonts w:ascii="Arial" w:eastAsia="Calibri" w:hAnsi="Arial" w:cs="Arial"/>
          <w:sz w:val="24"/>
          <w:szCs w:val="24"/>
        </w:rPr>
        <w:t>valor integral do subsídio atual, sem correção ou juros.</w:t>
      </w:r>
    </w:p>
    <w:p w14:paraId="6BA89A30" w14:textId="77777777" w:rsidR="003E03D3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 1º O valor da indenização será acrescido do benefício co</w:t>
      </w:r>
      <w:r w:rsidR="004E06AC">
        <w:rPr>
          <w:rFonts w:ascii="Arial" w:eastAsia="Calibri" w:hAnsi="Arial" w:cs="Arial"/>
          <w:sz w:val="24"/>
          <w:szCs w:val="24"/>
        </w:rPr>
        <w:t xml:space="preserve">nstitucional previsto no art. </w:t>
      </w:r>
      <w:r>
        <w:rPr>
          <w:rFonts w:ascii="Arial" w:eastAsia="Calibri" w:hAnsi="Arial" w:cs="Arial"/>
          <w:sz w:val="24"/>
          <w:szCs w:val="24"/>
        </w:rPr>
        <w:t xml:space="preserve">7º, inciso XVII, e </w:t>
      </w:r>
      <w:r w:rsidR="00903188">
        <w:rPr>
          <w:rFonts w:ascii="Arial" w:eastAsia="Calibri" w:hAnsi="Arial" w:cs="Arial"/>
          <w:sz w:val="24"/>
          <w:szCs w:val="24"/>
        </w:rPr>
        <w:t xml:space="preserve">art. </w:t>
      </w:r>
      <w:r>
        <w:rPr>
          <w:rFonts w:ascii="Arial" w:eastAsia="Calibri" w:hAnsi="Arial" w:cs="Arial"/>
          <w:sz w:val="24"/>
          <w:szCs w:val="24"/>
        </w:rPr>
        <w:t>39, § 3º, ambos da Constituição Federa</w:t>
      </w:r>
      <w:r w:rsidR="004E06AC">
        <w:rPr>
          <w:rFonts w:ascii="Arial" w:eastAsia="Calibri" w:hAnsi="Arial" w:cs="Arial"/>
          <w:sz w:val="24"/>
          <w:szCs w:val="24"/>
        </w:rPr>
        <w:t xml:space="preserve">l, desde que o beneficiário não </w:t>
      </w:r>
      <w:r>
        <w:rPr>
          <w:rFonts w:ascii="Arial" w:eastAsia="Calibri" w:hAnsi="Arial" w:cs="Arial"/>
          <w:sz w:val="24"/>
          <w:szCs w:val="24"/>
        </w:rPr>
        <w:t>tenha auferido tal vantagem.</w:t>
      </w:r>
    </w:p>
    <w:p w14:paraId="3E30170D" w14:textId="77777777" w:rsidR="003E03D3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§ 2º O período de férias não usufruído inferior a </w:t>
      </w:r>
      <w:r w:rsidR="00903188">
        <w:rPr>
          <w:rFonts w:ascii="Arial" w:eastAsia="Calibri" w:hAnsi="Arial" w:cs="Arial"/>
          <w:sz w:val="24"/>
          <w:szCs w:val="24"/>
        </w:rPr>
        <w:t>30 (</w:t>
      </w:r>
      <w:r>
        <w:rPr>
          <w:rFonts w:ascii="Arial" w:eastAsia="Calibri" w:hAnsi="Arial" w:cs="Arial"/>
          <w:sz w:val="24"/>
          <w:szCs w:val="24"/>
        </w:rPr>
        <w:t>t</w:t>
      </w:r>
      <w:r w:rsidR="004E06AC">
        <w:rPr>
          <w:rFonts w:ascii="Arial" w:eastAsia="Calibri" w:hAnsi="Arial" w:cs="Arial"/>
          <w:sz w:val="24"/>
          <w:szCs w:val="24"/>
        </w:rPr>
        <w:t>rinta</w:t>
      </w:r>
      <w:r w:rsidR="00903188">
        <w:rPr>
          <w:rFonts w:ascii="Arial" w:eastAsia="Calibri" w:hAnsi="Arial" w:cs="Arial"/>
          <w:sz w:val="24"/>
          <w:szCs w:val="24"/>
        </w:rPr>
        <w:t>)</w:t>
      </w:r>
      <w:r w:rsidR="004E06AC">
        <w:rPr>
          <w:rFonts w:ascii="Arial" w:eastAsia="Calibri" w:hAnsi="Arial" w:cs="Arial"/>
          <w:sz w:val="24"/>
          <w:szCs w:val="24"/>
        </w:rPr>
        <w:t xml:space="preserve"> dias será indenizado </w:t>
      </w:r>
      <w:r>
        <w:rPr>
          <w:rFonts w:ascii="Arial" w:eastAsia="Calibri" w:hAnsi="Arial" w:cs="Arial"/>
          <w:sz w:val="24"/>
          <w:szCs w:val="24"/>
        </w:rPr>
        <w:t xml:space="preserve">proporcionalmente, na forma do </w:t>
      </w:r>
      <w:r>
        <w:rPr>
          <w:rFonts w:ascii="Arial,Italic" w:eastAsia="Calibri" w:hAnsi="Arial,Italic" w:cs="Arial,Italic"/>
          <w:i/>
          <w:iCs/>
          <w:sz w:val="24"/>
          <w:szCs w:val="24"/>
        </w:rPr>
        <w:t xml:space="preserve">caput </w:t>
      </w:r>
      <w:r>
        <w:rPr>
          <w:rFonts w:ascii="Arial" w:eastAsia="Calibri" w:hAnsi="Arial" w:cs="Arial"/>
          <w:sz w:val="24"/>
          <w:szCs w:val="24"/>
        </w:rPr>
        <w:t>deste artigo.</w:t>
      </w:r>
    </w:p>
    <w:p w14:paraId="55F1320D" w14:textId="77777777" w:rsidR="003E03D3" w:rsidRDefault="003E03D3" w:rsidP="004E06AC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 xml:space="preserve">Art. 3º </w:t>
      </w:r>
      <w:r>
        <w:rPr>
          <w:rFonts w:ascii="Arial" w:eastAsia="Calibri" w:hAnsi="Arial" w:cs="Arial"/>
          <w:sz w:val="24"/>
          <w:szCs w:val="24"/>
        </w:rPr>
        <w:t>As despesas decorrentes desta Resoluçã</w:t>
      </w:r>
      <w:r w:rsidR="004E06AC">
        <w:rPr>
          <w:rFonts w:ascii="Arial" w:eastAsia="Calibri" w:hAnsi="Arial" w:cs="Arial"/>
          <w:sz w:val="24"/>
          <w:szCs w:val="24"/>
        </w:rPr>
        <w:t xml:space="preserve">o correrão à conta das dotações </w:t>
      </w:r>
      <w:r>
        <w:rPr>
          <w:rFonts w:ascii="Arial" w:eastAsia="Calibri" w:hAnsi="Arial" w:cs="Arial"/>
          <w:sz w:val="24"/>
          <w:szCs w:val="24"/>
        </w:rPr>
        <w:t>orçamentárias próprias deste Tribunal.</w:t>
      </w:r>
    </w:p>
    <w:p w14:paraId="2119FEE2" w14:textId="77777777" w:rsidR="008238AB" w:rsidRDefault="003E03D3" w:rsidP="004E06AC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 xml:space="preserve">Art. 4º </w:t>
      </w:r>
      <w:r>
        <w:rPr>
          <w:rFonts w:ascii="Arial" w:eastAsia="Calibri" w:hAnsi="Arial" w:cs="Arial"/>
          <w:sz w:val="24"/>
          <w:szCs w:val="24"/>
        </w:rPr>
        <w:t>A presente Resolução entra em vigor a partir da data de sua publicação.</w:t>
      </w:r>
    </w:p>
    <w:p w14:paraId="7D53D5A0" w14:textId="77777777" w:rsidR="00714C75" w:rsidRDefault="00714C75" w:rsidP="003E03D3">
      <w:pPr>
        <w:autoSpaceDE/>
        <w:autoSpaceDN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14375DCE" w14:textId="77777777" w:rsidR="00714C75" w:rsidRDefault="00714C75" w:rsidP="00CB3A8A">
      <w:pPr>
        <w:autoSpaceDE/>
        <w:autoSpaceDN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2B1652EC" w14:textId="77777777" w:rsidR="008238AB" w:rsidRPr="0037364E" w:rsidRDefault="008238AB" w:rsidP="00CB3A8A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1277EC39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Curitiba, </w:t>
      </w:r>
      <w:r w:rsidR="004E06AC">
        <w:rPr>
          <w:rFonts w:ascii="Arial" w:eastAsia="Calibri" w:hAnsi="Arial" w:cs="Arial"/>
          <w:sz w:val="24"/>
          <w:szCs w:val="24"/>
        </w:rPr>
        <w:t>16</w:t>
      </w:r>
      <w:r w:rsidR="00872842">
        <w:rPr>
          <w:rFonts w:ascii="Arial" w:eastAsia="Calibri" w:hAnsi="Arial" w:cs="Arial"/>
          <w:sz w:val="24"/>
          <w:szCs w:val="24"/>
        </w:rPr>
        <w:t xml:space="preserve"> de outubro</w:t>
      </w:r>
      <w:r w:rsidRPr="0037364E">
        <w:rPr>
          <w:rFonts w:ascii="Arial" w:eastAsia="Calibri" w:hAnsi="Arial" w:cs="Arial"/>
          <w:sz w:val="24"/>
          <w:szCs w:val="24"/>
        </w:rPr>
        <w:t xml:space="preserve"> de 2014.</w:t>
      </w:r>
    </w:p>
    <w:p w14:paraId="1DADFAEF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</w:p>
    <w:p w14:paraId="36806D74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</w:p>
    <w:p w14:paraId="77F3D1AE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</w:rPr>
      </w:pPr>
      <w:r w:rsidRPr="0037364E">
        <w:rPr>
          <w:rFonts w:ascii="Arial" w:eastAsia="Calibri" w:hAnsi="Arial" w:cs="Arial"/>
          <w:b/>
          <w:sz w:val="24"/>
          <w:szCs w:val="24"/>
        </w:rPr>
        <w:t>ARTAGÃO DE MATTOS LEÃO</w:t>
      </w:r>
    </w:p>
    <w:p w14:paraId="5FBFF88B" w14:textId="77777777" w:rsidR="00F20004" w:rsidRDefault="003E03D3" w:rsidP="003E03D3">
      <w:pPr>
        <w:autoSpaceDE/>
        <w:autoSpaceDN/>
        <w:jc w:val="center"/>
      </w:pPr>
      <w:r>
        <w:rPr>
          <w:rFonts w:ascii="Arial" w:eastAsia="Calibri" w:hAnsi="Arial" w:cs="Arial"/>
          <w:sz w:val="24"/>
          <w:szCs w:val="24"/>
        </w:rPr>
        <w:t>Presidente</w:t>
      </w:r>
    </w:p>
    <w:sectPr w:rsidR="00F20004" w:rsidSect="003A5754">
      <w:headerReference w:type="default" r:id="rId11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1521" w14:textId="77777777" w:rsidR="005A787A" w:rsidRDefault="005A787A" w:rsidP="0013434E">
      <w:r>
        <w:separator/>
      </w:r>
    </w:p>
  </w:endnote>
  <w:endnote w:type="continuationSeparator" w:id="0">
    <w:p w14:paraId="0B57FB57" w14:textId="77777777" w:rsidR="005A787A" w:rsidRDefault="005A787A" w:rsidP="001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DD17" w14:textId="77777777" w:rsidR="005A787A" w:rsidRDefault="005A787A" w:rsidP="0013434E">
      <w:r>
        <w:separator/>
      </w:r>
    </w:p>
  </w:footnote>
  <w:footnote w:type="continuationSeparator" w:id="0">
    <w:p w14:paraId="2B3B8588" w14:textId="77777777" w:rsidR="005A787A" w:rsidRDefault="005A787A" w:rsidP="0013434E">
      <w:r>
        <w:continuationSeparator/>
      </w:r>
    </w:p>
  </w:footnote>
  <w:footnote w:id="1">
    <w:p w14:paraId="6D657394" w14:textId="77777777" w:rsidR="002871F6" w:rsidRPr="005C021B" w:rsidRDefault="005E08A5" w:rsidP="002871F6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2871F6" w:rsidRPr="005C021B">
        <w:rPr>
          <w:rFonts w:ascii="Arial" w:hAnsi="Arial" w:cs="Arial"/>
          <w:b/>
        </w:rPr>
        <w:t>Notas da Biblioteca:</w:t>
      </w:r>
    </w:p>
    <w:p w14:paraId="680FDBA4" w14:textId="2A934E28" w:rsidR="002871F6" w:rsidRPr="005C021B" w:rsidRDefault="002871F6" w:rsidP="002871F6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5C021B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5C021B" w:rsidRPr="005C021B">
          <w:rPr>
            <w:rStyle w:val="Hyperlink"/>
            <w:rFonts w:ascii="Arial" w:hAnsi="Arial" w:cs="Arial"/>
            <w:b/>
          </w:rPr>
          <w:t>Diário Eletrônico do Tribunal de Contas do Estado do Paraná</w:t>
        </w:r>
        <w:r w:rsidR="005C021B" w:rsidRPr="005C021B">
          <w:rPr>
            <w:rStyle w:val="Hyperlink"/>
            <w:rFonts w:ascii="Arial" w:hAnsi="Arial" w:cs="Arial"/>
          </w:rPr>
          <w:t>, Curitiba, PR, n. 991, 22 out. 2014, p. 20-21</w:t>
        </w:r>
      </w:hyperlink>
      <w:r w:rsidR="005C021B" w:rsidRPr="005C021B">
        <w:rPr>
          <w:rFonts w:ascii="Arial" w:hAnsi="Arial" w:cs="Arial"/>
        </w:rPr>
        <w:t>.</w:t>
      </w:r>
    </w:p>
    <w:p w14:paraId="4B0F6A1F" w14:textId="2966F184" w:rsidR="005C021B" w:rsidRPr="005C021B" w:rsidRDefault="005C021B" w:rsidP="002871F6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5C021B">
        <w:rPr>
          <w:rFonts w:ascii="Arial" w:hAnsi="Arial" w:cs="Arial"/>
          <w:b/>
        </w:rPr>
        <w:t>Ver também</w:t>
      </w:r>
      <w:r w:rsidRPr="005C021B">
        <w:rPr>
          <w:rFonts w:ascii="Arial" w:hAnsi="Arial" w:cs="Arial"/>
          <w:bCs/>
        </w:rPr>
        <w:t>:</w:t>
      </w:r>
    </w:p>
    <w:p w14:paraId="284EB9E8" w14:textId="17E40550" w:rsidR="005E08A5" w:rsidRDefault="007D5CEB" w:rsidP="009B179A">
      <w:pPr>
        <w:pStyle w:val="Textodenotaderodap"/>
        <w:ind w:firstLine="426"/>
        <w:rPr>
          <w:rFonts w:ascii="Arial" w:eastAsia="Calibri" w:hAnsi="Arial" w:cs="Arial"/>
          <w:color w:val="0000FF"/>
        </w:rPr>
      </w:pPr>
      <w:hyperlink r:id="rId2" w:history="1">
        <w:r w:rsidR="009B179A" w:rsidRPr="007D5CEB">
          <w:rPr>
            <w:rStyle w:val="Hyperlink"/>
            <w:rFonts w:ascii="Arial" w:eastAsia="Calibri" w:hAnsi="Arial" w:cs="Arial"/>
          </w:rPr>
          <w:t>Resoluç</w:t>
        </w:r>
        <w:r w:rsidR="009B179A" w:rsidRPr="007D5CEB">
          <w:rPr>
            <w:rStyle w:val="Hyperlink"/>
            <w:rFonts w:ascii="Arial" w:eastAsia="Calibri" w:hAnsi="Arial" w:cs="Arial"/>
          </w:rPr>
          <w:t>ão</w:t>
        </w:r>
        <w:r w:rsidR="009B179A" w:rsidRPr="007D5CEB">
          <w:rPr>
            <w:rStyle w:val="Hyperlink"/>
            <w:rFonts w:ascii="Arial" w:eastAsia="Calibri" w:hAnsi="Arial" w:cs="Arial"/>
          </w:rPr>
          <w:t xml:space="preserve"> n</w:t>
        </w:r>
        <w:r w:rsidR="009B179A" w:rsidRPr="007D5CEB">
          <w:rPr>
            <w:rStyle w:val="Hyperlink"/>
            <w:rFonts w:ascii="Arial" w:eastAsia="Calibri" w:hAnsi="Arial" w:cs="Arial"/>
          </w:rPr>
          <w:t>.</w:t>
        </w:r>
        <w:r w:rsidR="009B179A" w:rsidRPr="007D5CEB">
          <w:rPr>
            <w:rStyle w:val="Hyperlink"/>
            <w:rFonts w:ascii="Arial" w:eastAsia="Calibri" w:hAnsi="Arial" w:cs="Arial"/>
          </w:rPr>
          <w:t xml:space="preserve"> 21, de 3 de dezembro de 2009</w:t>
        </w:r>
      </w:hyperlink>
      <w:r w:rsidR="009B179A" w:rsidRPr="009B179A">
        <w:rPr>
          <w:rFonts w:ascii="Arial" w:eastAsia="Calibri" w:hAnsi="Arial" w:cs="Arial"/>
          <w:color w:val="0000FF"/>
        </w:rPr>
        <w:t>.</w:t>
      </w:r>
    </w:p>
    <w:p w14:paraId="30AF0EE5" w14:textId="70346B58" w:rsidR="009B179A" w:rsidRDefault="00E52BDF" w:rsidP="009B179A">
      <w:pPr>
        <w:pStyle w:val="Textodenotaderodap"/>
        <w:ind w:firstLine="426"/>
        <w:rPr>
          <w:rFonts w:ascii="Arial" w:eastAsia="Calibri" w:hAnsi="Arial" w:cs="Arial"/>
          <w:color w:val="0000FF"/>
        </w:rPr>
      </w:pPr>
      <w:hyperlink r:id="rId3" w:history="1">
        <w:r w:rsidR="009B179A" w:rsidRPr="00E52BDF">
          <w:rPr>
            <w:rStyle w:val="Hyperlink"/>
            <w:rFonts w:ascii="Arial" w:eastAsia="Calibri" w:hAnsi="Arial" w:cs="Arial"/>
          </w:rPr>
          <w:t>Resolução n.</w:t>
        </w:r>
        <w:r w:rsidR="009B179A" w:rsidRPr="00E52BDF">
          <w:rPr>
            <w:rStyle w:val="Hyperlink"/>
            <w:rFonts w:ascii="Arial" w:eastAsia="Calibri" w:hAnsi="Arial" w:cs="Arial"/>
          </w:rPr>
          <w:t xml:space="preserve"> </w:t>
        </w:r>
        <w:r w:rsidR="009B179A" w:rsidRPr="00E52BDF">
          <w:rPr>
            <w:rStyle w:val="Hyperlink"/>
            <w:rFonts w:ascii="Arial" w:eastAsia="Calibri" w:hAnsi="Arial" w:cs="Arial"/>
          </w:rPr>
          <w:t>32, de 31 de maio de 2012</w:t>
        </w:r>
      </w:hyperlink>
      <w:r w:rsidR="009B179A">
        <w:rPr>
          <w:rFonts w:ascii="Arial" w:eastAsia="Calibri" w:hAnsi="Arial" w:cs="Arial"/>
          <w:color w:val="0000FF"/>
        </w:rPr>
        <w:t>.</w:t>
      </w:r>
    </w:p>
    <w:p w14:paraId="02AA31A1" w14:textId="51781244" w:rsidR="009B179A" w:rsidRPr="009B179A" w:rsidRDefault="00991306" w:rsidP="009B179A">
      <w:pPr>
        <w:pStyle w:val="Textodenotaderodap"/>
        <w:ind w:firstLine="426"/>
      </w:pPr>
      <w:hyperlink r:id="rId4" w:history="1">
        <w:r w:rsidR="009B179A" w:rsidRPr="00991306">
          <w:rPr>
            <w:rStyle w:val="Hyperlink"/>
            <w:rFonts w:ascii="Arial" w:eastAsia="Calibri" w:hAnsi="Arial" w:cs="Arial"/>
          </w:rPr>
          <w:t>Resolução n.</w:t>
        </w:r>
        <w:r w:rsidR="009B179A" w:rsidRPr="00991306">
          <w:rPr>
            <w:rStyle w:val="Hyperlink"/>
          </w:rPr>
          <w:t xml:space="preserve"> </w:t>
        </w:r>
        <w:r w:rsidR="009B179A" w:rsidRPr="00991306">
          <w:rPr>
            <w:rStyle w:val="Hyperlink"/>
            <w:rFonts w:ascii="Arial" w:eastAsia="Calibri" w:hAnsi="Arial" w:cs="Arial"/>
          </w:rPr>
          <w:t>35, de 14 de fevereiro de 2013</w:t>
        </w:r>
      </w:hyperlink>
      <w:r w:rsidR="009B179A">
        <w:rPr>
          <w:rFonts w:ascii="Arial" w:eastAsia="Calibri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661C" w14:textId="5279AA13" w:rsidR="00222F88" w:rsidRDefault="00CB3A8A" w:rsidP="00E633AB">
    <w:pPr>
      <w:pStyle w:val="Cabealho"/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2F5A8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E633AB">
      <w:rPr>
        <w:rFonts w:ascii="Arial" w:hAnsi="Arial" w:cs="Arial"/>
        <w:b/>
        <w:sz w:val="30"/>
        <w:szCs w:val="30"/>
      </w:rPr>
      <w:t xml:space="preserve"> </w:t>
    </w:r>
    <w:r w:rsidR="00222F88">
      <w:rPr>
        <w:rFonts w:ascii="Arial" w:hAnsi="Arial" w:cs="Arial"/>
        <w:b/>
        <w:sz w:val="30"/>
        <w:szCs w:val="30"/>
      </w:rPr>
      <w:t>TRIBUNAL DE CONTAS DO ESTADO DO PARANÁ</w:t>
    </w:r>
  </w:p>
  <w:p w14:paraId="207E800F" w14:textId="77777777" w:rsidR="003A5754" w:rsidRDefault="003A5754" w:rsidP="00E633AB">
    <w:pPr>
      <w:pStyle w:val="Cabealho"/>
      <w:spacing w:before="480"/>
      <w:ind w:left="1134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21C4"/>
    <w:multiLevelType w:val="hybridMultilevel"/>
    <w:tmpl w:val="48B0F8A6"/>
    <w:lvl w:ilvl="0" w:tplc="A4B8BF7A">
      <w:start w:val="1"/>
      <w:numFmt w:val="lowerLetter"/>
      <w:lvlText w:val="%1)"/>
      <w:lvlJc w:val="left"/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A8A"/>
    <w:rsid w:val="0002592A"/>
    <w:rsid w:val="00035E9E"/>
    <w:rsid w:val="00041683"/>
    <w:rsid w:val="00056DDE"/>
    <w:rsid w:val="000615D9"/>
    <w:rsid w:val="000C786D"/>
    <w:rsid w:val="000D4D36"/>
    <w:rsid w:val="0013398E"/>
    <w:rsid w:val="0013434E"/>
    <w:rsid w:val="00161A2E"/>
    <w:rsid w:val="00172695"/>
    <w:rsid w:val="001A0AFA"/>
    <w:rsid w:val="001C43A3"/>
    <w:rsid w:val="001D35DD"/>
    <w:rsid w:val="00222F88"/>
    <w:rsid w:val="002871F6"/>
    <w:rsid w:val="0037364E"/>
    <w:rsid w:val="0038666C"/>
    <w:rsid w:val="003A0632"/>
    <w:rsid w:val="003A5754"/>
    <w:rsid w:val="003C1A7A"/>
    <w:rsid w:val="003E03D3"/>
    <w:rsid w:val="0040087F"/>
    <w:rsid w:val="004427BE"/>
    <w:rsid w:val="004D2F3B"/>
    <w:rsid w:val="004D4B3A"/>
    <w:rsid w:val="004E06AC"/>
    <w:rsid w:val="004F6DE4"/>
    <w:rsid w:val="005076AE"/>
    <w:rsid w:val="00520471"/>
    <w:rsid w:val="00522CE1"/>
    <w:rsid w:val="005656C5"/>
    <w:rsid w:val="005A787A"/>
    <w:rsid w:val="005C021B"/>
    <w:rsid w:val="005E08A5"/>
    <w:rsid w:val="00695476"/>
    <w:rsid w:val="00697944"/>
    <w:rsid w:val="006B5EC2"/>
    <w:rsid w:val="006E7DD2"/>
    <w:rsid w:val="00703930"/>
    <w:rsid w:val="007060B5"/>
    <w:rsid w:val="00711A98"/>
    <w:rsid w:val="00714C75"/>
    <w:rsid w:val="007D5CEB"/>
    <w:rsid w:val="008238AB"/>
    <w:rsid w:val="00826A18"/>
    <w:rsid w:val="00844A93"/>
    <w:rsid w:val="00872842"/>
    <w:rsid w:val="00892AD0"/>
    <w:rsid w:val="008F5F41"/>
    <w:rsid w:val="00903188"/>
    <w:rsid w:val="00906521"/>
    <w:rsid w:val="00991306"/>
    <w:rsid w:val="009973DB"/>
    <w:rsid w:val="009B179A"/>
    <w:rsid w:val="009B2DBD"/>
    <w:rsid w:val="009C5E61"/>
    <w:rsid w:val="00A51C53"/>
    <w:rsid w:val="00A721EF"/>
    <w:rsid w:val="00AE4575"/>
    <w:rsid w:val="00B6348F"/>
    <w:rsid w:val="00BF0063"/>
    <w:rsid w:val="00C06A9D"/>
    <w:rsid w:val="00C5520C"/>
    <w:rsid w:val="00CA1ADA"/>
    <w:rsid w:val="00CB3A8A"/>
    <w:rsid w:val="00CF3C2C"/>
    <w:rsid w:val="00D570D3"/>
    <w:rsid w:val="00D61CBC"/>
    <w:rsid w:val="00D9343F"/>
    <w:rsid w:val="00DA42A7"/>
    <w:rsid w:val="00DD28FE"/>
    <w:rsid w:val="00E52BDF"/>
    <w:rsid w:val="00E633AB"/>
    <w:rsid w:val="00E921AE"/>
    <w:rsid w:val="00F20004"/>
    <w:rsid w:val="00F40E32"/>
    <w:rsid w:val="00F905BD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949C9"/>
  <w15:chartTrackingRefBased/>
  <w15:docId w15:val="{C37465E6-F59F-4E0A-8FCF-9547C27D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8A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C1A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1A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1A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C1A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B3A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43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434E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3C1A7A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Ttulo1Char">
    <w:name w:val="Título 1 Char"/>
    <w:link w:val="Ttulo1"/>
    <w:uiPriority w:val="9"/>
    <w:rsid w:val="003C1A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3C1A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3C1A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3C1A7A"/>
    <w:rPr>
      <w:rFonts w:ascii="Calibri" w:eastAsia="Times New Roman" w:hAnsi="Calibri" w:cs="Times New Roman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5E08A5"/>
  </w:style>
  <w:style w:type="character" w:customStyle="1" w:styleId="TextodenotaderodapChar">
    <w:name w:val="Texto de nota de rodapé Char"/>
    <w:link w:val="Textodenotaderodap"/>
    <w:rsid w:val="005E08A5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E08A5"/>
    <w:rPr>
      <w:vertAlign w:val="superscript"/>
    </w:rPr>
  </w:style>
  <w:style w:type="character" w:styleId="Hyperlink">
    <w:name w:val="Hyperlink"/>
    <w:uiPriority w:val="99"/>
    <w:rsid w:val="002871F6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87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1-de-3-de-dezembro-de-2009/1383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resolucao-n-35-de-14-de-fevereiro-de-2013/239031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resolucao-n-32-de-31-de-maio-de-2012/1372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32-de-31-de-maio-de-2012/1372/area/10" TargetMode="External"/><Relationship Id="rId2" Type="http://schemas.openxmlformats.org/officeDocument/2006/relationships/hyperlink" Target="http://www1.tce.pr.gov.br/conteudo/resolucao-n-21-de-3-de-dezembro-de-2009/1383/area/10" TargetMode="External"/><Relationship Id="rId1" Type="http://schemas.openxmlformats.org/officeDocument/2006/relationships/hyperlink" Target="http://www1.tce.pr.gov.br/multimidia/2014/10/pdf/00268259.pdf" TargetMode="External"/><Relationship Id="rId4" Type="http://schemas.openxmlformats.org/officeDocument/2006/relationships/hyperlink" Target="http://www1.tce.pr.gov.br/conteudo/resolucao-n-35-de-14-de-fevereiro-de-2013/23903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4A8B-186B-4903-BE6C-E73699FE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Fonseca</cp:lastModifiedBy>
  <cp:revision>10</cp:revision>
  <cp:lastPrinted>2014-10-21T16:59:00Z</cp:lastPrinted>
  <dcterms:created xsi:type="dcterms:W3CDTF">2022-07-05T23:41:00Z</dcterms:created>
  <dcterms:modified xsi:type="dcterms:W3CDTF">2022-07-05T23:47:00Z</dcterms:modified>
</cp:coreProperties>
</file>