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C11C" w14:textId="28D416A2" w:rsidR="005E0F82" w:rsidRDefault="005E0F82" w:rsidP="005E0F82">
      <w:pPr>
        <w:jc w:val="center"/>
        <w:rPr>
          <w:rFonts w:ascii="Arial" w:hAnsi="Arial"/>
          <w:b/>
          <w:sz w:val="28"/>
          <w:szCs w:val="36"/>
        </w:rPr>
      </w:pPr>
      <w:r w:rsidRPr="00CB465E">
        <w:rPr>
          <w:rFonts w:ascii="Arial" w:hAnsi="Arial"/>
          <w:b/>
          <w:sz w:val="28"/>
          <w:szCs w:val="36"/>
        </w:rPr>
        <w:t xml:space="preserve">RESOLUÇÃO Nº </w:t>
      </w:r>
      <w:r w:rsidR="00DE63D2" w:rsidRPr="00CB465E">
        <w:rPr>
          <w:rFonts w:ascii="Arial" w:hAnsi="Arial"/>
          <w:b/>
          <w:sz w:val="28"/>
          <w:szCs w:val="36"/>
        </w:rPr>
        <w:t>4</w:t>
      </w:r>
      <w:r w:rsidRPr="00CB465E">
        <w:rPr>
          <w:rFonts w:ascii="Arial" w:hAnsi="Arial"/>
          <w:b/>
          <w:sz w:val="28"/>
          <w:szCs w:val="36"/>
        </w:rPr>
        <w:t>/2006</w:t>
      </w:r>
      <w:r w:rsidR="00196768">
        <w:rPr>
          <w:rStyle w:val="Refdenotaderodap"/>
          <w:rFonts w:ascii="Arial" w:hAnsi="Arial"/>
          <w:b/>
          <w:sz w:val="28"/>
          <w:szCs w:val="36"/>
        </w:rPr>
        <w:footnoteReference w:id="1"/>
      </w:r>
    </w:p>
    <w:p w14:paraId="413878F8" w14:textId="7902624E" w:rsidR="004010EC" w:rsidRPr="004010EC" w:rsidRDefault="004010EC" w:rsidP="005E0F82">
      <w:pPr>
        <w:jc w:val="center"/>
        <w:rPr>
          <w:rFonts w:ascii="Arial" w:hAnsi="Arial"/>
          <w:b/>
          <w:color w:val="0000FF"/>
          <w:sz w:val="26"/>
          <w:szCs w:val="26"/>
        </w:rPr>
      </w:pPr>
      <w:r w:rsidRPr="004010EC">
        <w:rPr>
          <w:rFonts w:ascii="Arial" w:hAnsi="Arial"/>
          <w:b/>
          <w:color w:val="0000FF"/>
          <w:sz w:val="26"/>
          <w:szCs w:val="26"/>
        </w:rPr>
        <w:t>CO</w:t>
      </w:r>
      <w:r w:rsidR="00210015">
        <w:rPr>
          <w:rFonts w:ascii="Arial" w:hAnsi="Arial"/>
          <w:b/>
          <w:color w:val="0000FF"/>
          <w:sz w:val="26"/>
          <w:szCs w:val="26"/>
        </w:rPr>
        <w:t>MPILADA</w:t>
      </w:r>
    </w:p>
    <w:p w14:paraId="3312BBD4" w14:textId="77777777" w:rsidR="00DE63D2" w:rsidRPr="008E56FD" w:rsidRDefault="00DE63D2" w:rsidP="008E56FD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8E56FD">
        <w:rPr>
          <w:rFonts w:ascii="Arial" w:hAnsi="Arial" w:cs="Arial"/>
          <w:i/>
          <w:iCs/>
          <w:sz w:val="22"/>
          <w:szCs w:val="22"/>
        </w:rPr>
        <w:t>Dispõe sobre a guarda e o acesso aos documentos necessários ao efetivo exercício do controle externo das obras públicas pelo Tribunal de Contas do Estado do Paraná.</w:t>
      </w:r>
    </w:p>
    <w:p w14:paraId="09987EE5" w14:textId="5EC2FC88" w:rsidR="005E0F82" w:rsidRPr="00A711C8" w:rsidRDefault="005E0F82" w:rsidP="00196F7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iCs/>
        </w:rPr>
      </w:pPr>
      <w:r w:rsidRPr="00A711C8">
        <w:rPr>
          <w:rFonts w:ascii="Arial" w:hAnsi="Arial" w:cs="Arial"/>
          <w:iCs/>
        </w:rPr>
        <w:t xml:space="preserve">O </w:t>
      </w:r>
      <w:r w:rsidR="00196F75" w:rsidRPr="00A711C8">
        <w:rPr>
          <w:rFonts w:ascii="Arial" w:hAnsi="Arial" w:cs="Arial"/>
          <w:b/>
          <w:iCs/>
        </w:rPr>
        <w:t>TRIBUNAL DE CONTAS DO ESTADO DO PARANÁ</w:t>
      </w:r>
      <w:r w:rsidRPr="00A711C8">
        <w:rPr>
          <w:rFonts w:ascii="Arial" w:hAnsi="Arial" w:cs="Arial"/>
          <w:iCs/>
        </w:rPr>
        <w:t>, no uso da</w:t>
      </w:r>
      <w:r w:rsidR="00DE63D2" w:rsidRPr="00A711C8">
        <w:rPr>
          <w:rFonts w:ascii="Arial" w:hAnsi="Arial" w:cs="Arial"/>
          <w:iCs/>
        </w:rPr>
        <w:t>s</w:t>
      </w:r>
      <w:r w:rsidRPr="00A711C8">
        <w:rPr>
          <w:rFonts w:ascii="Arial" w:hAnsi="Arial" w:cs="Arial"/>
          <w:iCs/>
        </w:rPr>
        <w:t xml:space="preserve"> atribuiç</w:t>
      </w:r>
      <w:r w:rsidR="00DE63D2" w:rsidRPr="00A711C8">
        <w:rPr>
          <w:rFonts w:ascii="Arial" w:hAnsi="Arial" w:cs="Arial"/>
          <w:iCs/>
        </w:rPr>
        <w:t>ões institucionais, estabelecidas na Constituição Federal, na Constituição Estadual, na da Lei Complementar n° 113, de 15 de dezembro de 2005, e com fundamento no</w:t>
      </w:r>
      <w:r w:rsidRPr="00A711C8">
        <w:rPr>
          <w:rFonts w:ascii="Arial" w:hAnsi="Arial" w:cs="Arial"/>
          <w:iCs/>
        </w:rPr>
        <w:t xml:space="preserve"> art. 1</w:t>
      </w:r>
      <w:r w:rsidR="00DE63D2" w:rsidRPr="00A711C8">
        <w:rPr>
          <w:rFonts w:ascii="Arial" w:hAnsi="Arial" w:cs="Arial"/>
          <w:iCs/>
        </w:rPr>
        <w:t>87</w:t>
      </w:r>
      <w:r w:rsidRPr="00A711C8">
        <w:rPr>
          <w:rFonts w:ascii="Arial" w:hAnsi="Arial" w:cs="Arial"/>
          <w:iCs/>
        </w:rPr>
        <w:t>,</w:t>
      </w:r>
      <w:r w:rsidR="008E56FD" w:rsidRPr="00A711C8">
        <w:rPr>
          <w:rFonts w:ascii="Arial" w:hAnsi="Arial" w:cs="Arial"/>
          <w:iCs/>
        </w:rPr>
        <w:t xml:space="preserve"> </w:t>
      </w:r>
      <w:r w:rsidR="00F867E0" w:rsidRPr="00A711C8">
        <w:rPr>
          <w:rFonts w:ascii="Arial" w:hAnsi="Arial" w:cs="Arial"/>
          <w:iCs/>
        </w:rPr>
        <w:t>I</w:t>
      </w:r>
      <w:r w:rsidRPr="00A711C8">
        <w:rPr>
          <w:rFonts w:ascii="Arial" w:hAnsi="Arial" w:cs="Arial"/>
          <w:iCs/>
        </w:rPr>
        <w:t>,</w:t>
      </w:r>
      <w:r w:rsidR="00DE63D2" w:rsidRPr="00A711C8">
        <w:rPr>
          <w:rFonts w:ascii="Arial" w:hAnsi="Arial" w:cs="Arial"/>
          <w:iCs/>
        </w:rPr>
        <w:t xml:space="preserve"> e 188, ambos do Regimento Interno e</w:t>
      </w:r>
      <w:r w:rsidRPr="00A711C8">
        <w:rPr>
          <w:rFonts w:ascii="Arial" w:hAnsi="Arial" w:cs="Arial"/>
          <w:iCs/>
        </w:rPr>
        <w:t xml:space="preserve"> </w:t>
      </w:r>
    </w:p>
    <w:p w14:paraId="1451E248" w14:textId="77777777" w:rsidR="00DE63D2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A711C8">
        <w:rPr>
          <w:rFonts w:ascii="Arial" w:hAnsi="Arial" w:cs="Arial"/>
        </w:rPr>
        <w:t>Considerando</w:t>
      </w:r>
      <w:r w:rsidRP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 xml:space="preserve">a necessidade de regulamentar o conteúdo das informações sobre as obras e serviços de engenharia contratados e em processo de licitação pelos órgãos e entidades jurisdicionadas a este Tribunal, objetivando o efetivo e regular exercício da sua atividade de controle externo, </w:t>
      </w:r>
    </w:p>
    <w:p w14:paraId="24629862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RESOLVE:</w:t>
      </w:r>
    </w:p>
    <w:p w14:paraId="4BCE57FA" w14:textId="5041A504" w:rsidR="00DE63D2" w:rsidRPr="008E56FD" w:rsidRDefault="00DE63D2" w:rsidP="00D83606">
      <w:pPr>
        <w:spacing w:before="12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1º </w:t>
      </w:r>
      <w:r w:rsidRPr="008E56FD">
        <w:rPr>
          <w:rFonts w:ascii="Arial" w:hAnsi="Arial" w:cs="Arial"/>
        </w:rPr>
        <w:t>As normas desta Resolução aplicam-se aos órgãos da Administração Direta e Indireta do Poder Executivo Estadual, dos Poderes Legislativo e Judiciário, do Ministério Público do Estado do Paraná, da Administração Direta e Indireta do Poder Executivo dos municípios do Estado do Paraná, do Poder Legislativo dos municípios do Estado do Paraná, aos consórcios intermunicipais e às pessoas de direito privado que receberem transferências voluntárias do Estado e dos Municípios.</w:t>
      </w:r>
    </w:p>
    <w:p w14:paraId="4611E3DE" w14:textId="6C25D759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2º </w:t>
      </w:r>
      <w:r w:rsidRPr="008E56FD">
        <w:rPr>
          <w:rFonts w:ascii="Arial" w:hAnsi="Arial" w:cs="Arial"/>
        </w:rPr>
        <w:t>Fica estabelecida a relação dos documentos mínimos que darão suporte às informações prestadas a este Tribunal de Contas e que caracterizam as obras e serviços de engenharia executados ou contratados pelos órgãos e entidades referidos no artigo 1º desta Resolução.</w:t>
      </w:r>
    </w:p>
    <w:p w14:paraId="375F9184" w14:textId="7EE2D3C7" w:rsidR="00DE63D2" w:rsidRPr="00B76319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>Art. 3º</w:t>
      </w:r>
      <w:r w:rsidR="000B2CD3">
        <w:rPr>
          <w:rFonts w:ascii="Arial" w:hAnsi="Arial" w:cs="Arial"/>
        </w:rPr>
        <w:t xml:space="preserve"> (</w:t>
      </w:r>
      <w:r w:rsidR="000B2CD3" w:rsidRPr="00B76319">
        <w:rPr>
          <w:rFonts w:ascii="Arial" w:hAnsi="Arial" w:cs="Arial"/>
          <w:color w:val="0000FF"/>
        </w:rPr>
        <w:t xml:space="preserve">Revogado pela </w:t>
      </w:r>
      <w:hyperlink r:id="rId7" w:history="1">
        <w:r w:rsidR="000B2CD3" w:rsidRPr="00B76319">
          <w:rPr>
            <w:rStyle w:val="Hyperlink"/>
            <w:rFonts w:ascii="Arial" w:hAnsi="Arial" w:cs="Arial"/>
            <w:color w:val="0000FF"/>
          </w:rPr>
          <w:t>Resolução n. 25</w:t>
        </w:r>
        <w:r w:rsidR="00B76319" w:rsidRPr="00B76319">
          <w:rPr>
            <w:rStyle w:val="Hyperlink"/>
            <w:rFonts w:ascii="Arial" w:hAnsi="Arial" w:cs="Arial"/>
            <w:color w:val="0000FF"/>
          </w:rPr>
          <w:t>/</w:t>
        </w:r>
        <w:r w:rsidR="000B2CD3" w:rsidRPr="00B76319">
          <w:rPr>
            <w:rStyle w:val="Hyperlink"/>
            <w:rFonts w:ascii="Arial" w:hAnsi="Arial" w:cs="Arial"/>
            <w:color w:val="0000FF"/>
          </w:rPr>
          <w:t>2011</w:t>
        </w:r>
      </w:hyperlink>
      <w:r w:rsidR="00B76319" w:rsidRPr="00E70890">
        <w:rPr>
          <w:rFonts w:ascii="Arial" w:hAnsi="Arial" w:cs="Arial"/>
        </w:rPr>
        <w:t>)</w:t>
      </w:r>
    </w:p>
    <w:p w14:paraId="3D863719" w14:textId="5EE3767F" w:rsidR="00E70890" w:rsidRPr="00B76319" w:rsidRDefault="00DE63D2" w:rsidP="00E70890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I - </w:t>
      </w:r>
      <w:r w:rsidR="00E70890">
        <w:rPr>
          <w:rFonts w:ascii="Arial" w:hAnsi="Arial" w:cs="Arial"/>
        </w:rPr>
        <w:t>(</w:t>
      </w:r>
      <w:r w:rsidR="00E70890" w:rsidRPr="00B76319">
        <w:rPr>
          <w:rFonts w:ascii="Arial" w:hAnsi="Arial" w:cs="Arial"/>
          <w:color w:val="0000FF"/>
        </w:rPr>
        <w:t xml:space="preserve">Revogado pela </w:t>
      </w:r>
      <w:hyperlink r:id="rId8" w:history="1">
        <w:r w:rsidR="00E70890" w:rsidRPr="00B76319">
          <w:rPr>
            <w:rStyle w:val="Hyperlink"/>
            <w:rFonts w:ascii="Arial" w:hAnsi="Arial" w:cs="Arial"/>
            <w:color w:val="0000FF"/>
          </w:rPr>
          <w:t>Resolução n. 25/2011</w:t>
        </w:r>
      </w:hyperlink>
      <w:r w:rsidR="00E70890" w:rsidRPr="00E70890">
        <w:rPr>
          <w:rFonts w:ascii="Arial" w:hAnsi="Arial" w:cs="Arial"/>
        </w:rPr>
        <w:t>)</w:t>
      </w:r>
    </w:p>
    <w:p w14:paraId="47E0DE95" w14:textId="5745D40E" w:rsidR="00E70890" w:rsidRPr="00B76319" w:rsidRDefault="00DE63D2" w:rsidP="00E70890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II - </w:t>
      </w:r>
      <w:r w:rsidR="00E70890">
        <w:rPr>
          <w:rFonts w:ascii="Arial" w:hAnsi="Arial" w:cs="Arial"/>
        </w:rPr>
        <w:t>(</w:t>
      </w:r>
      <w:r w:rsidR="00E70890" w:rsidRPr="00B76319">
        <w:rPr>
          <w:rFonts w:ascii="Arial" w:hAnsi="Arial" w:cs="Arial"/>
          <w:color w:val="0000FF"/>
        </w:rPr>
        <w:t xml:space="preserve">Revogado pela </w:t>
      </w:r>
      <w:hyperlink r:id="rId9" w:history="1">
        <w:r w:rsidR="00E70890" w:rsidRPr="00B76319">
          <w:rPr>
            <w:rStyle w:val="Hyperlink"/>
            <w:rFonts w:ascii="Arial" w:hAnsi="Arial" w:cs="Arial"/>
            <w:color w:val="0000FF"/>
          </w:rPr>
          <w:t>Resolução n. 25/2011</w:t>
        </w:r>
      </w:hyperlink>
      <w:r w:rsidR="00E70890" w:rsidRPr="00E70890">
        <w:rPr>
          <w:rFonts w:ascii="Arial" w:hAnsi="Arial" w:cs="Arial"/>
        </w:rPr>
        <w:t>)</w:t>
      </w:r>
    </w:p>
    <w:p w14:paraId="7B0F344B" w14:textId="10B4AB98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4º </w:t>
      </w:r>
      <w:r w:rsidRPr="008E56FD">
        <w:rPr>
          <w:rFonts w:ascii="Arial" w:hAnsi="Arial" w:cs="Arial"/>
        </w:rPr>
        <w:t>Os órgãos e entidades indicados no artigo 1º deverão manter em seu sistema de controle interno, de forma organizada, o conjunto de documentos especificados na presente Resolução de forma a possibilitar a análise da consistência das informações sobre as obras e serviços de engenharia contratadas ou em processo de licitação, bem como racionalizar as atividades de fiscalização deste Tribunal no seu regular exercício do controle externo.</w:t>
      </w:r>
    </w:p>
    <w:p w14:paraId="11560E32" w14:textId="1371744A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5º </w:t>
      </w:r>
      <w:r w:rsidRPr="008E56FD">
        <w:rPr>
          <w:rFonts w:ascii="Arial" w:hAnsi="Arial" w:cs="Arial"/>
        </w:rPr>
        <w:t>Todas as obras de engenharia em regime de execução indireta deverão possuir os seguintes documentos gerais de controle:</w:t>
      </w:r>
    </w:p>
    <w:p w14:paraId="2D6B4BD6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lastRenderedPageBreak/>
        <w:t>I – referente aos estudos preliminares:</w:t>
      </w:r>
    </w:p>
    <w:p w14:paraId="08492903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estudo de viabilidade, contendo as indicações dos estudos técnicos preliminares, que assegurem a viabilidade técnica e econômica e, quando necessário, o adequado tratamento do impacto ambiental do empreendimento (art. 6º, inciso IX da Lei Federal n° 8.666, de 21 de junho de 1993).</w:t>
      </w:r>
    </w:p>
    <w:p w14:paraId="79B70A83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II - referentes à fase de projeto:</w:t>
      </w:r>
    </w:p>
    <w:p w14:paraId="7E1B4D28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 xml:space="preserve"> dos projetos e orçamento componentes do projeto básico (art.</w:t>
      </w:r>
    </w:p>
    <w:p w14:paraId="786BE440" w14:textId="64A1BFE5" w:rsidR="00DE63D2" w:rsidRPr="008E56FD" w:rsidRDefault="00DE63D2" w:rsidP="00196F75">
      <w:pPr>
        <w:pStyle w:val="Listadecontinuao"/>
        <w:spacing w:before="120" w:after="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1º da Lei Federal n° 6.496, de 07 de dezembro de 1 977, e 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13 e 17 da Lei Federal n° 5.194, de 24 de dezembro de 1966);</w:t>
      </w:r>
    </w:p>
    <w:p w14:paraId="5E205AA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projeto básico (art. 6º, IX, da Lei Federal n° 8 .666/1993), conforme Orientação Técnica OT-IBR 001/2006 do Instituto Brasileiro de Auditoria de Obras Públicas - IBRAOP;</w:t>
      </w:r>
    </w:p>
    <w:p w14:paraId="1A432FDC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orçamento detalhado em planilhas que expressem a composição de todos os seus custos unitários (art. 7º, § 1º, II, da Lei Federal n° 8.666/1993);</w:t>
      </w:r>
    </w:p>
    <w:p w14:paraId="1E8FC751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cronograma físico-financeiro da obra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7º, § 2º, III, 40, XIV, “b” e art. 55, IV, da Lei Federal n° 8.666/1993 e art. 63 da Lei Federal n° 4.320, de 17 de março de 1964);</w:t>
      </w:r>
    </w:p>
    <w:p w14:paraId="0CDE315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e)</w:t>
      </w:r>
      <w:r w:rsidRPr="008E56FD">
        <w:rPr>
          <w:rFonts w:ascii="Arial" w:hAnsi="Arial" w:cs="Arial"/>
        </w:rPr>
        <w:tab/>
        <w:t>relatório de impactos ambientais e licenças ambientais, quando exigido pelos órgãos competentes (art. 12, VII, da Lei Federal n° 8.666/1993 e Resoluções CONAMA n° 01, de 23 de janeiro de 1986 e n° 237, de 19 de dezembro de 1977).</w:t>
      </w:r>
    </w:p>
    <w:p w14:paraId="7A46EBB8" w14:textId="77777777" w:rsidR="00DE63D2" w:rsidRPr="008E56FD" w:rsidRDefault="00DE63D2" w:rsidP="00196F75">
      <w:pPr>
        <w:pStyle w:val="Listadecontinuao"/>
        <w:spacing w:before="120" w:after="0"/>
        <w:ind w:left="0"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III - referentes à utilização de recursos de transferências voluntárias:</w:t>
      </w:r>
    </w:p>
    <w:p w14:paraId="0DCDE6E3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termo do convênio ou instrumento congênere e plano de trabalho com a devida autorização legislativa (art. 116, § 1º, da Lei Federal n° 8.666/1993 e Resolução TCE/PR n° 03, de 27 de julho de 2006);</w:t>
      </w:r>
    </w:p>
    <w:p w14:paraId="2F1F3B74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prestações de contas parciais e final (art. 116 da Lei Federal n° 8.666/1993).</w:t>
      </w:r>
    </w:p>
    <w:p w14:paraId="5C389254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IV - referentes à fase de licitação:</w:t>
      </w:r>
    </w:p>
    <w:p w14:paraId="01527B68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Plano Plurianual, Lei de Diretrizes Orçamentárias e Lei de Orçamento Anual (art. 7º da Lei Federal n° 8.666/1993);</w:t>
      </w:r>
    </w:p>
    <w:p w14:paraId="545504E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processo licitatório nos termos do art. 38 da Lei Federal n° 8.666/1993.</w:t>
      </w:r>
    </w:p>
    <w:p w14:paraId="5CAA97CB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 - referentes à fase de execução do contrato:</w:t>
      </w:r>
    </w:p>
    <w:p w14:paraId="178E25A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 xml:space="preserve">projetos executivos com suas </w:t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>, devidamente aprovados pela autoridade competente (art. 7º da Lei Federal n° 8. 666/1993);</w:t>
      </w:r>
    </w:p>
    <w:p w14:paraId="4348635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designação do fiscal do contrato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58 e 67 da Lei Federal n° 8.666/1993);</w:t>
      </w:r>
    </w:p>
    <w:p w14:paraId="4B19013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designação do fiscal da obra, habilitado e credenciado junto ao CREA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 xml:space="preserve">. 58 e 67 da Lei Federal n° 8.666/1993 e </w:t>
      </w:r>
      <w:proofErr w:type="spellStart"/>
      <w:r w:rsidRPr="008E56FD">
        <w:rPr>
          <w:rFonts w:ascii="Arial" w:hAnsi="Arial" w:cs="Arial"/>
        </w:rPr>
        <w:t>Resol</w:t>
      </w:r>
      <w:proofErr w:type="spellEnd"/>
      <w:r w:rsidRPr="008E56FD">
        <w:rPr>
          <w:rFonts w:ascii="Arial" w:hAnsi="Arial" w:cs="Arial"/>
        </w:rPr>
        <w:t xml:space="preserve"> </w:t>
      </w:r>
      <w:proofErr w:type="spellStart"/>
      <w:r w:rsidRPr="008E56FD">
        <w:rPr>
          <w:rFonts w:ascii="Arial" w:hAnsi="Arial" w:cs="Arial"/>
        </w:rPr>
        <w:t>ução</w:t>
      </w:r>
      <w:proofErr w:type="spellEnd"/>
      <w:r w:rsidRPr="008E56FD">
        <w:rPr>
          <w:rFonts w:ascii="Arial" w:hAnsi="Arial" w:cs="Arial"/>
        </w:rPr>
        <w:t xml:space="preserve"> CONFEA n° 345, de 27 de julho de 1990);</w:t>
      </w:r>
    </w:p>
    <w:p w14:paraId="19505C52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contrato ou outro instrumento hábil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60 e 62 da Lei Federal n° 8.666/1993);</w:t>
      </w:r>
    </w:p>
    <w:p w14:paraId="3AF27840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e)</w:t>
      </w:r>
      <w:r w:rsidRPr="008E56FD">
        <w:rPr>
          <w:rFonts w:ascii="Arial" w:hAnsi="Arial" w:cs="Arial"/>
        </w:rPr>
        <w:tab/>
      </w:r>
      <w:proofErr w:type="spellStart"/>
      <w:r w:rsidRPr="008E56FD">
        <w:rPr>
          <w:rFonts w:ascii="Arial" w:hAnsi="Arial" w:cs="Arial"/>
        </w:rPr>
        <w:t>ART´s</w:t>
      </w:r>
      <w:proofErr w:type="spellEnd"/>
      <w:r w:rsidRPr="008E56FD">
        <w:rPr>
          <w:rFonts w:ascii="Arial" w:hAnsi="Arial" w:cs="Arial"/>
        </w:rPr>
        <w:t xml:space="preserve"> de execução da obra (art. 1º da Lei Federal n° 6.496/1977);</w:t>
      </w:r>
    </w:p>
    <w:p w14:paraId="02FC0D84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lastRenderedPageBreak/>
        <w:t>f)</w:t>
      </w:r>
      <w:r w:rsidRPr="008E56FD">
        <w:rPr>
          <w:rFonts w:ascii="Arial" w:hAnsi="Arial" w:cs="Arial"/>
        </w:rPr>
        <w:tab/>
        <w:t>documento de prestação da garantia contratual oferecida para assegurar a plena execução do contrato, quando cabível (art. 56 da Lei Federal n° 8.666/1993);</w:t>
      </w:r>
    </w:p>
    <w:p w14:paraId="1A9F216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g)</w:t>
      </w:r>
      <w:r w:rsidRPr="008E56FD">
        <w:rPr>
          <w:rFonts w:ascii="Arial" w:hAnsi="Arial" w:cs="Arial"/>
        </w:rPr>
        <w:tab/>
        <w:t>ordem de início da obra (art. 55 da Lei Federal n° 8.666/1993);</w:t>
      </w:r>
    </w:p>
    <w:p w14:paraId="65D1127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h)</w:t>
      </w:r>
      <w:r w:rsidRPr="008E56FD">
        <w:rPr>
          <w:rFonts w:ascii="Arial" w:hAnsi="Arial" w:cs="Arial"/>
        </w:rPr>
        <w:tab/>
        <w:t>matrícula da obra junto ao INSS (instrução normativa MPS/SRP n° 3, de 14 de julho de 2005);</w:t>
      </w:r>
    </w:p>
    <w:p w14:paraId="20BEF405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i)</w:t>
      </w:r>
      <w:r w:rsidRPr="008E56FD">
        <w:rPr>
          <w:rFonts w:ascii="Arial" w:hAnsi="Arial" w:cs="Arial"/>
        </w:rPr>
        <w:tab/>
        <w:t>alvará de construção (legislação municipal);</w:t>
      </w:r>
    </w:p>
    <w:p w14:paraId="58A4168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j)</w:t>
      </w:r>
      <w:r w:rsidRPr="008E56FD">
        <w:rPr>
          <w:rFonts w:ascii="Arial" w:hAnsi="Arial" w:cs="Arial"/>
        </w:rPr>
        <w:tab/>
        <w:t>notas de empenhos (art. 61 da Lei Federal n° 4.3 20/1964);</w:t>
      </w:r>
    </w:p>
    <w:p w14:paraId="2A01AB3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k)</w:t>
      </w:r>
      <w:r w:rsidRPr="008E56FD">
        <w:rPr>
          <w:rFonts w:ascii="Arial" w:hAnsi="Arial" w:cs="Arial"/>
        </w:rPr>
        <w:tab/>
        <w:t>laudos de medição da obra, contendo a especificação e quantificação dos serviços executados, devidamente datados e assinados pela fiscalização (art. 67 da Lei Federal n° 8.666/1993);</w:t>
      </w:r>
    </w:p>
    <w:p w14:paraId="1D1212D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l)</w:t>
      </w:r>
      <w:r w:rsidRPr="008E56FD">
        <w:rPr>
          <w:rFonts w:ascii="Arial" w:hAnsi="Arial" w:cs="Arial"/>
        </w:rPr>
        <w:tab/>
        <w:t>notas fiscais e documentos comprobatórios das liquidações (art. 63 da Lei Federal n° 4.320/1964);</w:t>
      </w:r>
    </w:p>
    <w:p w14:paraId="596A2609" w14:textId="756F4EE1" w:rsidR="00DE63D2" w:rsidRPr="008E56FD" w:rsidRDefault="00DE63D2" w:rsidP="00C10AF0">
      <w:pPr>
        <w:pStyle w:val="Lista"/>
        <w:tabs>
          <w:tab w:val="left" w:pos="1560"/>
        </w:tabs>
        <w:spacing w:before="120"/>
        <w:ind w:firstLine="851"/>
        <w:rPr>
          <w:rFonts w:ascii="Arial" w:hAnsi="Arial" w:cs="Arial"/>
        </w:rPr>
      </w:pPr>
      <w:r w:rsidRPr="008E56FD">
        <w:rPr>
          <w:rFonts w:ascii="Arial" w:hAnsi="Arial" w:cs="Arial"/>
        </w:rPr>
        <w:t>m)</w:t>
      </w:r>
      <w:r w:rsidR="00196F75">
        <w:rPr>
          <w:rFonts w:ascii="Arial" w:hAnsi="Arial" w:cs="Arial"/>
        </w:rPr>
        <w:t xml:space="preserve"> </w:t>
      </w:r>
      <w:r w:rsidRPr="008E56FD">
        <w:rPr>
          <w:rFonts w:ascii="Arial" w:hAnsi="Arial" w:cs="Arial"/>
        </w:rPr>
        <w:tab/>
        <w:t>ordens de pagamentos (art. 64 da Lei Federal n° 4.320/1964);</w:t>
      </w:r>
    </w:p>
    <w:p w14:paraId="5842163D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n)</w:t>
      </w:r>
      <w:r w:rsidRPr="008E56FD">
        <w:rPr>
          <w:rFonts w:ascii="Arial" w:hAnsi="Arial" w:cs="Arial"/>
        </w:rPr>
        <w:tab/>
        <w:t>registros próprios da obra contendo as anotações assinadas pela fiscalização e pelo representante do contratado, registrando todas as ocorrências relacionadas à execução da obra e determinações quanto à regularização das faltas ou defeitos observados (art. 67 da Lei Federal n° 8.666/1993);</w:t>
      </w:r>
    </w:p>
    <w:p w14:paraId="7A5BFC5F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o)</w:t>
      </w:r>
      <w:r w:rsidRPr="008E56FD">
        <w:rPr>
          <w:rFonts w:ascii="Arial" w:hAnsi="Arial" w:cs="Arial"/>
        </w:rPr>
        <w:tab/>
        <w:t>documentação relativa às sanções aplicadas ao contratado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86, 87 e 88 da Lei Federal n° 8.666/1993);</w:t>
      </w:r>
    </w:p>
    <w:p w14:paraId="35EDBD0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p)</w:t>
      </w:r>
      <w:r w:rsidRPr="008E56FD">
        <w:rPr>
          <w:rFonts w:ascii="Arial" w:hAnsi="Arial" w:cs="Arial"/>
        </w:rPr>
        <w:tab/>
        <w:t>comprovantes de que o contratado se mantém em situação regular no cumprimento dos encargos sociais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29, 71 e 55, XIII, da Lei Federal n° 8.666/1993).</w:t>
      </w:r>
    </w:p>
    <w:p w14:paraId="5B59987C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  <w:b/>
        </w:rPr>
      </w:pPr>
      <w:r w:rsidRPr="008E56FD">
        <w:rPr>
          <w:rFonts w:ascii="Arial" w:hAnsi="Arial" w:cs="Arial"/>
          <w:b/>
        </w:rPr>
        <w:t>VI - referentes à ocorrência de alterações do projeto ou do cronograma físico-financeiro durante a execução do contrato:</w:t>
      </w:r>
    </w:p>
    <w:p w14:paraId="173BA99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alterações do projeto devidamente documentadas e autorizadas pela autoridade competente (art. 65 da Lei Federal n° 8. 666/1993);</w:t>
      </w:r>
    </w:p>
    <w:p w14:paraId="66E59F7B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aditivos contratuais de supressão e/ou acréscimo do objeto contratual devidamente justificados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60 e 65 da Lei Federal n° 8.666/1993);</w:t>
      </w:r>
    </w:p>
    <w:p w14:paraId="1224102C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c)</w:t>
      </w:r>
      <w:r w:rsidRPr="008E56FD">
        <w:rPr>
          <w:rFonts w:ascii="Arial" w:hAnsi="Arial" w:cs="Arial"/>
        </w:rPr>
        <w:tab/>
        <w:t>aditivos contratuais de prorrogação de prazos, devidamente justificados e autorizados pela autoridade competente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57, §§ 1º e 2º, e art. 60 da Lei Federal n° 8.666/1993);</w:t>
      </w:r>
    </w:p>
    <w:p w14:paraId="0C8D1D5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ordem de paralisação do contrato com a devida justificativa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8º e 57, §1º, da Lei Federal n° 8.666/1993).</w:t>
      </w:r>
    </w:p>
    <w:p w14:paraId="1CAB2C4F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VII – referentes ao recebimento da obra ou rescisão do contrato:</w:t>
      </w:r>
    </w:p>
    <w:p w14:paraId="6DCF91C9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termos de recebimento provisório e definitivo da obra devidamente circunstanciados e assinados pelas partes ou termo de rescisão do contrato devidamente justificado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73 e 79 da Lei Federal n° 8.666/1993 e norma ABNT NBR 5675 de 1980);</w:t>
      </w:r>
    </w:p>
    <w:p w14:paraId="4F18C9F9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b)</w:t>
      </w:r>
      <w:r w:rsidRPr="008E56FD">
        <w:rPr>
          <w:rFonts w:ascii="Arial" w:hAnsi="Arial" w:cs="Arial"/>
        </w:rPr>
        <w:tab/>
        <w:t>documento de liberação ou restituição da garantia contratual atualizada monetariamente (art. 56, §4º, da Lei Federal n° 8.666/1993);</w:t>
      </w:r>
    </w:p>
    <w:p w14:paraId="05093C56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lastRenderedPageBreak/>
        <w:t>c)</w:t>
      </w:r>
      <w:r w:rsidRPr="008E56FD">
        <w:rPr>
          <w:rFonts w:ascii="Arial" w:hAnsi="Arial" w:cs="Arial"/>
        </w:rPr>
        <w:tab/>
        <w:t>documentação comprobatória de regularidade trabalhista e previdenciária da obra (instrução normativa MPS/SRP n° 3/2005);</w:t>
      </w:r>
    </w:p>
    <w:p w14:paraId="4E5C71C7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d)</w:t>
      </w:r>
      <w:r w:rsidRPr="008E56FD">
        <w:rPr>
          <w:rFonts w:ascii="Arial" w:hAnsi="Arial" w:cs="Arial"/>
        </w:rPr>
        <w:tab/>
        <w:t>certificado de vistoria e conclusão de obra (legislação municipal).</w:t>
      </w:r>
    </w:p>
    <w:p w14:paraId="4B85C485" w14:textId="77777777" w:rsidR="00DE63D2" w:rsidRPr="008E56FD" w:rsidRDefault="00DE63D2" w:rsidP="00196F75">
      <w:pPr>
        <w:pStyle w:val="Ttulo1"/>
        <w:spacing w:before="120" w:after="0"/>
        <w:ind w:firstLine="1134"/>
        <w:jc w:val="both"/>
        <w:rPr>
          <w:sz w:val="24"/>
          <w:szCs w:val="24"/>
        </w:rPr>
      </w:pPr>
      <w:r w:rsidRPr="008E56FD">
        <w:rPr>
          <w:sz w:val="24"/>
          <w:szCs w:val="24"/>
        </w:rPr>
        <w:t>VIII - referente aos processos judiciais e administrativos:</w:t>
      </w:r>
    </w:p>
    <w:p w14:paraId="65D10B5D" w14:textId="77777777" w:rsidR="00DE63D2" w:rsidRPr="008E56FD" w:rsidRDefault="00DE63D2" w:rsidP="00196F75">
      <w:pPr>
        <w:pStyle w:val="Lista"/>
        <w:spacing w:before="120"/>
        <w:ind w:firstLine="851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a)</w:t>
      </w:r>
      <w:r w:rsidRPr="008E56FD">
        <w:rPr>
          <w:rFonts w:ascii="Arial" w:hAnsi="Arial" w:cs="Arial"/>
        </w:rPr>
        <w:tab/>
        <w:t>relação de eventuais processos judiciais e administrativos junto aos órgãos ambientais, agências reguladoras e outros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70 e 74 da Constituição Federal).</w:t>
      </w:r>
    </w:p>
    <w:p w14:paraId="6CC20815" w14:textId="32AE73DF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6º </w:t>
      </w:r>
      <w:r w:rsidRPr="008E56FD">
        <w:rPr>
          <w:rFonts w:ascii="Arial" w:hAnsi="Arial" w:cs="Arial"/>
        </w:rPr>
        <w:t>Todas as obras de engenharia executadas diretamente pelos órgãos e entidades referidos no artigo 1º desta Resolução deverão possuir os documentos descritos no art. 5º, com exceção daqueles dispostos na alínea V, letras “b”, “d”, “f”, “g”, “o” e “p”, e alínea VII, com acréscimo dos seguintes documentos:</w:t>
      </w:r>
    </w:p>
    <w:p w14:paraId="6ABD018A" w14:textId="7777777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>I - controle sistemático, pelo setor de almoxarifado ou outro equivalente, dos materiais adquiridos para a obra ou serviço de engenharia, caracterizando adequadamente o material e indicando a sua data de entrada e saída, bem como as quantidades, procedência e destinação final (</w:t>
      </w:r>
      <w:proofErr w:type="spellStart"/>
      <w:r w:rsidRPr="008E56FD">
        <w:rPr>
          <w:rFonts w:ascii="Arial" w:hAnsi="Arial" w:cs="Arial"/>
        </w:rPr>
        <w:t>arts</w:t>
      </w:r>
      <w:proofErr w:type="spellEnd"/>
      <w:r w:rsidRPr="008E56FD">
        <w:rPr>
          <w:rFonts w:ascii="Arial" w:hAnsi="Arial" w:cs="Arial"/>
        </w:rPr>
        <w:t>. 70 e 74 da Constituição Federal);</w:t>
      </w:r>
    </w:p>
    <w:p w14:paraId="6FF10B55" w14:textId="77777777" w:rsidR="008B392B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</w:rPr>
        <w:t xml:space="preserve">II - termo de rescisão contratual de fornecimento de materiais devidamente justificado (art. 79 da Lei Federal n° 8.666/1993).  </w:t>
      </w:r>
    </w:p>
    <w:p w14:paraId="0D4CB3EB" w14:textId="612E3AEF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>Art. 7º</w:t>
      </w:r>
      <w:r w:rsid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>Os documentos de que tratam os artigos 5º e 6º desta Resolução deverão ser mantidos de forma organizada e atualizada, bem como disponibilizados ao Tribunal de Contas ou a seus técnicos credenciados, quando requisitados.</w:t>
      </w:r>
    </w:p>
    <w:p w14:paraId="529EF18C" w14:textId="696C365C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8º </w:t>
      </w:r>
      <w:r w:rsidRPr="008E56FD">
        <w:rPr>
          <w:rFonts w:ascii="Arial" w:hAnsi="Arial" w:cs="Arial"/>
        </w:rPr>
        <w:t>Os procedimentos a serem adotados pelos órgãos e entidades mencionados no art.1º para o planejamento e execução de obras públicas serão disciplinados através de Instrução Normativa.</w:t>
      </w:r>
    </w:p>
    <w:p w14:paraId="36A56406" w14:textId="2C754FE4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 xml:space="preserve">Art. 9º </w:t>
      </w:r>
      <w:r w:rsidRPr="008E56FD">
        <w:rPr>
          <w:rFonts w:ascii="Arial" w:hAnsi="Arial" w:cs="Arial"/>
        </w:rPr>
        <w:t>O descumprimento das normas desta Resolução acarretará as sanções previstas na Lei Complementar nº 113/2005, no Regimento Interno, nos atos normativos do Tribunal de Contas do Estado do Paraná e nos demais diplomas legislativos pertinentes.</w:t>
      </w:r>
    </w:p>
    <w:p w14:paraId="01FAFDB2" w14:textId="2F4811D7" w:rsidR="00DE63D2" w:rsidRPr="008E56FD" w:rsidRDefault="00DE63D2" w:rsidP="00196F75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8E56FD">
        <w:rPr>
          <w:rFonts w:ascii="Arial" w:hAnsi="Arial" w:cs="Arial"/>
          <w:b/>
          <w:bCs/>
        </w:rPr>
        <w:t>Art. 10</w:t>
      </w:r>
      <w:r w:rsidR="008E56FD">
        <w:rPr>
          <w:rFonts w:ascii="Arial" w:hAnsi="Arial" w:cs="Arial"/>
          <w:b/>
          <w:bCs/>
        </w:rPr>
        <w:t>.</w:t>
      </w:r>
      <w:r w:rsidRPr="008E56FD">
        <w:rPr>
          <w:rFonts w:ascii="Arial" w:hAnsi="Arial" w:cs="Arial"/>
          <w:b/>
          <w:bCs/>
        </w:rPr>
        <w:t xml:space="preserve"> </w:t>
      </w:r>
      <w:r w:rsidRPr="008E56FD">
        <w:rPr>
          <w:rFonts w:ascii="Arial" w:hAnsi="Arial" w:cs="Arial"/>
        </w:rPr>
        <w:t>Esta Resolução entrará em vigor no prazo de 90 (noventa) dias, contado da data de sua publicação nos Atos Oficiais do Tribunal de Contas do Estado do Paraná.</w:t>
      </w:r>
    </w:p>
    <w:p w14:paraId="6C82B262" w14:textId="77777777" w:rsidR="005E0F82" w:rsidRPr="002A3C3B" w:rsidRDefault="005E0F82" w:rsidP="005E0F82">
      <w:pPr>
        <w:autoSpaceDE w:val="0"/>
        <w:autoSpaceDN w:val="0"/>
        <w:adjustRightInd w:val="0"/>
        <w:jc w:val="both"/>
      </w:pPr>
    </w:p>
    <w:p w14:paraId="6D024246" w14:textId="77777777" w:rsidR="005E0F82" w:rsidRPr="008E56FD" w:rsidRDefault="005E0F82" w:rsidP="008E56F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56FD">
        <w:rPr>
          <w:rFonts w:ascii="Arial" w:hAnsi="Arial" w:cs="Arial"/>
        </w:rPr>
        <w:t>Sala das Sessões, em 2</w:t>
      </w:r>
      <w:r w:rsidR="00DE63D2" w:rsidRPr="008E56FD">
        <w:rPr>
          <w:rFonts w:ascii="Arial" w:hAnsi="Arial" w:cs="Arial"/>
        </w:rPr>
        <w:t>3</w:t>
      </w:r>
      <w:r w:rsidRPr="008E56FD">
        <w:rPr>
          <w:rFonts w:ascii="Arial" w:hAnsi="Arial" w:cs="Arial"/>
        </w:rPr>
        <w:t xml:space="preserve"> de </w:t>
      </w:r>
      <w:r w:rsidR="00DE63D2" w:rsidRPr="008E56FD">
        <w:rPr>
          <w:rFonts w:ascii="Arial" w:hAnsi="Arial" w:cs="Arial"/>
        </w:rPr>
        <w:t>novemb</w:t>
      </w:r>
      <w:r w:rsidRPr="008E56FD">
        <w:rPr>
          <w:rFonts w:ascii="Arial" w:hAnsi="Arial" w:cs="Arial"/>
        </w:rPr>
        <w:t>ro de 2006.</w:t>
      </w:r>
    </w:p>
    <w:p w14:paraId="0AB56E32" w14:textId="77777777" w:rsidR="005E0F82" w:rsidRDefault="005E0F82" w:rsidP="005E0F82">
      <w:pPr>
        <w:autoSpaceDE w:val="0"/>
        <w:autoSpaceDN w:val="0"/>
        <w:adjustRightInd w:val="0"/>
        <w:jc w:val="both"/>
      </w:pPr>
    </w:p>
    <w:p w14:paraId="6D5123E4" w14:textId="77777777" w:rsidR="005E0F82" w:rsidRDefault="005E0F82" w:rsidP="005E0F82">
      <w:pPr>
        <w:autoSpaceDE w:val="0"/>
        <w:autoSpaceDN w:val="0"/>
        <w:adjustRightInd w:val="0"/>
        <w:jc w:val="both"/>
      </w:pPr>
    </w:p>
    <w:p w14:paraId="6C0ACD35" w14:textId="77777777" w:rsidR="00196F75" w:rsidRPr="002A3C3B" w:rsidRDefault="00196F75" w:rsidP="005E0F82">
      <w:pPr>
        <w:autoSpaceDE w:val="0"/>
        <w:autoSpaceDN w:val="0"/>
        <w:adjustRightInd w:val="0"/>
        <w:jc w:val="both"/>
      </w:pPr>
    </w:p>
    <w:p w14:paraId="5CDAD6B7" w14:textId="77777777" w:rsidR="005E0F82" w:rsidRPr="008E56FD" w:rsidRDefault="005E0F82" w:rsidP="008E5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 w:rsidRPr="008E56FD">
        <w:rPr>
          <w:rFonts w:ascii="Arial" w:hAnsi="Arial" w:cs="Arial"/>
          <w:b/>
          <w:bCs/>
          <w:iCs/>
        </w:rPr>
        <w:t>HEINZ GEORG HERWIG</w:t>
      </w:r>
    </w:p>
    <w:p w14:paraId="30661FFC" w14:textId="5D8A6E89" w:rsidR="005E0F82" w:rsidRDefault="005E0F82" w:rsidP="00C25077">
      <w:pPr>
        <w:autoSpaceDE w:val="0"/>
        <w:autoSpaceDN w:val="0"/>
        <w:adjustRightInd w:val="0"/>
        <w:jc w:val="center"/>
        <w:rPr>
          <w:b/>
        </w:rPr>
      </w:pPr>
      <w:r w:rsidRPr="008E56FD">
        <w:rPr>
          <w:rFonts w:ascii="Arial" w:hAnsi="Arial" w:cs="Arial"/>
          <w:iCs/>
        </w:rPr>
        <w:t>Presidente</w:t>
      </w:r>
    </w:p>
    <w:sectPr w:rsidR="005E0F82" w:rsidSect="00BC59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7" w:h="16840" w:code="9"/>
      <w:pgMar w:top="1134" w:right="851" w:bottom="1134" w:left="1418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50B5" w14:textId="77777777" w:rsidR="008E2945" w:rsidRDefault="008E2945">
      <w:r>
        <w:separator/>
      </w:r>
    </w:p>
  </w:endnote>
  <w:endnote w:type="continuationSeparator" w:id="0">
    <w:p w14:paraId="0A50BBC1" w14:textId="77777777" w:rsidR="008E2945" w:rsidRDefault="008E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4AFE" w14:textId="77777777" w:rsidR="008C4D4D" w:rsidRDefault="008C4D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F048" w14:textId="77777777" w:rsidR="008C4D4D" w:rsidRDefault="008C4D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33D6" w14:textId="77777777" w:rsidR="008C4D4D" w:rsidRDefault="008C4D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6D16" w14:textId="77777777" w:rsidR="008E2945" w:rsidRDefault="008E2945">
      <w:r>
        <w:separator/>
      </w:r>
    </w:p>
  </w:footnote>
  <w:footnote w:type="continuationSeparator" w:id="0">
    <w:p w14:paraId="5D767431" w14:textId="77777777" w:rsidR="008E2945" w:rsidRDefault="008E2945">
      <w:r>
        <w:continuationSeparator/>
      </w:r>
    </w:p>
  </w:footnote>
  <w:footnote w:id="1">
    <w:p w14:paraId="4AE14241" w14:textId="77777777" w:rsidR="00196768" w:rsidRPr="00D92F98" w:rsidRDefault="00196768" w:rsidP="0019676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D92F98">
        <w:rPr>
          <w:rFonts w:ascii="Arial" w:hAnsi="Arial" w:cs="Arial"/>
          <w:b/>
        </w:rPr>
        <w:t>Notas da Biblioteca:</w:t>
      </w:r>
    </w:p>
    <w:p w14:paraId="6B7508F6" w14:textId="3D880012" w:rsidR="00196768" w:rsidRPr="00D92F98" w:rsidRDefault="00196768" w:rsidP="00196768">
      <w:pPr>
        <w:pStyle w:val="Textodenotaderodap"/>
        <w:numPr>
          <w:ilvl w:val="0"/>
          <w:numId w:val="25"/>
        </w:numPr>
        <w:ind w:left="426" w:hanging="284"/>
        <w:jc w:val="both"/>
        <w:rPr>
          <w:color w:val="0000FF"/>
        </w:rPr>
      </w:pPr>
      <w:r w:rsidRPr="00D92F98">
        <w:rPr>
          <w:rFonts w:ascii="Arial" w:hAnsi="Arial" w:cs="Arial"/>
        </w:rPr>
        <w:t xml:space="preserve">Este texto não substitui o publicado no periódico: </w:t>
      </w:r>
      <w:bookmarkEnd w:id="0"/>
      <w:r w:rsidR="00505A3A" w:rsidRPr="00D92F98">
        <w:rPr>
          <w:rFonts w:ascii="Arial" w:hAnsi="Arial" w:cs="Arial"/>
          <w:b/>
          <w:bCs/>
          <w:color w:val="0000FF"/>
        </w:rPr>
        <w:fldChar w:fldCharType="begin"/>
      </w:r>
      <w:r w:rsidR="00505A3A" w:rsidRPr="00D92F98">
        <w:rPr>
          <w:rFonts w:ascii="Arial" w:hAnsi="Arial" w:cs="Arial"/>
          <w:b/>
          <w:bCs/>
          <w:color w:val="0000FF"/>
        </w:rPr>
        <w:instrText xml:space="preserve"> HYPERLINK "http://www1.tce.pr.gov.br/multimidia/2006/12/pdf/00000530.pdf" </w:instrText>
      </w:r>
      <w:r w:rsidR="00505A3A" w:rsidRPr="00D92F98">
        <w:rPr>
          <w:rFonts w:ascii="Arial" w:hAnsi="Arial" w:cs="Arial"/>
          <w:b/>
          <w:bCs/>
          <w:color w:val="0000FF"/>
        </w:rPr>
      </w:r>
      <w:r w:rsidR="00505A3A" w:rsidRPr="00D92F98">
        <w:rPr>
          <w:rFonts w:ascii="Arial" w:hAnsi="Arial" w:cs="Arial"/>
          <w:b/>
          <w:bCs/>
          <w:color w:val="0000FF"/>
        </w:rPr>
        <w:fldChar w:fldCharType="separate"/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Atos Oficiais do T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r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ibunal de Contas do Estado do Paran</w:t>
      </w:r>
      <w:r w:rsidR="00505A3A" w:rsidRPr="00D92F98">
        <w:rPr>
          <w:rStyle w:val="Hyperlink"/>
          <w:rFonts w:ascii="Arial" w:hAnsi="Arial" w:cs="Arial"/>
          <w:b/>
          <w:bCs/>
          <w:color w:val="0000FF"/>
        </w:rPr>
        <w:t>á</w:t>
      </w:r>
      <w:r w:rsidR="00505A3A" w:rsidRPr="00D92F98">
        <w:rPr>
          <w:rStyle w:val="Hyperlink"/>
          <w:rFonts w:ascii="Arial" w:hAnsi="Arial" w:cs="Arial"/>
          <w:bCs/>
          <w:color w:val="0000FF"/>
        </w:rPr>
        <w:t>,</w:t>
      </w:r>
      <w:r w:rsidR="00505A3A" w:rsidRPr="00D92F98">
        <w:rPr>
          <w:rStyle w:val="Hyperlink"/>
          <w:rFonts w:ascii="Arial" w:hAnsi="Arial" w:cs="Arial"/>
          <w:color w:val="0000FF"/>
        </w:rPr>
        <w:t xml:space="preserve"> Curitiba, PR, n. 77, 1º dez. 2006, p. 5</w:t>
      </w:r>
      <w:r w:rsidR="00505A3A" w:rsidRPr="00D92F98">
        <w:rPr>
          <w:rFonts w:ascii="Arial" w:hAnsi="Arial" w:cs="Arial"/>
          <w:b/>
          <w:bCs/>
          <w:color w:val="0000FF"/>
        </w:rPr>
        <w:fldChar w:fldCharType="end"/>
      </w:r>
      <w:r w:rsidR="00505A3A" w:rsidRPr="00D92F98">
        <w:rPr>
          <w:rFonts w:ascii="Arial" w:hAnsi="Arial" w:cs="Arial"/>
          <w:color w:val="0000FF"/>
        </w:rPr>
        <w:t>.</w:t>
      </w:r>
    </w:p>
    <w:p w14:paraId="0BBB7DF0" w14:textId="63D6E44B" w:rsidR="00505A3A" w:rsidRPr="00A4783C" w:rsidRDefault="00A4783C" w:rsidP="00A4783C">
      <w:pPr>
        <w:numPr>
          <w:ilvl w:val="0"/>
          <w:numId w:val="25"/>
        </w:numPr>
        <w:ind w:left="426" w:hanging="284"/>
        <w:rPr>
          <w:rFonts w:ascii="Arial" w:hAnsi="Arial" w:cs="Arial"/>
          <w:color w:val="FF0000"/>
          <w:sz w:val="18"/>
          <w:szCs w:val="18"/>
        </w:rPr>
      </w:pPr>
      <w:r w:rsidRPr="00D92F98">
        <w:rPr>
          <w:rFonts w:ascii="Arial" w:hAnsi="Arial" w:cs="Arial"/>
          <w:b/>
          <w:color w:val="0000FF"/>
          <w:sz w:val="20"/>
          <w:szCs w:val="20"/>
        </w:rPr>
        <w:t>Alterada</w:t>
      </w:r>
      <w:r w:rsidRPr="00D92F98">
        <w:rPr>
          <w:rFonts w:ascii="Arial" w:hAnsi="Arial" w:cs="Arial"/>
          <w:bCs/>
          <w:sz w:val="20"/>
          <w:szCs w:val="20"/>
        </w:rPr>
        <w:t xml:space="preserve"> por: </w:t>
      </w:r>
      <w:hyperlink r:id="rId1" w:history="1">
        <w:r w:rsidRPr="00D92F98">
          <w:rPr>
            <w:rStyle w:val="Hyperlink"/>
            <w:rFonts w:ascii="Arial" w:hAnsi="Arial" w:cs="Arial"/>
            <w:color w:val="0000FF"/>
            <w:sz w:val="20"/>
            <w:szCs w:val="20"/>
          </w:rPr>
          <w:t>Resolução n. 25, de 3 de dezembro de 2011</w:t>
        </w:r>
      </w:hyperlink>
      <w:r w:rsidRPr="00D92F98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985D" w14:textId="77777777" w:rsidR="008C4D4D" w:rsidRDefault="008C4D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CE4F" w14:textId="77777777" w:rsidR="00CB465E" w:rsidRDefault="00CB465E" w:rsidP="008C4D4D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049B8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2D10899" w14:textId="77777777" w:rsidR="00CB465E" w:rsidRDefault="00CB465E" w:rsidP="00CB465E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3A217743" w14:textId="77777777" w:rsidR="001C22E2" w:rsidRDefault="001C22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84B9" w14:textId="77777777" w:rsidR="008C4D4D" w:rsidRDefault="008C4D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951"/>
    <w:multiLevelType w:val="multilevel"/>
    <w:tmpl w:val="75B2A65C"/>
    <w:lvl w:ilvl="0">
      <w:start w:val="1"/>
      <w:numFmt w:val="ordinal"/>
      <w:pStyle w:val="Numera19"/>
      <w:suff w:val="space"/>
      <w:lvlText w:val="Art. %1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 "/>
      <w:lvlJc w:val="left"/>
      <w:pPr>
        <w:ind w:left="0" w:firstLine="567"/>
      </w:pPr>
      <w:rPr>
        <w:rFonts w:hint="default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0" w:firstLine="567"/>
      </w:pPr>
      <w:rPr>
        <w:rFonts w:hint="default"/>
        <w:b/>
        <w:i w:val="0"/>
        <w:strike w:val="0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  <w:strike w:val="0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" w15:restartNumberingAfterBreak="0">
    <w:nsid w:val="4F872533"/>
    <w:multiLevelType w:val="hybridMultilevel"/>
    <w:tmpl w:val="51601FE4"/>
    <w:lvl w:ilvl="0" w:tplc="DB3C488E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4406">
    <w:abstractNumId w:val="1"/>
  </w:num>
  <w:num w:numId="2" w16cid:durableId="102559761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029399">
    <w:abstractNumId w:val="1"/>
  </w:num>
  <w:num w:numId="4" w16cid:durableId="203780335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54795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6786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2195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54603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39920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19049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32863">
    <w:abstractNumId w:val="1"/>
  </w:num>
  <w:num w:numId="12" w16cid:durableId="177289092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176373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820111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219504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188263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01219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701192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39965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509452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256326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975212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807828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5561812">
    <w:abstractNumId w:val="0"/>
  </w:num>
  <w:num w:numId="25" w16cid:durableId="57463489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75A"/>
    <w:rsid w:val="00004879"/>
    <w:rsid w:val="00013D81"/>
    <w:rsid w:val="0001410E"/>
    <w:rsid w:val="00014328"/>
    <w:rsid w:val="00014C18"/>
    <w:rsid w:val="0001684B"/>
    <w:rsid w:val="00023AA4"/>
    <w:rsid w:val="00024CA8"/>
    <w:rsid w:val="00027E71"/>
    <w:rsid w:val="00030CF4"/>
    <w:rsid w:val="000324F1"/>
    <w:rsid w:val="0003252A"/>
    <w:rsid w:val="000325EE"/>
    <w:rsid w:val="00036CAD"/>
    <w:rsid w:val="00036D8D"/>
    <w:rsid w:val="00040291"/>
    <w:rsid w:val="0004139D"/>
    <w:rsid w:val="000413CF"/>
    <w:rsid w:val="000446DA"/>
    <w:rsid w:val="00044927"/>
    <w:rsid w:val="00044D97"/>
    <w:rsid w:val="00052963"/>
    <w:rsid w:val="0005442E"/>
    <w:rsid w:val="00060D5F"/>
    <w:rsid w:val="00062D8E"/>
    <w:rsid w:val="00062F70"/>
    <w:rsid w:val="000675D9"/>
    <w:rsid w:val="000717E8"/>
    <w:rsid w:val="000718E3"/>
    <w:rsid w:val="000720F6"/>
    <w:rsid w:val="00073626"/>
    <w:rsid w:val="0007527B"/>
    <w:rsid w:val="00085024"/>
    <w:rsid w:val="000919BC"/>
    <w:rsid w:val="00091C0B"/>
    <w:rsid w:val="000A614C"/>
    <w:rsid w:val="000A7D3A"/>
    <w:rsid w:val="000B188C"/>
    <w:rsid w:val="000B2CD3"/>
    <w:rsid w:val="000B2E9F"/>
    <w:rsid w:val="000B714F"/>
    <w:rsid w:val="000C07FB"/>
    <w:rsid w:val="000C0D0F"/>
    <w:rsid w:val="000C3960"/>
    <w:rsid w:val="000C4EF4"/>
    <w:rsid w:val="000C5724"/>
    <w:rsid w:val="000C73DB"/>
    <w:rsid w:val="000D224A"/>
    <w:rsid w:val="000D4081"/>
    <w:rsid w:val="000D5576"/>
    <w:rsid w:val="000D5CA3"/>
    <w:rsid w:val="000D7894"/>
    <w:rsid w:val="000D7EAB"/>
    <w:rsid w:val="000E1680"/>
    <w:rsid w:val="000E2EF8"/>
    <w:rsid w:val="000E461B"/>
    <w:rsid w:val="000E4DE2"/>
    <w:rsid w:val="000E5FC1"/>
    <w:rsid w:val="000E6B76"/>
    <w:rsid w:val="000F5027"/>
    <w:rsid w:val="000F50B2"/>
    <w:rsid w:val="000F6B07"/>
    <w:rsid w:val="00103ADF"/>
    <w:rsid w:val="00103D2A"/>
    <w:rsid w:val="00104964"/>
    <w:rsid w:val="00106A69"/>
    <w:rsid w:val="00110034"/>
    <w:rsid w:val="0011233D"/>
    <w:rsid w:val="001124E0"/>
    <w:rsid w:val="001209A1"/>
    <w:rsid w:val="00121BC7"/>
    <w:rsid w:val="0012223A"/>
    <w:rsid w:val="00123FE0"/>
    <w:rsid w:val="0012522E"/>
    <w:rsid w:val="00130610"/>
    <w:rsid w:val="0013107B"/>
    <w:rsid w:val="0013521C"/>
    <w:rsid w:val="001357EA"/>
    <w:rsid w:val="0013648B"/>
    <w:rsid w:val="00142AD9"/>
    <w:rsid w:val="001431AE"/>
    <w:rsid w:val="001454E7"/>
    <w:rsid w:val="00153448"/>
    <w:rsid w:val="001534B5"/>
    <w:rsid w:val="00156897"/>
    <w:rsid w:val="00157130"/>
    <w:rsid w:val="00160C96"/>
    <w:rsid w:val="00163F44"/>
    <w:rsid w:val="00164018"/>
    <w:rsid w:val="0016552A"/>
    <w:rsid w:val="00165E65"/>
    <w:rsid w:val="00167997"/>
    <w:rsid w:val="001700F5"/>
    <w:rsid w:val="001774D7"/>
    <w:rsid w:val="00177711"/>
    <w:rsid w:val="00180A31"/>
    <w:rsid w:val="001812E2"/>
    <w:rsid w:val="001819F9"/>
    <w:rsid w:val="001846D7"/>
    <w:rsid w:val="00187B45"/>
    <w:rsid w:val="0019186C"/>
    <w:rsid w:val="00192BD5"/>
    <w:rsid w:val="0019380F"/>
    <w:rsid w:val="00196768"/>
    <w:rsid w:val="00196C1E"/>
    <w:rsid w:val="00196F75"/>
    <w:rsid w:val="00197497"/>
    <w:rsid w:val="001A146D"/>
    <w:rsid w:val="001A19D6"/>
    <w:rsid w:val="001A2771"/>
    <w:rsid w:val="001A34C3"/>
    <w:rsid w:val="001A75D1"/>
    <w:rsid w:val="001B36C9"/>
    <w:rsid w:val="001B4CDD"/>
    <w:rsid w:val="001C0592"/>
    <w:rsid w:val="001C180C"/>
    <w:rsid w:val="001C214B"/>
    <w:rsid w:val="001C22E2"/>
    <w:rsid w:val="001C3A51"/>
    <w:rsid w:val="001C6517"/>
    <w:rsid w:val="001C703E"/>
    <w:rsid w:val="001C77DA"/>
    <w:rsid w:val="001D3B23"/>
    <w:rsid w:val="001D6FFD"/>
    <w:rsid w:val="001E1CB9"/>
    <w:rsid w:val="001E3F93"/>
    <w:rsid w:val="001F19E3"/>
    <w:rsid w:val="001F2B1C"/>
    <w:rsid w:val="001F48C2"/>
    <w:rsid w:val="001F5252"/>
    <w:rsid w:val="002028A2"/>
    <w:rsid w:val="00202F02"/>
    <w:rsid w:val="00204FF2"/>
    <w:rsid w:val="002060F6"/>
    <w:rsid w:val="002069FE"/>
    <w:rsid w:val="00210015"/>
    <w:rsid w:val="0021211D"/>
    <w:rsid w:val="002166BC"/>
    <w:rsid w:val="002208D2"/>
    <w:rsid w:val="002211E0"/>
    <w:rsid w:val="00221230"/>
    <w:rsid w:val="00222EA4"/>
    <w:rsid w:val="00223724"/>
    <w:rsid w:val="0022679B"/>
    <w:rsid w:val="00230875"/>
    <w:rsid w:val="002347C0"/>
    <w:rsid w:val="0023506E"/>
    <w:rsid w:val="00235159"/>
    <w:rsid w:val="00240E39"/>
    <w:rsid w:val="00243B31"/>
    <w:rsid w:val="00250788"/>
    <w:rsid w:val="00253B74"/>
    <w:rsid w:val="00255694"/>
    <w:rsid w:val="00256969"/>
    <w:rsid w:val="00257071"/>
    <w:rsid w:val="00261C94"/>
    <w:rsid w:val="00261DAA"/>
    <w:rsid w:val="00262F6F"/>
    <w:rsid w:val="00264123"/>
    <w:rsid w:val="0026431E"/>
    <w:rsid w:val="00264AC6"/>
    <w:rsid w:val="002713CE"/>
    <w:rsid w:val="00272259"/>
    <w:rsid w:val="00273E91"/>
    <w:rsid w:val="002743E8"/>
    <w:rsid w:val="00276802"/>
    <w:rsid w:val="00280BDD"/>
    <w:rsid w:val="00283CFC"/>
    <w:rsid w:val="00286155"/>
    <w:rsid w:val="00287D04"/>
    <w:rsid w:val="002901DD"/>
    <w:rsid w:val="00295987"/>
    <w:rsid w:val="002979E4"/>
    <w:rsid w:val="002A0B36"/>
    <w:rsid w:val="002A250F"/>
    <w:rsid w:val="002A4C8C"/>
    <w:rsid w:val="002A7552"/>
    <w:rsid w:val="002B2449"/>
    <w:rsid w:val="002B4E80"/>
    <w:rsid w:val="002B5E96"/>
    <w:rsid w:val="002B7ED4"/>
    <w:rsid w:val="002C0526"/>
    <w:rsid w:val="002C06F8"/>
    <w:rsid w:val="002C35AF"/>
    <w:rsid w:val="002C37C5"/>
    <w:rsid w:val="002C5C72"/>
    <w:rsid w:val="002C63C4"/>
    <w:rsid w:val="002D0B52"/>
    <w:rsid w:val="002D1653"/>
    <w:rsid w:val="002D4972"/>
    <w:rsid w:val="002D559A"/>
    <w:rsid w:val="002D5F7C"/>
    <w:rsid w:val="002E1484"/>
    <w:rsid w:val="002E26A3"/>
    <w:rsid w:val="002E304C"/>
    <w:rsid w:val="002E3666"/>
    <w:rsid w:val="002E4545"/>
    <w:rsid w:val="002E781F"/>
    <w:rsid w:val="002F6D36"/>
    <w:rsid w:val="002F742E"/>
    <w:rsid w:val="00301A5C"/>
    <w:rsid w:val="003021E9"/>
    <w:rsid w:val="0030280F"/>
    <w:rsid w:val="00303A90"/>
    <w:rsid w:val="003062FE"/>
    <w:rsid w:val="00307E0C"/>
    <w:rsid w:val="003166B0"/>
    <w:rsid w:val="003204B7"/>
    <w:rsid w:val="0032117C"/>
    <w:rsid w:val="003246F4"/>
    <w:rsid w:val="00324A04"/>
    <w:rsid w:val="00326AF6"/>
    <w:rsid w:val="00327F25"/>
    <w:rsid w:val="0033058F"/>
    <w:rsid w:val="00330B3F"/>
    <w:rsid w:val="00330E9A"/>
    <w:rsid w:val="003311A4"/>
    <w:rsid w:val="003345B0"/>
    <w:rsid w:val="003347B0"/>
    <w:rsid w:val="00334983"/>
    <w:rsid w:val="00335190"/>
    <w:rsid w:val="0033565C"/>
    <w:rsid w:val="0034182C"/>
    <w:rsid w:val="003420E6"/>
    <w:rsid w:val="00342B68"/>
    <w:rsid w:val="00344774"/>
    <w:rsid w:val="00345697"/>
    <w:rsid w:val="00353B23"/>
    <w:rsid w:val="00355057"/>
    <w:rsid w:val="00355301"/>
    <w:rsid w:val="00355A45"/>
    <w:rsid w:val="003576A1"/>
    <w:rsid w:val="00357F48"/>
    <w:rsid w:val="00362761"/>
    <w:rsid w:val="003637EB"/>
    <w:rsid w:val="00363CC2"/>
    <w:rsid w:val="00363E99"/>
    <w:rsid w:val="0036541B"/>
    <w:rsid w:val="00365DBD"/>
    <w:rsid w:val="003673A0"/>
    <w:rsid w:val="00374BF3"/>
    <w:rsid w:val="00375C27"/>
    <w:rsid w:val="003814F7"/>
    <w:rsid w:val="00382469"/>
    <w:rsid w:val="00382976"/>
    <w:rsid w:val="00386B56"/>
    <w:rsid w:val="00390744"/>
    <w:rsid w:val="00391057"/>
    <w:rsid w:val="00392D93"/>
    <w:rsid w:val="00394FB9"/>
    <w:rsid w:val="003950B5"/>
    <w:rsid w:val="00395EC2"/>
    <w:rsid w:val="0039638E"/>
    <w:rsid w:val="00397A11"/>
    <w:rsid w:val="00397D48"/>
    <w:rsid w:val="003A5EEA"/>
    <w:rsid w:val="003B0847"/>
    <w:rsid w:val="003B144D"/>
    <w:rsid w:val="003B44D5"/>
    <w:rsid w:val="003B5A62"/>
    <w:rsid w:val="003B63B0"/>
    <w:rsid w:val="003C1099"/>
    <w:rsid w:val="003C19EE"/>
    <w:rsid w:val="003C1B8C"/>
    <w:rsid w:val="003C21AF"/>
    <w:rsid w:val="003C2D36"/>
    <w:rsid w:val="003C4D61"/>
    <w:rsid w:val="003C58C3"/>
    <w:rsid w:val="003C6F29"/>
    <w:rsid w:val="003D0F8D"/>
    <w:rsid w:val="003D1CD1"/>
    <w:rsid w:val="003D3335"/>
    <w:rsid w:val="003D471B"/>
    <w:rsid w:val="003E044F"/>
    <w:rsid w:val="003E04F0"/>
    <w:rsid w:val="003E0A6F"/>
    <w:rsid w:val="003E1237"/>
    <w:rsid w:val="003E350C"/>
    <w:rsid w:val="003E3866"/>
    <w:rsid w:val="003E5604"/>
    <w:rsid w:val="003F26BA"/>
    <w:rsid w:val="003F49C2"/>
    <w:rsid w:val="003F5133"/>
    <w:rsid w:val="004010EC"/>
    <w:rsid w:val="00403430"/>
    <w:rsid w:val="00411094"/>
    <w:rsid w:val="004115EB"/>
    <w:rsid w:val="0041175A"/>
    <w:rsid w:val="00413154"/>
    <w:rsid w:val="00416539"/>
    <w:rsid w:val="00417E90"/>
    <w:rsid w:val="00423A64"/>
    <w:rsid w:val="00425EFC"/>
    <w:rsid w:val="004266D8"/>
    <w:rsid w:val="004279EA"/>
    <w:rsid w:val="00431CE5"/>
    <w:rsid w:val="00434211"/>
    <w:rsid w:val="00435E37"/>
    <w:rsid w:val="004368F2"/>
    <w:rsid w:val="00436F38"/>
    <w:rsid w:val="00437F2E"/>
    <w:rsid w:val="0044475A"/>
    <w:rsid w:val="00444CD4"/>
    <w:rsid w:val="00445733"/>
    <w:rsid w:val="00446B3D"/>
    <w:rsid w:val="00446F16"/>
    <w:rsid w:val="00447875"/>
    <w:rsid w:val="0045058A"/>
    <w:rsid w:val="00450944"/>
    <w:rsid w:val="0045189B"/>
    <w:rsid w:val="00453169"/>
    <w:rsid w:val="00455EFC"/>
    <w:rsid w:val="00456C1C"/>
    <w:rsid w:val="004607DA"/>
    <w:rsid w:val="00461378"/>
    <w:rsid w:val="004649B2"/>
    <w:rsid w:val="00465057"/>
    <w:rsid w:val="0046682F"/>
    <w:rsid w:val="00466A94"/>
    <w:rsid w:val="00471A10"/>
    <w:rsid w:val="00471FF9"/>
    <w:rsid w:val="00473A61"/>
    <w:rsid w:val="00475FCC"/>
    <w:rsid w:val="0047637E"/>
    <w:rsid w:val="00476E25"/>
    <w:rsid w:val="004803E7"/>
    <w:rsid w:val="00483CFA"/>
    <w:rsid w:val="00483E72"/>
    <w:rsid w:val="004859BF"/>
    <w:rsid w:val="0048643B"/>
    <w:rsid w:val="004865A3"/>
    <w:rsid w:val="004904D3"/>
    <w:rsid w:val="00490749"/>
    <w:rsid w:val="00491E23"/>
    <w:rsid w:val="00496AB2"/>
    <w:rsid w:val="00496E09"/>
    <w:rsid w:val="004A05AC"/>
    <w:rsid w:val="004A25F6"/>
    <w:rsid w:val="004A2AF3"/>
    <w:rsid w:val="004A3821"/>
    <w:rsid w:val="004A47A3"/>
    <w:rsid w:val="004A5078"/>
    <w:rsid w:val="004A56BD"/>
    <w:rsid w:val="004A67F6"/>
    <w:rsid w:val="004A70D8"/>
    <w:rsid w:val="004B14FB"/>
    <w:rsid w:val="004B24E9"/>
    <w:rsid w:val="004B2D68"/>
    <w:rsid w:val="004B561B"/>
    <w:rsid w:val="004C2E7C"/>
    <w:rsid w:val="004C5B51"/>
    <w:rsid w:val="004C7459"/>
    <w:rsid w:val="004C795F"/>
    <w:rsid w:val="004D0F81"/>
    <w:rsid w:val="004D42E4"/>
    <w:rsid w:val="004E3741"/>
    <w:rsid w:val="004E3E84"/>
    <w:rsid w:val="004E5141"/>
    <w:rsid w:val="004E66AC"/>
    <w:rsid w:val="004E6C04"/>
    <w:rsid w:val="004E6DB2"/>
    <w:rsid w:val="004E76DA"/>
    <w:rsid w:val="004F0E7B"/>
    <w:rsid w:val="004F203D"/>
    <w:rsid w:val="004F2754"/>
    <w:rsid w:val="00500709"/>
    <w:rsid w:val="00502945"/>
    <w:rsid w:val="00502A94"/>
    <w:rsid w:val="00505A3A"/>
    <w:rsid w:val="00505CF4"/>
    <w:rsid w:val="0050767B"/>
    <w:rsid w:val="00512428"/>
    <w:rsid w:val="0051318A"/>
    <w:rsid w:val="005219BA"/>
    <w:rsid w:val="00522CBA"/>
    <w:rsid w:val="00522F3A"/>
    <w:rsid w:val="00523057"/>
    <w:rsid w:val="00523DB8"/>
    <w:rsid w:val="0052514C"/>
    <w:rsid w:val="0052745A"/>
    <w:rsid w:val="005307CD"/>
    <w:rsid w:val="005327F3"/>
    <w:rsid w:val="0053307B"/>
    <w:rsid w:val="005346F7"/>
    <w:rsid w:val="00537E21"/>
    <w:rsid w:val="00540060"/>
    <w:rsid w:val="00543673"/>
    <w:rsid w:val="00546955"/>
    <w:rsid w:val="00556CD7"/>
    <w:rsid w:val="00557A24"/>
    <w:rsid w:val="00557C3E"/>
    <w:rsid w:val="00561A29"/>
    <w:rsid w:val="0056262C"/>
    <w:rsid w:val="00565375"/>
    <w:rsid w:val="00566845"/>
    <w:rsid w:val="00571324"/>
    <w:rsid w:val="00571859"/>
    <w:rsid w:val="00572B18"/>
    <w:rsid w:val="0057459A"/>
    <w:rsid w:val="005759F0"/>
    <w:rsid w:val="0057784F"/>
    <w:rsid w:val="0058005B"/>
    <w:rsid w:val="00580812"/>
    <w:rsid w:val="00581D82"/>
    <w:rsid w:val="00582F97"/>
    <w:rsid w:val="00583C17"/>
    <w:rsid w:val="005924F4"/>
    <w:rsid w:val="00595E48"/>
    <w:rsid w:val="005A012F"/>
    <w:rsid w:val="005A0EE0"/>
    <w:rsid w:val="005A2BA7"/>
    <w:rsid w:val="005A3192"/>
    <w:rsid w:val="005A38BC"/>
    <w:rsid w:val="005A776B"/>
    <w:rsid w:val="005B1B44"/>
    <w:rsid w:val="005B2D93"/>
    <w:rsid w:val="005B333D"/>
    <w:rsid w:val="005B73B7"/>
    <w:rsid w:val="005C4311"/>
    <w:rsid w:val="005D4915"/>
    <w:rsid w:val="005D54B0"/>
    <w:rsid w:val="005D587D"/>
    <w:rsid w:val="005D79BF"/>
    <w:rsid w:val="005E04B7"/>
    <w:rsid w:val="005E0F82"/>
    <w:rsid w:val="005E289C"/>
    <w:rsid w:val="005E40C4"/>
    <w:rsid w:val="005E664E"/>
    <w:rsid w:val="005F2F1C"/>
    <w:rsid w:val="005F5B12"/>
    <w:rsid w:val="005F6E8C"/>
    <w:rsid w:val="00603974"/>
    <w:rsid w:val="00604F7F"/>
    <w:rsid w:val="006115AF"/>
    <w:rsid w:val="006216A7"/>
    <w:rsid w:val="006235CD"/>
    <w:rsid w:val="006273C6"/>
    <w:rsid w:val="00627EEB"/>
    <w:rsid w:val="00631115"/>
    <w:rsid w:val="006331B7"/>
    <w:rsid w:val="00633D3D"/>
    <w:rsid w:val="00634D0B"/>
    <w:rsid w:val="00635A03"/>
    <w:rsid w:val="00635EDE"/>
    <w:rsid w:val="00641AED"/>
    <w:rsid w:val="00644116"/>
    <w:rsid w:val="006445C8"/>
    <w:rsid w:val="0064594D"/>
    <w:rsid w:val="006472FD"/>
    <w:rsid w:val="00654BC9"/>
    <w:rsid w:val="00654D2A"/>
    <w:rsid w:val="00661CA3"/>
    <w:rsid w:val="006624A9"/>
    <w:rsid w:val="0066441A"/>
    <w:rsid w:val="006649EC"/>
    <w:rsid w:val="00666902"/>
    <w:rsid w:val="00667A41"/>
    <w:rsid w:val="00671005"/>
    <w:rsid w:val="006717A5"/>
    <w:rsid w:val="006724C1"/>
    <w:rsid w:val="00673203"/>
    <w:rsid w:val="006778D7"/>
    <w:rsid w:val="0068057D"/>
    <w:rsid w:val="00685706"/>
    <w:rsid w:val="006870A3"/>
    <w:rsid w:val="00687BCF"/>
    <w:rsid w:val="00690B02"/>
    <w:rsid w:val="00691AE3"/>
    <w:rsid w:val="00692786"/>
    <w:rsid w:val="00694A10"/>
    <w:rsid w:val="006A634C"/>
    <w:rsid w:val="006A655C"/>
    <w:rsid w:val="006B0069"/>
    <w:rsid w:val="006B069B"/>
    <w:rsid w:val="006B17B9"/>
    <w:rsid w:val="006B334F"/>
    <w:rsid w:val="006B34B6"/>
    <w:rsid w:val="006B7A55"/>
    <w:rsid w:val="006D0343"/>
    <w:rsid w:val="006D42D4"/>
    <w:rsid w:val="006D4A01"/>
    <w:rsid w:val="006D5C2F"/>
    <w:rsid w:val="006E0955"/>
    <w:rsid w:val="006E0DDD"/>
    <w:rsid w:val="006E2C0F"/>
    <w:rsid w:val="006E393E"/>
    <w:rsid w:val="006E416F"/>
    <w:rsid w:val="006E4905"/>
    <w:rsid w:val="006E72F9"/>
    <w:rsid w:val="006F076F"/>
    <w:rsid w:val="00701082"/>
    <w:rsid w:val="00701E36"/>
    <w:rsid w:val="007038FD"/>
    <w:rsid w:val="0070416B"/>
    <w:rsid w:val="0070532F"/>
    <w:rsid w:val="00706613"/>
    <w:rsid w:val="00707F8D"/>
    <w:rsid w:val="00713373"/>
    <w:rsid w:val="007141C3"/>
    <w:rsid w:val="007166E7"/>
    <w:rsid w:val="007170D3"/>
    <w:rsid w:val="00720700"/>
    <w:rsid w:val="00722B9E"/>
    <w:rsid w:val="007234D7"/>
    <w:rsid w:val="0073213D"/>
    <w:rsid w:val="00740124"/>
    <w:rsid w:val="00742A0D"/>
    <w:rsid w:val="00750303"/>
    <w:rsid w:val="00752928"/>
    <w:rsid w:val="00756095"/>
    <w:rsid w:val="00756D20"/>
    <w:rsid w:val="007572A3"/>
    <w:rsid w:val="007653A1"/>
    <w:rsid w:val="0076780B"/>
    <w:rsid w:val="0077089C"/>
    <w:rsid w:val="007713BC"/>
    <w:rsid w:val="00773F86"/>
    <w:rsid w:val="007762DF"/>
    <w:rsid w:val="0078536D"/>
    <w:rsid w:val="00787643"/>
    <w:rsid w:val="00793012"/>
    <w:rsid w:val="00797A01"/>
    <w:rsid w:val="007A3B70"/>
    <w:rsid w:val="007A3E79"/>
    <w:rsid w:val="007A683B"/>
    <w:rsid w:val="007B0BAA"/>
    <w:rsid w:val="007B1ABD"/>
    <w:rsid w:val="007B4CED"/>
    <w:rsid w:val="007B5BEE"/>
    <w:rsid w:val="007C09A9"/>
    <w:rsid w:val="007C2D7C"/>
    <w:rsid w:val="007C2E7B"/>
    <w:rsid w:val="007C4BB7"/>
    <w:rsid w:val="007C643B"/>
    <w:rsid w:val="007D0129"/>
    <w:rsid w:val="007D0A6F"/>
    <w:rsid w:val="007D2AEC"/>
    <w:rsid w:val="007E01DB"/>
    <w:rsid w:val="007E120F"/>
    <w:rsid w:val="007E1702"/>
    <w:rsid w:val="007E17AE"/>
    <w:rsid w:val="007E69CE"/>
    <w:rsid w:val="007E6F79"/>
    <w:rsid w:val="007F0672"/>
    <w:rsid w:val="007F0D5E"/>
    <w:rsid w:val="007F26B3"/>
    <w:rsid w:val="007F42D9"/>
    <w:rsid w:val="007F587A"/>
    <w:rsid w:val="007F591A"/>
    <w:rsid w:val="008004E4"/>
    <w:rsid w:val="008051C9"/>
    <w:rsid w:val="008055CC"/>
    <w:rsid w:val="00806FCE"/>
    <w:rsid w:val="00812902"/>
    <w:rsid w:val="00814652"/>
    <w:rsid w:val="0081557C"/>
    <w:rsid w:val="00815639"/>
    <w:rsid w:val="00815A0F"/>
    <w:rsid w:val="008168F5"/>
    <w:rsid w:val="00821157"/>
    <w:rsid w:val="0082127C"/>
    <w:rsid w:val="00821EDE"/>
    <w:rsid w:val="00824C88"/>
    <w:rsid w:val="0082580D"/>
    <w:rsid w:val="0082684E"/>
    <w:rsid w:val="008318BC"/>
    <w:rsid w:val="0083219A"/>
    <w:rsid w:val="0083465D"/>
    <w:rsid w:val="00834D5A"/>
    <w:rsid w:val="00835BC1"/>
    <w:rsid w:val="008362E7"/>
    <w:rsid w:val="008365F3"/>
    <w:rsid w:val="00837FCF"/>
    <w:rsid w:val="00841FF3"/>
    <w:rsid w:val="00850A6A"/>
    <w:rsid w:val="00853B14"/>
    <w:rsid w:val="008542A2"/>
    <w:rsid w:val="008552AF"/>
    <w:rsid w:val="00856E99"/>
    <w:rsid w:val="00860803"/>
    <w:rsid w:val="00861887"/>
    <w:rsid w:val="00862E48"/>
    <w:rsid w:val="00866822"/>
    <w:rsid w:val="008675F1"/>
    <w:rsid w:val="0087028D"/>
    <w:rsid w:val="00870DFE"/>
    <w:rsid w:val="00871F57"/>
    <w:rsid w:val="00875E23"/>
    <w:rsid w:val="0087729D"/>
    <w:rsid w:val="0088003E"/>
    <w:rsid w:val="008827C4"/>
    <w:rsid w:val="00884C43"/>
    <w:rsid w:val="008871F7"/>
    <w:rsid w:val="00890671"/>
    <w:rsid w:val="00892701"/>
    <w:rsid w:val="00892FA5"/>
    <w:rsid w:val="00893FBB"/>
    <w:rsid w:val="00895BF6"/>
    <w:rsid w:val="008A10FC"/>
    <w:rsid w:val="008A13E5"/>
    <w:rsid w:val="008A184B"/>
    <w:rsid w:val="008A1E1B"/>
    <w:rsid w:val="008A49D1"/>
    <w:rsid w:val="008A4A13"/>
    <w:rsid w:val="008A51CA"/>
    <w:rsid w:val="008B0009"/>
    <w:rsid w:val="008B392B"/>
    <w:rsid w:val="008B6207"/>
    <w:rsid w:val="008C0068"/>
    <w:rsid w:val="008C1947"/>
    <w:rsid w:val="008C3C71"/>
    <w:rsid w:val="008C4D4D"/>
    <w:rsid w:val="008C53B2"/>
    <w:rsid w:val="008C7B44"/>
    <w:rsid w:val="008D0B65"/>
    <w:rsid w:val="008D3111"/>
    <w:rsid w:val="008D3D75"/>
    <w:rsid w:val="008D50B0"/>
    <w:rsid w:val="008D7678"/>
    <w:rsid w:val="008E0DA6"/>
    <w:rsid w:val="008E2945"/>
    <w:rsid w:val="008E3E97"/>
    <w:rsid w:val="008E45F8"/>
    <w:rsid w:val="008E4D7F"/>
    <w:rsid w:val="008E56FD"/>
    <w:rsid w:val="008E69E3"/>
    <w:rsid w:val="008F0D99"/>
    <w:rsid w:val="008F1C96"/>
    <w:rsid w:val="008F1EDD"/>
    <w:rsid w:val="008F3F8D"/>
    <w:rsid w:val="008F753D"/>
    <w:rsid w:val="008F78DA"/>
    <w:rsid w:val="00900F27"/>
    <w:rsid w:val="00902D9A"/>
    <w:rsid w:val="00903047"/>
    <w:rsid w:val="00903BE4"/>
    <w:rsid w:val="00904F66"/>
    <w:rsid w:val="00906363"/>
    <w:rsid w:val="009063D1"/>
    <w:rsid w:val="0091105C"/>
    <w:rsid w:val="00914517"/>
    <w:rsid w:val="00917581"/>
    <w:rsid w:val="0092222F"/>
    <w:rsid w:val="00924212"/>
    <w:rsid w:val="0092522B"/>
    <w:rsid w:val="00925BD9"/>
    <w:rsid w:val="00926B5E"/>
    <w:rsid w:val="0093148F"/>
    <w:rsid w:val="00932ABA"/>
    <w:rsid w:val="00932BD2"/>
    <w:rsid w:val="00933F5A"/>
    <w:rsid w:val="009366DF"/>
    <w:rsid w:val="00937C09"/>
    <w:rsid w:val="009467A6"/>
    <w:rsid w:val="009532ED"/>
    <w:rsid w:val="00960797"/>
    <w:rsid w:val="00960AF7"/>
    <w:rsid w:val="0096168E"/>
    <w:rsid w:val="0096408E"/>
    <w:rsid w:val="00965D2D"/>
    <w:rsid w:val="0096773B"/>
    <w:rsid w:val="00970933"/>
    <w:rsid w:val="00971C54"/>
    <w:rsid w:val="00972A6B"/>
    <w:rsid w:val="009755C4"/>
    <w:rsid w:val="0097652F"/>
    <w:rsid w:val="009831BE"/>
    <w:rsid w:val="00985991"/>
    <w:rsid w:val="00990261"/>
    <w:rsid w:val="009907A1"/>
    <w:rsid w:val="009907C6"/>
    <w:rsid w:val="009913C0"/>
    <w:rsid w:val="0099333E"/>
    <w:rsid w:val="00993B2C"/>
    <w:rsid w:val="009940B8"/>
    <w:rsid w:val="009975F4"/>
    <w:rsid w:val="009A0519"/>
    <w:rsid w:val="009A0FF4"/>
    <w:rsid w:val="009A15A9"/>
    <w:rsid w:val="009A183B"/>
    <w:rsid w:val="009A19D9"/>
    <w:rsid w:val="009A205E"/>
    <w:rsid w:val="009B0860"/>
    <w:rsid w:val="009B1218"/>
    <w:rsid w:val="009B3094"/>
    <w:rsid w:val="009B5339"/>
    <w:rsid w:val="009B5A28"/>
    <w:rsid w:val="009B5B54"/>
    <w:rsid w:val="009B5D36"/>
    <w:rsid w:val="009B6805"/>
    <w:rsid w:val="009C0950"/>
    <w:rsid w:val="009C3497"/>
    <w:rsid w:val="009C3853"/>
    <w:rsid w:val="009D2296"/>
    <w:rsid w:val="009D371A"/>
    <w:rsid w:val="009D5D66"/>
    <w:rsid w:val="009D7629"/>
    <w:rsid w:val="009E1755"/>
    <w:rsid w:val="009E2EC7"/>
    <w:rsid w:val="009E567C"/>
    <w:rsid w:val="009F2198"/>
    <w:rsid w:val="009F6F80"/>
    <w:rsid w:val="00A02D55"/>
    <w:rsid w:val="00A062CC"/>
    <w:rsid w:val="00A15970"/>
    <w:rsid w:val="00A17C43"/>
    <w:rsid w:val="00A214D5"/>
    <w:rsid w:val="00A22543"/>
    <w:rsid w:val="00A22ACD"/>
    <w:rsid w:val="00A25C2E"/>
    <w:rsid w:val="00A31DFF"/>
    <w:rsid w:val="00A32187"/>
    <w:rsid w:val="00A32534"/>
    <w:rsid w:val="00A33FD9"/>
    <w:rsid w:val="00A345DC"/>
    <w:rsid w:val="00A36179"/>
    <w:rsid w:val="00A36224"/>
    <w:rsid w:val="00A40236"/>
    <w:rsid w:val="00A40740"/>
    <w:rsid w:val="00A44A37"/>
    <w:rsid w:val="00A4783C"/>
    <w:rsid w:val="00A53E72"/>
    <w:rsid w:val="00A5423C"/>
    <w:rsid w:val="00A544D8"/>
    <w:rsid w:val="00A559AB"/>
    <w:rsid w:val="00A55A46"/>
    <w:rsid w:val="00A56AF5"/>
    <w:rsid w:val="00A56FE4"/>
    <w:rsid w:val="00A648FC"/>
    <w:rsid w:val="00A654ED"/>
    <w:rsid w:val="00A67A3F"/>
    <w:rsid w:val="00A67FC7"/>
    <w:rsid w:val="00A70B34"/>
    <w:rsid w:val="00A7113C"/>
    <w:rsid w:val="00A711C8"/>
    <w:rsid w:val="00A733C3"/>
    <w:rsid w:val="00A75747"/>
    <w:rsid w:val="00A76870"/>
    <w:rsid w:val="00A7732B"/>
    <w:rsid w:val="00A80FE0"/>
    <w:rsid w:val="00A8293A"/>
    <w:rsid w:val="00A83780"/>
    <w:rsid w:val="00A9092A"/>
    <w:rsid w:val="00A93CBB"/>
    <w:rsid w:val="00A94201"/>
    <w:rsid w:val="00A94E51"/>
    <w:rsid w:val="00A97BC3"/>
    <w:rsid w:val="00A97C68"/>
    <w:rsid w:val="00A97FD2"/>
    <w:rsid w:val="00AA30A4"/>
    <w:rsid w:val="00AA43C2"/>
    <w:rsid w:val="00AB0FB3"/>
    <w:rsid w:val="00AB196D"/>
    <w:rsid w:val="00AB1A59"/>
    <w:rsid w:val="00AB23E3"/>
    <w:rsid w:val="00AB3112"/>
    <w:rsid w:val="00AB3D85"/>
    <w:rsid w:val="00AB5CFC"/>
    <w:rsid w:val="00AB64F6"/>
    <w:rsid w:val="00AB6B5B"/>
    <w:rsid w:val="00AC04F5"/>
    <w:rsid w:val="00AC0AD8"/>
    <w:rsid w:val="00AC3195"/>
    <w:rsid w:val="00AC44D0"/>
    <w:rsid w:val="00AC7D77"/>
    <w:rsid w:val="00AD0743"/>
    <w:rsid w:val="00AD1BEA"/>
    <w:rsid w:val="00AD23BF"/>
    <w:rsid w:val="00AD4C5A"/>
    <w:rsid w:val="00AE1CB1"/>
    <w:rsid w:val="00AF0A30"/>
    <w:rsid w:val="00AF0C85"/>
    <w:rsid w:val="00AF4FC3"/>
    <w:rsid w:val="00AF58BE"/>
    <w:rsid w:val="00AF5CF8"/>
    <w:rsid w:val="00AF6F00"/>
    <w:rsid w:val="00B00C60"/>
    <w:rsid w:val="00B0104A"/>
    <w:rsid w:val="00B01A65"/>
    <w:rsid w:val="00B01D31"/>
    <w:rsid w:val="00B05C5B"/>
    <w:rsid w:val="00B06ED9"/>
    <w:rsid w:val="00B128AD"/>
    <w:rsid w:val="00B15DCE"/>
    <w:rsid w:val="00B230A5"/>
    <w:rsid w:val="00B24145"/>
    <w:rsid w:val="00B247E3"/>
    <w:rsid w:val="00B253B2"/>
    <w:rsid w:val="00B310DC"/>
    <w:rsid w:val="00B32428"/>
    <w:rsid w:val="00B326AF"/>
    <w:rsid w:val="00B42006"/>
    <w:rsid w:val="00B429A6"/>
    <w:rsid w:val="00B43727"/>
    <w:rsid w:val="00B43F79"/>
    <w:rsid w:val="00B450EA"/>
    <w:rsid w:val="00B522F2"/>
    <w:rsid w:val="00B53569"/>
    <w:rsid w:val="00B541DD"/>
    <w:rsid w:val="00B54BAF"/>
    <w:rsid w:val="00B56F25"/>
    <w:rsid w:val="00B5790C"/>
    <w:rsid w:val="00B607C1"/>
    <w:rsid w:val="00B60F5A"/>
    <w:rsid w:val="00B65605"/>
    <w:rsid w:val="00B67108"/>
    <w:rsid w:val="00B71986"/>
    <w:rsid w:val="00B73072"/>
    <w:rsid w:val="00B74064"/>
    <w:rsid w:val="00B75579"/>
    <w:rsid w:val="00B76319"/>
    <w:rsid w:val="00B76CD1"/>
    <w:rsid w:val="00B76D4B"/>
    <w:rsid w:val="00B839AE"/>
    <w:rsid w:val="00B85F4A"/>
    <w:rsid w:val="00B92E3C"/>
    <w:rsid w:val="00B93D1B"/>
    <w:rsid w:val="00B94281"/>
    <w:rsid w:val="00BA0025"/>
    <w:rsid w:val="00BA5A01"/>
    <w:rsid w:val="00BA62A8"/>
    <w:rsid w:val="00BA6528"/>
    <w:rsid w:val="00BB04DB"/>
    <w:rsid w:val="00BB0649"/>
    <w:rsid w:val="00BB0F4F"/>
    <w:rsid w:val="00BB617A"/>
    <w:rsid w:val="00BB66AD"/>
    <w:rsid w:val="00BC24E6"/>
    <w:rsid w:val="00BC43A6"/>
    <w:rsid w:val="00BC5957"/>
    <w:rsid w:val="00BC5B3C"/>
    <w:rsid w:val="00BC6A52"/>
    <w:rsid w:val="00BE223B"/>
    <w:rsid w:val="00BE23E1"/>
    <w:rsid w:val="00BE3FE5"/>
    <w:rsid w:val="00BE46F4"/>
    <w:rsid w:val="00BF12B8"/>
    <w:rsid w:val="00BF2110"/>
    <w:rsid w:val="00BF4630"/>
    <w:rsid w:val="00BF6455"/>
    <w:rsid w:val="00C02EC5"/>
    <w:rsid w:val="00C03DAE"/>
    <w:rsid w:val="00C10302"/>
    <w:rsid w:val="00C10AF0"/>
    <w:rsid w:val="00C12C0D"/>
    <w:rsid w:val="00C12CD3"/>
    <w:rsid w:val="00C14CFB"/>
    <w:rsid w:val="00C155E9"/>
    <w:rsid w:val="00C15B5B"/>
    <w:rsid w:val="00C204DC"/>
    <w:rsid w:val="00C22B14"/>
    <w:rsid w:val="00C22F35"/>
    <w:rsid w:val="00C23A2B"/>
    <w:rsid w:val="00C23C08"/>
    <w:rsid w:val="00C25077"/>
    <w:rsid w:val="00C25BFC"/>
    <w:rsid w:val="00C26C94"/>
    <w:rsid w:val="00C27887"/>
    <w:rsid w:val="00C31040"/>
    <w:rsid w:val="00C31716"/>
    <w:rsid w:val="00C34000"/>
    <w:rsid w:val="00C372A5"/>
    <w:rsid w:val="00C43464"/>
    <w:rsid w:val="00C4380D"/>
    <w:rsid w:val="00C43F5F"/>
    <w:rsid w:val="00C4412F"/>
    <w:rsid w:val="00C45D01"/>
    <w:rsid w:val="00C50469"/>
    <w:rsid w:val="00C526C7"/>
    <w:rsid w:val="00C5687A"/>
    <w:rsid w:val="00C56EC8"/>
    <w:rsid w:val="00C5754F"/>
    <w:rsid w:val="00C61504"/>
    <w:rsid w:val="00C61790"/>
    <w:rsid w:val="00C651FF"/>
    <w:rsid w:val="00C6551A"/>
    <w:rsid w:val="00C659F7"/>
    <w:rsid w:val="00C73C86"/>
    <w:rsid w:val="00C8136C"/>
    <w:rsid w:val="00C82604"/>
    <w:rsid w:val="00C82D1F"/>
    <w:rsid w:val="00C83931"/>
    <w:rsid w:val="00C83F78"/>
    <w:rsid w:val="00C8595D"/>
    <w:rsid w:val="00C878CC"/>
    <w:rsid w:val="00C95511"/>
    <w:rsid w:val="00C962F4"/>
    <w:rsid w:val="00CA0D35"/>
    <w:rsid w:val="00CA66E1"/>
    <w:rsid w:val="00CA7606"/>
    <w:rsid w:val="00CA7DC9"/>
    <w:rsid w:val="00CB0B75"/>
    <w:rsid w:val="00CB255C"/>
    <w:rsid w:val="00CB25EF"/>
    <w:rsid w:val="00CB465E"/>
    <w:rsid w:val="00CB4CB0"/>
    <w:rsid w:val="00CC5B07"/>
    <w:rsid w:val="00CC6554"/>
    <w:rsid w:val="00CC6835"/>
    <w:rsid w:val="00CC6991"/>
    <w:rsid w:val="00CD1337"/>
    <w:rsid w:val="00CD4166"/>
    <w:rsid w:val="00CD49B4"/>
    <w:rsid w:val="00CD4CD9"/>
    <w:rsid w:val="00CD5AC4"/>
    <w:rsid w:val="00CD7252"/>
    <w:rsid w:val="00CE0F06"/>
    <w:rsid w:val="00CE18AF"/>
    <w:rsid w:val="00CE45A6"/>
    <w:rsid w:val="00CF1A6E"/>
    <w:rsid w:val="00D00399"/>
    <w:rsid w:val="00D01237"/>
    <w:rsid w:val="00D013CA"/>
    <w:rsid w:val="00D01A43"/>
    <w:rsid w:val="00D01AF4"/>
    <w:rsid w:val="00D0202D"/>
    <w:rsid w:val="00D03099"/>
    <w:rsid w:val="00D041BE"/>
    <w:rsid w:val="00D05668"/>
    <w:rsid w:val="00D057ED"/>
    <w:rsid w:val="00D06063"/>
    <w:rsid w:val="00D073F0"/>
    <w:rsid w:val="00D07737"/>
    <w:rsid w:val="00D10FD1"/>
    <w:rsid w:val="00D110FA"/>
    <w:rsid w:val="00D111EA"/>
    <w:rsid w:val="00D11C89"/>
    <w:rsid w:val="00D15A14"/>
    <w:rsid w:val="00D16CCE"/>
    <w:rsid w:val="00D17153"/>
    <w:rsid w:val="00D17DAD"/>
    <w:rsid w:val="00D20373"/>
    <w:rsid w:val="00D27D3E"/>
    <w:rsid w:val="00D27F07"/>
    <w:rsid w:val="00D31F0B"/>
    <w:rsid w:val="00D356C6"/>
    <w:rsid w:val="00D36BE2"/>
    <w:rsid w:val="00D37D7E"/>
    <w:rsid w:val="00D432A0"/>
    <w:rsid w:val="00D43ED4"/>
    <w:rsid w:val="00D471A0"/>
    <w:rsid w:val="00D53BBD"/>
    <w:rsid w:val="00D548B3"/>
    <w:rsid w:val="00D5668D"/>
    <w:rsid w:val="00D57A67"/>
    <w:rsid w:val="00D60298"/>
    <w:rsid w:val="00D608EC"/>
    <w:rsid w:val="00D712A5"/>
    <w:rsid w:val="00D7217F"/>
    <w:rsid w:val="00D72A18"/>
    <w:rsid w:val="00D75FBE"/>
    <w:rsid w:val="00D76E83"/>
    <w:rsid w:val="00D80522"/>
    <w:rsid w:val="00D80590"/>
    <w:rsid w:val="00D816DF"/>
    <w:rsid w:val="00D81AC9"/>
    <w:rsid w:val="00D82262"/>
    <w:rsid w:val="00D83606"/>
    <w:rsid w:val="00D845AA"/>
    <w:rsid w:val="00D84A7F"/>
    <w:rsid w:val="00D84F9F"/>
    <w:rsid w:val="00D85E0A"/>
    <w:rsid w:val="00D877B4"/>
    <w:rsid w:val="00D92C47"/>
    <w:rsid w:val="00D92F98"/>
    <w:rsid w:val="00D95494"/>
    <w:rsid w:val="00D95BA2"/>
    <w:rsid w:val="00DA00E4"/>
    <w:rsid w:val="00DA06D2"/>
    <w:rsid w:val="00DA09F2"/>
    <w:rsid w:val="00DA0E0E"/>
    <w:rsid w:val="00DA1402"/>
    <w:rsid w:val="00DA2563"/>
    <w:rsid w:val="00DA6ABB"/>
    <w:rsid w:val="00DA740F"/>
    <w:rsid w:val="00DA7755"/>
    <w:rsid w:val="00DB0406"/>
    <w:rsid w:val="00DB165A"/>
    <w:rsid w:val="00DB38EC"/>
    <w:rsid w:val="00DB444E"/>
    <w:rsid w:val="00DC0128"/>
    <w:rsid w:val="00DC2AC1"/>
    <w:rsid w:val="00DC426A"/>
    <w:rsid w:val="00DC4A0E"/>
    <w:rsid w:val="00DC64BB"/>
    <w:rsid w:val="00DC6EB8"/>
    <w:rsid w:val="00DC7541"/>
    <w:rsid w:val="00DD0F2F"/>
    <w:rsid w:val="00DD21FE"/>
    <w:rsid w:val="00DD719A"/>
    <w:rsid w:val="00DD72F5"/>
    <w:rsid w:val="00DE1748"/>
    <w:rsid w:val="00DE4058"/>
    <w:rsid w:val="00DE5BA1"/>
    <w:rsid w:val="00DE5FCF"/>
    <w:rsid w:val="00DE63D2"/>
    <w:rsid w:val="00DF38D1"/>
    <w:rsid w:val="00DF3E38"/>
    <w:rsid w:val="00DF42AC"/>
    <w:rsid w:val="00DF5DDE"/>
    <w:rsid w:val="00DF7A55"/>
    <w:rsid w:val="00E01739"/>
    <w:rsid w:val="00E01BA8"/>
    <w:rsid w:val="00E0475B"/>
    <w:rsid w:val="00E12371"/>
    <w:rsid w:val="00E13134"/>
    <w:rsid w:val="00E16BBD"/>
    <w:rsid w:val="00E17F50"/>
    <w:rsid w:val="00E22048"/>
    <w:rsid w:val="00E22F7A"/>
    <w:rsid w:val="00E23FC2"/>
    <w:rsid w:val="00E2493E"/>
    <w:rsid w:val="00E24BFE"/>
    <w:rsid w:val="00E24E51"/>
    <w:rsid w:val="00E24E55"/>
    <w:rsid w:val="00E25568"/>
    <w:rsid w:val="00E2568F"/>
    <w:rsid w:val="00E25E88"/>
    <w:rsid w:val="00E370FA"/>
    <w:rsid w:val="00E41569"/>
    <w:rsid w:val="00E43BF2"/>
    <w:rsid w:val="00E45D23"/>
    <w:rsid w:val="00E47629"/>
    <w:rsid w:val="00E5245B"/>
    <w:rsid w:val="00E536A7"/>
    <w:rsid w:val="00E53A48"/>
    <w:rsid w:val="00E53F86"/>
    <w:rsid w:val="00E559D8"/>
    <w:rsid w:val="00E626E6"/>
    <w:rsid w:val="00E63623"/>
    <w:rsid w:val="00E65843"/>
    <w:rsid w:val="00E65DFC"/>
    <w:rsid w:val="00E70890"/>
    <w:rsid w:val="00E70C28"/>
    <w:rsid w:val="00E71FAF"/>
    <w:rsid w:val="00E73927"/>
    <w:rsid w:val="00E74ACB"/>
    <w:rsid w:val="00E77284"/>
    <w:rsid w:val="00E77B14"/>
    <w:rsid w:val="00E83DD4"/>
    <w:rsid w:val="00E83FC3"/>
    <w:rsid w:val="00E9366F"/>
    <w:rsid w:val="00E9480A"/>
    <w:rsid w:val="00E9564C"/>
    <w:rsid w:val="00EA3E1B"/>
    <w:rsid w:val="00EA5C11"/>
    <w:rsid w:val="00EA5E03"/>
    <w:rsid w:val="00EB247C"/>
    <w:rsid w:val="00EB4ABE"/>
    <w:rsid w:val="00EB634B"/>
    <w:rsid w:val="00EB66E8"/>
    <w:rsid w:val="00EC3B8E"/>
    <w:rsid w:val="00EC4387"/>
    <w:rsid w:val="00EC4D7E"/>
    <w:rsid w:val="00EC52A6"/>
    <w:rsid w:val="00ED5587"/>
    <w:rsid w:val="00ED6415"/>
    <w:rsid w:val="00EE24C1"/>
    <w:rsid w:val="00EE561A"/>
    <w:rsid w:val="00EE7135"/>
    <w:rsid w:val="00EE71E9"/>
    <w:rsid w:val="00EF0A1C"/>
    <w:rsid w:val="00EF0DE7"/>
    <w:rsid w:val="00EF1610"/>
    <w:rsid w:val="00EF4A7C"/>
    <w:rsid w:val="00EF6074"/>
    <w:rsid w:val="00EF76AB"/>
    <w:rsid w:val="00EF7C79"/>
    <w:rsid w:val="00F01DF8"/>
    <w:rsid w:val="00F062D8"/>
    <w:rsid w:val="00F06687"/>
    <w:rsid w:val="00F1269E"/>
    <w:rsid w:val="00F1483E"/>
    <w:rsid w:val="00F16044"/>
    <w:rsid w:val="00F1685B"/>
    <w:rsid w:val="00F21BAC"/>
    <w:rsid w:val="00F2556F"/>
    <w:rsid w:val="00F25D10"/>
    <w:rsid w:val="00F27815"/>
    <w:rsid w:val="00F32632"/>
    <w:rsid w:val="00F32F69"/>
    <w:rsid w:val="00F33579"/>
    <w:rsid w:val="00F33A0B"/>
    <w:rsid w:val="00F35E51"/>
    <w:rsid w:val="00F36AFB"/>
    <w:rsid w:val="00F42669"/>
    <w:rsid w:val="00F42F00"/>
    <w:rsid w:val="00F45087"/>
    <w:rsid w:val="00F45B44"/>
    <w:rsid w:val="00F5096D"/>
    <w:rsid w:val="00F5121B"/>
    <w:rsid w:val="00F53AEC"/>
    <w:rsid w:val="00F56BAB"/>
    <w:rsid w:val="00F57239"/>
    <w:rsid w:val="00F60ACD"/>
    <w:rsid w:val="00F622E1"/>
    <w:rsid w:val="00F62EE4"/>
    <w:rsid w:val="00F63650"/>
    <w:rsid w:val="00F652F4"/>
    <w:rsid w:val="00F716E6"/>
    <w:rsid w:val="00F7296E"/>
    <w:rsid w:val="00F73998"/>
    <w:rsid w:val="00F739AD"/>
    <w:rsid w:val="00F74ECC"/>
    <w:rsid w:val="00F765FA"/>
    <w:rsid w:val="00F7662B"/>
    <w:rsid w:val="00F77703"/>
    <w:rsid w:val="00F77D4D"/>
    <w:rsid w:val="00F829BE"/>
    <w:rsid w:val="00F82A11"/>
    <w:rsid w:val="00F85705"/>
    <w:rsid w:val="00F85AC3"/>
    <w:rsid w:val="00F867E0"/>
    <w:rsid w:val="00F91097"/>
    <w:rsid w:val="00F924BE"/>
    <w:rsid w:val="00F92AFF"/>
    <w:rsid w:val="00F944C0"/>
    <w:rsid w:val="00F960BA"/>
    <w:rsid w:val="00F96BF2"/>
    <w:rsid w:val="00F976C9"/>
    <w:rsid w:val="00FA0B4A"/>
    <w:rsid w:val="00FA2662"/>
    <w:rsid w:val="00FA40EA"/>
    <w:rsid w:val="00FA4166"/>
    <w:rsid w:val="00FA4DE8"/>
    <w:rsid w:val="00FA6279"/>
    <w:rsid w:val="00FB0E22"/>
    <w:rsid w:val="00FB1268"/>
    <w:rsid w:val="00FB2736"/>
    <w:rsid w:val="00FB32AD"/>
    <w:rsid w:val="00FB401D"/>
    <w:rsid w:val="00FB4370"/>
    <w:rsid w:val="00FB51A1"/>
    <w:rsid w:val="00FB6925"/>
    <w:rsid w:val="00FC07D4"/>
    <w:rsid w:val="00FC28B3"/>
    <w:rsid w:val="00FC302D"/>
    <w:rsid w:val="00FC52B8"/>
    <w:rsid w:val="00FC60B6"/>
    <w:rsid w:val="00FD3018"/>
    <w:rsid w:val="00FD7F62"/>
    <w:rsid w:val="00FE1E2A"/>
    <w:rsid w:val="00FE4431"/>
    <w:rsid w:val="00FE4DFC"/>
    <w:rsid w:val="00FE5DA5"/>
    <w:rsid w:val="00FE77DF"/>
    <w:rsid w:val="00FF0CA4"/>
    <w:rsid w:val="00FF0F56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23498"/>
  <w15:chartTrackingRefBased/>
  <w15:docId w15:val="{CB6BE70B-F620-4864-A906-2A5D865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93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D4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A0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1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SecRI">
    <w:name w:val="SecRI"/>
    <w:basedOn w:val="Ttulo3"/>
    <w:next w:val="Normal"/>
    <w:rsid w:val="009A0FF4"/>
    <w:pPr>
      <w:spacing w:after="120"/>
      <w:jc w:val="center"/>
    </w:pPr>
    <w:rPr>
      <w:sz w:val="24"/>
    </w:rPr>
  </w:style>
  <w:style w:type="paragraph" w:customStyle="1" w:styleId="Numera10">
    <w:name w:val="Numera10"/>
    <w:basedOn w:val="Normal"/>
    <w:link w:val="Numera10CharChar"/>
    <w:rsid w:val="009A0FF4"/>
    <w:pPr>
      <w:numPr>
        <w:numId w:val="11"/>
      </w:numPr>
      <w:spacing w:before="120" w:after="120"/>
      <w:jc w:val="both"/>
    </w:pPr>
    <w:rPr>
      <w:rFonts w:ascii="Arial" w:hAnsi="Arial"/>
    </w:rPr>
  </w:style>
  <w:style w:type="character" w:customStyle="1" w:styleId="Numera10CharChar">
    <w:name w:val="Numera10 Char Char"/>
    <w:link w:val="Numera10"/>
    <w:rsid w:val="009A0FF4"/>
    <w:rPr>
      <w:rFonts w:ascii="Arial" w:hAnsi="Arial"/>
      <w:sz w:val="24"/>
      <w:szCs w:val="24"/>
      <w:lang w:val="pt-BR" w:eastAsia="pt-BR" w:bidi="ar-SA"/>
    </w:rPr>
  </w:style>
  <w:style w:type="paragraph" w:customStyle="1" w:styleId="CapRI">
    <w:name w:val="CapRI"/>
    <w:basedOn w:val="Ttulo2"/>
    <w:next w:val="Normal"/>
    <w:rsid w:val="005D4915"/>
    <w:pPr>
      <w:autoSpaceDE w:val="0"/>
      <w:autoSpaceDN w:val="0"/>
      <w:adjustRightInd w:val="0"/>
      <w:spacing w:after="240"/>
      <w:jc w:val="center"/>
    </w:pPr>
    <w:rPr>
      <w:rFonts w:cs="Times New Roman"/>
      <w:bCs w:val="0"/>
      <w:i w:val="0"/>
      <w:iCs w:val="0"/>
      <w:smallCaps/>
      <w:sz w:val="26"/>
      <w:szCs w:val="24"/>
    </w:rPr>
  </w:style>
  <w:style w:type="paragraph" w:customStyle="1" w:styleId="TitRI">
    <w:name w:val="TitRI"/>
    <w:basedOn w:val="Ttulo1"/>
    <w:rsid w:val="001812E2"/>
    <w:pPr>
      <w:jc w:val="center"/>
    </w:pPr>
    <w:rPr>
      <w:sz w:val="28"/>
    </w:rPr>
  </w:style>
  <w:style w:type="paragraph" w:styleId="Cabealho">
    <w:name w:val="header"/>
    <w:basedOn w:val="Normal"/>
    <w:rsid w:val="00FC30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02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C302D"/>
  </w:style>
  <w:style w:type="paragraph" w:styleId="Textodebalo">
    <w:name w:val="Balloon Text"/>
    <w:basedOn w:val="Normal"/>
    <w:semiHidden/>
    <w:rsid w:val="00D43ED4"/>
    <w:rPr>
      <w:rFonts w:ascii="Tahoma" w:hAnsi="Tahoma" w:cs="Tahoma"/>
      <w:sz w:val="16"/>
      <w:szCs w:val="16"/>
    </w:rPr>
  </w:style>
  <w:style w:type="character" w:styleId="Forte">
    <w:name w:val="Strong"/>
    <w:qFormat/>
    <w:rsid w:val="00353B23"/>
    <w:rPr>
      <w:b/>
      <w:bCs/>
    </w:rPr>
  </w:style>
  <w:style w:type="paragraph" w:customStyle="1" w:styleId="ParUnico">
    <w:name w:val="ParUnico"/>
    <w:basedOn w:val="Numera10"/>
    <w:link w:val="ParUnicoChar"/>
    <w:rsid w:val="00D17DAD"/>
    <w:pPr>
      <w:numPr>
        <w:numId w:val="0"/>
      </w:numPr>
      <w:ind w:firstLine="567"/>
    </w:pPr>
  </w:style>
  <w:style w:type="character" w:customStyle="1" w:styleId="ParUnicoChar">
    <w:name w:val="ParUnico Char"/>
    <w:basedOn w:val="Numera10CharChar"/>
    <w:link w:val="ParUnico"/>
    <w:rsid w:val="0082127C"/>
    <w:rPr>
      <w:rFonts w:ascii="Arial" w:hAnsi="Arial"/>
      <w:sz w:val="24"/>
      <w:szCs w:val="24"/>
      <w:lang w:val="pt-BR" w:eastAsia="pt-BR" w:bidi="ar-SA"/>
    </w:rPr>
  </w:style>
  <w:style w:type="paragraph" w:styleId="Sumrio1">
    <w:name w:val="toc 1"/>
    <w:basedOn w:val="Normal"/>
    <w:next w:val="Normal"/>
    <w:autoRedefine/>
    <w:semiHidden/>
    <w:rsid w:val="003420E6"/>
    <w:pPr>
      <w:tabs>
        <w:tab w:val="right" w:leader="dot" w:pos="9628"/>
      </w:tabs>
      <w:spacing w:before="240"/>
      <w:ind w:left="238"/>
    </w:pPr>
    <w:rPr>
      <w:rFonts w:ascii="Arial" w:hAnsi="Arial"/>
      <w:b/>
      <w:sz w:val="28"/>
    </w:rPr>
  </w:style>
  <w:style w:type="paragraph" w:customStyle="1" w:styleId="Numera19">
    <w:name w:val="Numera1_9"/>
    <w:basedOn w:val="Normal"/>
    <w:link w:val="Numera19CharChar"/>
    <w:autoRedefine/>
    <w:rsid w:val="00A22543"/>
    <w:pPr>
      <w:numPr>
        <w:numId w:val="24"/>
      </w:numPr>
      <w:spacing w:before="120" w:after="120"/>
      <w:jc w:val="both"/>
    </w:pPr>
    <w:rPr>
      <w:rFonts w:ascii="Arial" w:hAnsi="Arial"/>
    </w:rPr>
  </w:style>
  <w:style w:type="character" w:customStyle="1" w:styleId="Numera19CharChar">
    <w:name w:val="Numera1_9 Char Char"/>
    <w:link w:val="Numera19"/>
    <w:rsid w:val="00A22543"/>
    <w:rPr>
      <w:rFonts w:ascii="Arial" w:hAnsi="Arial"/>
      <w:sz w:val="24"/>
      <w:szCs w:val="24"/>
      <w:lang w:val="pt-BR" w:eastAsia="pt-BR" w:bidi="ar-SA"/>
    </w:rPr>
  </w:style>
  <w:style w:type="paragraph" w:styleId="Sumrio2">
    <w:name w:val="toc 2"/>
    <w:basedOn w:val="Normal"/>
    <w:next w:val="Normal"/>
    <w:autoRedefine/>
    <w:semiHidden/>
    <w:rsid w:val="00D877B4"/>
    <w:pPr>
      <w:spacing w:before="120"/>
      <w:ind w:left="238"/>
    </w:pPr>
    <w:rPr>
      <w:rFonts w:ascii="Arial" w:hAnsi="Arial"/>
      <w:b/>
    </w:rPr>
  </w:style>
  <w:style w:type="paragraph" w:styleId="Sumrio3">
    <w:name w:val="toc 3"/>
    <w:basedOn w:val="Normal"/>
    <w:next w:val="Normal"/>
    <w:autoRedefine/>
    <w:semiHidden/>
    <w:rsid w:val="00A32187"/>
    <w:pPr>
      <w:ind w:left="480"/>
    </w:pPr>
    <w:rPr>
      <w:rFonts w:ascii="Arial" w:hAnsi="Arial"/>
    </w:rPr>
  </w:style>
  <w:style w:type="paragraph" w:styleId="Sumrio4">
    <w:name w:val="toc 4"/>
    <w:basedOn w:val="Normal"/>
    <w:next w:val="Normal"/>
    <w:autoRedefine/>
    <w:semiHidden/>
    <w:rsid w:val="00A32187"/>
    <w:pPr>
      <w:ind w:left="720"/>
    </w:pPr>
    <w:rPr>
      <w:rFonts w:ascii="Arial" w:hAnsi="Arial"/>
      <w:sz w:val="22"/>
    </w:rPr>
  </w:style>
  <w:style w:type="paragraph" w:customStyle="1" w:styleId="SubRI">
    <w:name w:val="SubRI"/>
    <w:basedOn w:val="Ttulo4"/>
    <w:next w:val="Normal"/>
    <w:rsid w:val="00A32187"/>
    <w:pPr>
      <w:spacing w:before="120" w:after="120"/>
      <w:jc w:val="center"/>
    </w:pPr>
    <w:rPr>
      <w:rFonts w:ascii="Arial" w:hAnsi="Arial"/>
      <w:sz w:val="24"/>
    </w:rPr>
  </w:style>
  <w:style w:type="paragraph" w:styleId="Textodenotadefim">
    <w:name w:val="endnote text"/>
    <w:basedOn w:val="Normal"/>
    <w:semiHidden/>
    <w:rsid w:val="003B63B0"/>
    <w:rPr>
      <w:sz w:val="20"/>
      <w:szCs w:val="20"/>
    </w:rPr>
  </w:style>
  <w:style w:type="character" w:styleId="Refdenotadefim">
    <w:name w:val="endnote reference"/>
    <w:semiHidden/>
    <w:rsid w:val="003B63B0"/>
    <w:rPr>
      <w:vertAlign w:val="superscript"/>
    </w:rPr>
  </w:style>
  <w:style w:type="character" w:styleId="Refdecomentrio">
    <w:name w:val="annotation reference"/>
    <w:semiHidden/>
    <w:rsid w:val="003B63B0"/>
    <w:rPr>
      <w:sz w:val="16"/>
      <w:szCs w:val="16"/>
    </w:rPr>
  </w:style>
  <w:style w:type="paragraph" w:styleId="Textodecomentrio">
    <w:name w:val="annotation text"/>
    <w:basedOn w:val="Normal"/>
    <w:semiHidden/>
    <w:rsid w:val="003B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B63B0"/>
    <w:rPr>
      <w:b/>
      <w:bCs/>
    </w:rPr>
  </w:style>
  <w:style w:type="paragraph" w:styleId="Corpodetexto">
    <w:name w:val="Body Text"/>
    <w:basedOn w:val="Normal"/>
    <w:rsid w:val="00DE63D2"/>
    <w:pPr>
      <w:spacing w:after="120"/>
    </w:pPr>
  </w:style>
  <w:style w:type="paragraph" w:styleId="Lista">
    <w:name w:val="List"/>
    <w:basedOn w:val="Normal"/>
    <w:rsid w:val="00DE63D2"/>
    <w:pPr>
      <w:ind w:left="283" w:hanging="283"/>
    </w:pPr>
  </w:style>
  <w:style w:type="paragraph" w:styleId="Listadecontinuao">
    <w:name w:val="List Continue"/>
    <w:basedOn w:val="Normal"/>
    <w:rsid w:val="00DE63D2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rsid w:val="001967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96768"/>
  </w:style>
  <w:style w:type="character" w:styleId="Refdenotaderodap">
    <w:name w:val="footnote reference"/>
    <w:rsid w:val="00196768"/>
    <w:rPr>
      <w:vertAlign w:val="superscript"/>
    </w:rPr>
  </w:style>
  <w:style w:type="character" w:styleId="Hyperlink">
    <w:name w:val="Hyperlink"/>
    <w:uiPriority w:val="99"/>
    <w:unhideWhenUsed/>
    <w:rsid w:val="001967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2/3/pdf/0000103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multimidia/2012/3/pdf/00001039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multimidia/2012/3/pdf/00001039.pdf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2/3/pdf/00001039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1481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ESTADO DO PARANÁ</vt:lpstr>
    </vt:vector>
  </TitlesOfParts>
  <Company> 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DO PARANÁ</dc:title>
  <dc:subject/>
  <dc:creator>Osmar José Correia Júnior</dc:creator>
  <cp:keywords/>
  <dc:description/>
  <cp:lastModifiedBy>Yarusya Fonseca</cp:lastModifiedBy>
  <cp:revision>5</cp:revision>
  <cp:lastPrinted>2006-09-22T17:48:00Z</cp:lastPrinted>
  <dcterms:created xsi:type="dcterms:W3CDTF">2022-07-07T13:57:00Z</dcterms:created>
  <dcterms:modified xsi:type="dcterms:W3CDTF">2022-07-07T14:23:00Z</dcterms:modified>
</cp:coreProperties>
</file>