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6ACF5" w14:textId="5912B26C" w:rsidR="00332EDA" w:rsidRPr="0045115E" w:rsidRDefault="00332EDA" w:rsidP="009F0D77">
      <w:pPr>
        <w:pStyle w:val="Default"/>
        <w:spacing w:before="100" w:beforeAutospacing="1" w:after="100" w:afterAutospacing="1"/>
        <w:jc w:val="center"/>
        <w:rPr>
          <w:b/>
          <w:bCs/>
          <w:sz w:val="28"/>
          <w:szCs w:val="28"/>
        </w:rPr>
      </w:pPr>
      <w:r w:rsidRPr="0045115E">
        <w:rPr>
          <w:b/>
          <w:bCs/>
          <w:sz w:val="28"/>
          <w:szCs w:val="28"/>
        </w:rPr>
        <w:t>RESOLUÇÃO</w:t>
      </w:r>
      <w:r w:rsidR="000110FE">
        <w:rPr>
          <w:b/>
          <w:bCs/>
          <w:sz w:val="28"/>
          <w:szCs w:val="28"/>
        </w:rPr>
        <w:t xml:space="preserve"> Nº 28/2011</w:t>
      </w:r>
      <w:r w:rsidR="00FE12E5">
        <w:rPr>
          <w:rStyle w:val="Refdenotaderodap"/>
          <w:b/>
          <w:bCs/>
          <w:sz w:val="28"/>
          <w:szCs w:val="28"/>
        </w:rPr>
        <w:footnoteReference w:id="1"/>
      </w:r>
    </w:p>
    <w:p w14:paraId="49A7F7F7" w14:textId="77777777" w:rsidR="00332EDA" w:rsidRPr="00555F77" w:rsidRDefault="00332EDA" w:rsidP="00555F77">
      <w:pPr>
        <w:pStyle w:val="Default"/>
        <w:spacing w:before="360" w:after="360"/>
        <w:ind w:left="4536"/>
        <w:jc w:val="both"/>
        <w:rPr>
          <w:i/>
          <w:iCs/>
          <w:sz w:val="22"/>
          <w:szCs w:val="22"/>
        </w:rPr>
      </w:pPr>
      <w:r w:rsidRPr="00555F77">
        <w:rPr>
          <w:i/>
          <w:iCs/>
          <w:sz w:val="22"/>
          <w:szCs w:val="22"/>
        </w:rPr>
        <w:t xml:space="preserve">Dispõe sobre a formalização, a execução, a fiscalização e a prestação de contas das transferências de recursos financeiros e demais repasses no âmbito estadual e municipal, institui o Sistema Integrado de Transferências - SIT e dá outras providências. </w:t>
      </w:r>
    </w:p>
    <w:p w14:paraId="039D1B74" w14:textId="77777777" w:rsidR="00332EDA" w:rsidRDefault="00332EDA" w:rsidP="006C6E0C">
      <w:pPr>
        <w:ind w:right="-1" w:firstLine="1134"/>
        <w:jc w:val="both"/>
        <w:rPr>
          <w:rFonts w:ascii="Arial" w:hAnsi="Arial" w:cs="Arial"/>
          <w:sz w:val="24"/>
          <w:szCs w:val="24"/>
        </w:rPr>
      </w:pPr>
      <w:r w:rsidRPr="00555F77">
        <w:rPr>
          <w:rFonts w:ascii="Arial" w:hAnsi="Arial" w:cs="Arial"/>
          <w:sz w:val="24"/>
          <w:szCs w:val="24"/>
        </w:rPr>
        <w:t>O</w:t>
      </w:r>
      <w:r>
        <w:rPr>
          <w:rFonts w:ascii="Arial" w:hAnsi="Arial" w:cs="Arial"/>
          <w:b/>
          <w:bCs/>
          <w:sz w:val="24"/>
          <w:szCs w:val="24"/>
        </w:rPr>
        <w:t xml:space="preserve"> TRIBUNAL DE CONTAS DO ESTADO DO PARANÁ</w:t>
      </w:r>
      <w:r>
        <w:rPr>
          <w:rFonts w:ascii="Arial" w:hAnsi="Arial" w:cs="Arial"/>
          <w:sz w:val="24"/>
          <w:szCs w:val="24"/>
        </w:rPr>
        <w:t>, no uso da atribuição que lhe confere o art. 2º, I, da Lei Complementar nº 113, de 15 de dezembro de 2005, e nos termos do art. 188 c/c o art. 228, do Regimento Interno.</w:t>
      </w:r>
    </w:p>
    <w:p w14:paraId="40A46F43" w14:textId="77777777" w:rsidR="006C6E0C" w:rsidRDefault="006C6E0C" w:rsidP="006C6E0C">
      <w:pPr>
        <w:ind w:right="-1" w:firstLine="1134"/>
        <w:jc w:val="both"/>
        <w:rPr>
          <w:rFonts w:ascii="Arial" w:hAnsi="Arial" w:cs="Arial"/>
          <w:sz w:val="24"/>
          <w:szCs w:val="24"/>
        </w:rPr>
      </w:pPr>
    </w:p>
    <w:p w14:paraId="66453E60" w14:textId="77777777" w:rsidR="00332EDA" w:rsidRDefault="00332EDA" w:rsidP="003B229F">
      <w:pPr>
        <w:pStyle w:val="Default"/>
        <w:spacing w:before="120" w:after="120"/>
        <w:ind w:firstLine="1134"/>
        <w:jc w:val="both"/>
        <w:rPr>
          <w:b/>
          <w:bCs/>
        </w:rPr>
      </w:pPr>
      <w:r>
        <w:rPr>
          <w:b/>
          <w:bCs/>
        </w:rPr>
        <w:t>RESOLVE</w:t>
      </w:r>
    </w:p>
    <w:p w14:paraId="30B34321" w14:textId="77777777" w:rsidR="00332EDA" w:rsidRDefault="00332EDA" w:rsidP="00332EDA">
      <w:pPr>
        <w:pStyle w:val="RICaptulo"/>
      </w:pPr>
      <w:bookmarkStart w:id="0" w:name="_Toc284507992"/>
      <w:r>
        <w:t>CAPÍTULO I</w:t>
      </w:r>
      <w:r>
        <w:br/>
      </w:r>
      <w:bookmarkEnd w:id="0"/>
      <w:r>
        <w:t>DO SISTEMA INTEGRADO DE TRANSFERÊNCIAS - SIT</w:t>
      </w:r>
    </w:p>
    <w:p w14:paraId="682320BA" w14:textId="77777777" w:rsidR="00332EDA" w:rsidRDefault="00332EDA" w:rsidP="006C6E0C">
      <w:pPr>
        <w:spacing w:before="120"/>
        <w:ind w:firstLine="1134"/>
        <w:jc w:val="both"/>
        <w:rPr>
          <w:rFonts w:ascii="Arial" w:hAnsi="Arial" w:cs="Arial"/>
          <w:sz w:val="24"/>
          <w:szCs w:val="24"/>
        </w:rPr>
      </w:pPr>
      <w:r>
        <w:rPr>
          <w:rFonts w:ascii="Arial" w:hAnsi="Arial" w:cs="Arial"/>
          <w:b/>
          <w:bCs/>
          <w:sz w:val="24"/>
          <w:szCs w:val="24"/>
        </w:rPr>
        <w:t xml:space="preserve">Art. 1º </w:t>
      </w:r>
      <w:r>
        <w:rPr>
          <w:rFonts w:ascii="Arial" w:hAnsi="Arial" w:cs="Arial"/>
          <w:sz w:val="24"/>
          <w:szCs w:val="24"/>
        </w:rPr>
        <w:t>Esta Resolução regulamenta os requisitos para a formalização, a execução, a fiscalização, a prestação de contas, e respectivo encaminhamento ao Tribunal de Contas</w:t>
      </w:r>
      <w:r>
        <w:rPr>
          <w:rFonts w:ascii="Arial" w:hAnsi="Arial" w:cs="Arial"/>
          <w:b/>
          <w:bCs/>
          <w:sz w:val="24"/>
          <w:szCs w:val="24"/>
        </w:rPr>
        <w:t xml:space="preserve">, </w:t>
      </w:r>
      <w:r>
        <w:rPr>
          <w:rFonts w:ascii="Arial" w:hAnsi="Arial" w:cs="Arial"/>
          <w:sz w:val="24"/>
          <w:szCs w:val="24"/>
        </w:rPr>
        <w:t>das transferências de recursos estadual e municipal, da administração pública direta e indireta, repassados mediante convênio, termo de parceria, contrato de gestão ou outro instrumento congênere celebrado em regime de colaboração, às entidades privadas sem fins lucrativos, inclusive àquelas qualificadas como Organizações da Sociedade Civil de Interesse Público - OSCIP e Organizações Sociais - OS, à pessoa jurídica de direito público ou privado federal, estadual ou municipal e institui o Sistema Integrado de Transferências – SIT.</w:t>
      </w:r>
    </w:p>
    <w:p w14:paraId="26AB744F" w14:textId="77777777" w:rsidR="00332EDA" w:rsidRDefault="00332EDA" w:rsidP="006C6E0C">
      <w:pPr>
        <w:pStyle w:val="Default"/>
        <w:spacing w:before="120"/>
        <w:ind w:firstLine="1134"/>
        <w:jc w:val="both"/>
      </w:pPr>
      <w:r>
        <w:rPr>
          <w:b/>
          <w:bCs/>
        </w:rPr>
        <w:t xml:space="preserve">Art. 2º </w:t>
      </w:r>
      <w:r>
        <w:t xml:space="preserve">Fica instituído o Sistema Integrado de Transferências – SIT, nos termos do § 5º do art. 24 da Lei Complementar Estadual nº 113/2005, e do art. 149, inciso XIX, do Regimento Interno, que tem por finalidade padronizar e dar agilidade aos procedimentos de fiscalização das transferências públicas de recursos financeiros. </w:t>
      </w:r>
    </w:p>
    <w:p w14:paraId="1A99D464" w14:textId="77777777" w:rsidR="00332EDA" w:rsidRDefault="00332EDA" w:rsidP="006C6E0C">
      <w:pPr>
        <w:pStyle w:val="Default"/>
        <w:spacing w:before="120"/>
        <w:ind w:firstLine="1134"/>
        <w:jc w:val="both"/>
      </w:pPr>
      <w:r w:rsidRPr="00822799">
        <w:t>Parágrafo único.</w:t>
      </w:r>
      <w:r>
        <w:rPr>
          <w:b/>
          <w:bCs/>
        </w:rPr>
        <w:t xml:space="preserve"> </w:t>
      </w:r>
      <w:r>
        <w:t xml:space="preserve">O SIT consiste no instrumento informatizado disponibilizado pelo Tribunal de Contas do Estado do Paraná para fins de registro e acompanhamento das informações, bem como para a prestação de contas das transferências financeiras. </w:t>
      </w:r>
    </w:p>
    <w:p w14:paraId="1A75C411" w14:textId="77777777" w:rsidR="00332EDA" w:rsidRDefault="00332EDA" w:rsidP="006C6E0C">
      <w:pPr>
        <w:pStyle w:val="Default"/>
        <w:spacing w:before="120"/>
        <w:ind w:firstLine="1134"/>
        <w:jc w:val="both"/>
      </w:pPr>
      <w:r>
        <w:rPr>
          <w:b/>
          <w:bCs/>
        </w:rPr>
        <w:lastRenderedPageBreak/>
        <w:t xml:space="preserve">Art. 3º </w:t>
      </w:r>
      <w:r>
        <w:t xml:space="preserve">A utilização do SIT será obrigatória para todos os órgãos públicos e entidades privadas sujeitas à jurisdição do Tribunal de Contas do Estado do Paraná, na condição de repassadores ou tomadores de recursos públicos oriundos de transferências. </w:t>
      </w:r>
    </w:p>
    <w:p w14:paraId="32EF7B72" w14:textId="77777777" w:rsidR="00332EDA" w:rsidRDefault="00332EDA" w:rsidP="006C6E0C">
      <w:pPr>
        <w:pStyle w:val="Default"/>
        <w:spacing w:before="120"/>
        <w:ind w:firstLine="1134"/>
        <w:jc w:val="both"/>
      </w:pPr>
      <w:r w:rsidRPr="00822799">
        <w:t>Parágrafo único.</w:t>
      </w:r>
      <w:r>
        <w:rPr>
          <w:b/>
          <w:bCs/>
        </w:rPr>
        <w:t xml:space="preserve"> </w:t>
      </w:r>
      <w:r>
        <w:t xml:space="preserve">Todas as entidades deverão manter cadastro atualizado, conforme estabelecido no art. 525-B do Regimento Interno, contendo o registro dos gestores e dos servidores encarregados da fiscalização do ato de transferência, inclusive os que compõem a </w:t>
      </w:r>
      <w:r w:rsidRPr="0058617A">
        <w:t>Unidade Gestora de Transferências – UGT, sendo</w:t>
      </w:r>
      <w:r>
        <w:t xml:space="preserve"> considerado requisito prévio ao ato de transferência, e do exame e julgamento das respectivas prestações e tomadas de contas apresentadas. </w:t>
      </w:r>
    </w:p>
    <w:p w14:paraId="285F91E4" w14:textId="77777777" w:rsidR="00332EDA" w:rsidRDefault="00332EDA" w:rsidP="006C6E0C">
      <w:pPr>
        <w:pStyle w:val="Default"/>
        <w:spacing w:before="120"/>
        <w:ind w:firstLine="1134"/>
        <w:jc w:val="both"/>
      </w:pPr>
      <w:r>
        <w:rPr>
          <w:b/>
          <w:bCs/>
        </w:rPr>
        <w:t xml:space="preserve">Art. 4º </w:t>
      </w:r>
      <w:r>
        <w:t xml:space="preserve">Sem prejuízo das informações coletadas pelo SIT, poderá ser exigido que sejam encaminhados ao Tribunal outros documentos relacionados com a concessão dos recursos ou com a execução do ato de transferência. </w:t>
      </w:r>
    </w:p>
    <w:p w14:paraId="756CAA9F" w14:textId="77777777" w:rsidR="00332EDA" w:rsidRDefault="00332EDA" w:rsidP="006C6E0C">
      <w:pPr>
        <w:pStyle w:val="Default"/>
        <w:spacing w:before="120"/>
        <w:ind w:firstLine="1134"/>
        <w:jc w:val="both"/>
      </w:pPr>
      <w:r w:rsidRPr="00822799">
        <w:t>Parágrafo único.</w:t>
      </w:r>
      <w:r>
        <w:rPr>
          <w:b/>
          <w:bCs/>
        </w:rPr>
        <w:t xml:space="preserve"> </w:t>
      </w:r>
      <w:r>
        <w:t xml:space="preserve">As informações deverão ser prestadas por intermédio do SIT a partir da formalização do termo de transferência, ainda que nenhum recurso tenha sido repassado ou que não se tenha executada qualquer despesa, situações em que o gestor informará os motivos de tais fatos. </w:t>
      </w:r>
    </w:p>
    <w:p w14:paraId="1AF0D593" w14:textId="77777777" w:rsidR="006C6E0C" w:rsidRDefault="006C6E0C" w:rsidP="00332EDA">
      <w:pPr>
        <w:pStyle w:val="RICaptulo"/>
      </w:pPr>
    </w:p>
    <w:p w14:paraId="64DA8AF3" w14:textId="68A84876" w:rsidR="00332EDA" w:rsidRDefault="00332EDA" w:rsidP="00332EDA">
      <w:pPr>
        <w:pStyle w:val="RICaptulo"/>
      </w:pPr>
      <w:r>
        <w:t>CAPÍTULO II</w:t>
      </w:r>
      <w:r>
        <w:br/>
      </w:r>
      <w:r>
        <w:rPr>
          <w:color w:val="000000"/>
        </w:rPr>
        <w:t>DO INSTRUMENTO DO ATO DE TRANSFERÊNCIA</w:t>
      </w:r>
    </w:p>
    <w:p w14:paraId="2F11696A" w14:textId="77777777" w:rsidR="00332EDA" w:rsidRDefault="00332EDA" w:rsidP="006C6E0C">
      <w:pPr>
        <w:adjustRightInd w:val="0"/>
        <w:spacing w:before="120"/>
        <w:ind w:firstLine="1134"/>
        <w:jc w:val="both"/>
        <w:rPr>
          <w:rFonts w:ascii="Arial" w:hAnsi="Arial" w:cs="Arial"/>
          <w:color w:val="000000"/>
          <w:sz w:val="24"/>
          <w:szCs w:val="24"/>
        </w:rPr>
      </w:pPr>
      <w:r>
        <w:rPr>
          <w:rFonts w:ascii="Arial" w:hAnsi="Arial" w:cs="Arial"/>
          <w:b/>
          <w:bCs/>
          <w:color w:val="000000"/>
          <w:sz w:val="24"/>
          <w:szCs w:val="24"/>
        </w:rPr>
        <w:t xml:space="preserve">Art. 5º </w:t>
      </w:r>
      <w:r>
        <w:rPr>
          <w:rFonts w:ascii="Arial" w:hAnsi="Arial" w:cs="Arial"/>
          <w:color w:val="000000"/>
          <w:sz w:val="24"/>
          <w:szCs w:val="24"/>
        </w:rPr>
        <w:t xml:space="preserve">A administração pública somente poderá celebrar ato de transferência comprovando a prévia previsão e disponibilidade orçamentária e financeira, devendo apresentar os critérios técnicos estabelecidos para fixação dos tomadores de recursos. </w:t>
      </w:r>
    </w:p>
    <w:p w14:paraId="4A05D8E1" w14:textId="77777777" w:rsidR="00332EDA" w:rsidRDefault="00332EDA" w:rsidP="006C6E0C">
      <w:pPr>
        <w:adjustRightInd w:val="0"/>
        <w:spacing w:before="120"/>
        <w:ind w:firstLine="1134"/>
        <w:jc w:val="both"/>
        <w:rPr>
          <w:rFonts w:ascii="Arial" w:hAnsi="Arial" w:cs="Arial"/>
          <w:color w:val="000000"/>
          <w:sz w:val="24"/>
          <w:szCs w:val="24"/>
        </w:rPr>
      </w:pPr>
      <w:r w:rsidRPr="00822799">
        <w:rPr>
          <w:rFonts w:ascii="Arial" w:hAnsi="Arial" w:cs="Arial"/>
          <w:color w:val="000000"/>
          <w:sz w:val="24"/>
          <w:szCs w:val="24"/>
        </w:rPr>
        <w:t>§ 1º</w:t>
      </w:r>
      <w:r>
        <w:rPr>
          <w:rFonts w:ascii="Arial" w:hAnsi="Arial" w:cs="Arial"/>
          <w:b/>
          <w:bCs/>
          <w:color w:val="000000"/>
          <w:sz w:val="24"/>
          <w:szCs w:val="24"/>
        </w:rPr>
        <w:t xml:space="preserve"> </w:t>
      </w:r>
      <w:r>
        <w:rPr>
          <w:rFonts w:ascii="Arial" w:hAnsi="Arial" w:cs="Arial"/>
          <w:color w:val="000000"/>
          <w:sz w:val="24"/>
          <w:szCs w:val="24"/>
        </w:rPr>
        <w:t xml:space="preserve">As finalidades institucionais do tomador de recursos deverão ser compatíveis com as atividades previstas no objeto do termo de transferência, bem como deverá ser atestado pela Secretaria ou pelo Conselho afetos à área de atuação da entidade beneficiária que ela dispõe de satisfatórias condições físicas e operacionais de funcionamento. </w:t>
      </w:r>
    </w:p>
    <w:p w14:paraId="5D5E139E" w14:textId="77777777" w:rsidR="00332EDA" w:rsidRDefault="00332EDA" w:rsidP="006C6E0C">
      <w:pPr>
        <w:adjustRightInd w:val="0"/>
        <w:spacing w:before="120"/>
        <w:ind w:firstLine="1134"/>
        <w:jc w:val="both"/>
        <w:rPr>
          <w:rFonts w:ascii="Arial" w:hAnsi="Arial" w:cs="Arial"/>
          <w:color w:val="000000"/>
          <w:sz w:val="24"/>
          <w:szCs w:val="24"/>
        </w:rPr>
      </w:pPr>
      <w:r w:rsidRPr="00822799">
        <w:rPr>
          <w:rFonts w:ascii="Arial" w:hAnsi="Arial" w:cs="Arial"/>
          <w:color w:val="000000"/>
          <w:sz w:val="24"/>
          <w:szCs w:val="24"/>
        </w:rPr>
        <w:t>§ 2º</w:t>
      </w:r>
      <w:r>
        <w:rPr>
          <w:rFonts w:ascii="Arial" w:hAnsi="Arial" w:cs="Arial"/>
          <w:b/>
          <w:bCs/>
          <w:color w:val="000000"/>
          <w:sz w:val="24"/>
          <w:szCs w:val="24"/>
        </w:rPr>
        <w:t xml:space="preserve"> </w:t>
      </w:r>
      <w:r>
        <w:rPr>
          <w:rFonts w:ascii="Arial" w:hAnsi="Arial" w:cs="Arial"/>
          <w:color w:val="000000"/>
          <w:sz w:val="24"/>
          <w:szCs w:val="24"/>
        </w:rPr>
        <w:t xml:space="preserve">O procedimento administrativo para a formalização, execução, acompanhamento e prestação de contas do ato de transferência deverá ser instruído com a documentação prevista na legislação e regulamentada por Instrução Normativa. </w:t>
      </w:r>
    </w:p>
    <w:p w14:paraId="7D23731B" w14:textId="77777777" w:rsidR="00332EDA" w:rsidRDefault="00332EDA" w:rsidP="006C6E0C">
      <w:pPr>
        <w:adjustRightInd w:val="0"/>
        <w:spacing w:before="120"/>
        <w:ind w:firstLine="1134"/>
        <w:jc w:val="both"/>
        <w:rPr>
          <w:rFonts w:ascii="Arial" w:hAnsi="Arial" w:cs="Arial"/>
          <w:color w:val="000000"/>
          <w:sz w:val="24"/>
          <w:szCs w:val="24"/>
        </w:rPr>
      </w:pPr>
      <w:r w:rsidRPr="00822799">
        <w:rPr>
          <w:rFonts w:ascii="Arial" w:hAnsi="Arial" w:cs="Arial"/>
          <w:color w:val="000000"/>
          <w:sz w:val="24"/>
          <w:szCs w:val="24"/>
        </w:rPr>
        <w:t>§ 3º</w:t>
      </w:r>
      <w:r>
        <w:rPr>
          <w:rFonts w:ascii="Arial" w:hAnsi="Arial" w:cs="Arial"/>
          <w:b/>
          <w:bCs/>
          <w:color w:val="000000"/>
          <w:sz w:val="24"/>
          <w:szCs w:val="24"/>
        </w:rPr>
        <w:t xml:space="preserve"> </w:t>
      </w:r>
      <w:r>
        <w:rPr>
          <w:rFonts w:ascii="Arial" w:hAnsi="Arial" w:cs="Arial"/>
          <w:color w:val="000000"/>
          <w:sz w:val="24"/>
          <w:szCs w:val="24"/>
        </w:rPr>
        <w:t xml:space="preserve">O instrumento de repasse de recursos deve ser sempre firmado entre um único concedente e um único tomador, sendo a responsabilidade pelo encaminhamento da prestação de contas ao Tribunal atribuída sempre ao concedente. </w:t>
      </w:r>
    </w:p>
    <w:p w14:paraId="5403C36D" w14:textId="77777777" w:rsidR="00332EDA" w:rsidRDefault="00332EDA" w:rsidP="006C6E0C">
      <w:pPr>
        <w:adjustRightInd w:val="0"/>
        <w:spacing w:before="120"/>
        <w:ind w:firstLine="1134"/>
        <w:jc w:val="both"/>
        <w:rPr>
          <w:rFonts w:ascii="Arial" w:hAnsi="Arial" w:cs="Arial"/>
          <w:color w:val="000000"/>
          <w:sz w:val="24"/>
          <w:szCs w:val="24"/>
        </w:rPr>
      </w:pPr>
      <w:r>
        <w:rPr>
          <w:rFonts w:ascii="Arial" w:hAnsi="Arial" w:cs="Arial"/>
          <w:b/>
          <w:bCs/>
          <w:color w:val="000000"/>
          <w:sz w:val="24"/>
          <w:szCs w:val="24"/>
        </w:rPr>
        <w:t xml:space="preserve">Art. 6º </w:t>
      </w:r>
      <w:r>
        <w:rPr>
          <w:rFonts w:ascii="Arial" w:hAnsi="Arial" w:cs="Arial"/>
          <w:color w:val="000000"/>
          <w:sz w:val="24"/>
          <w:szCs w:val="24"/>
        </w:rPr>
        <w:t xml:space="preserve">Observadas as exigências legais, o termo de transferência deverá conter, no mínimo, o seguinte: </w:t>
      </w:r>
    </w:p>
    <w:p w14:paraId="2F6D06BD" w14:textId="77777777" w:rsidR="00332EDA" w:rsidRPr="00822799" w:rsidRDefault="00332EDA" w:rsidP="006C6E0C">
      <w:pPr>
        <w:spacing w:before="120"/>
        <w:ind w:firstLine="1134"/>
        <w:jc w:val="both"/>
        <w:rPr>
          <w:rFonts w:ascii="Arial" w:hAnsi="Arial" w:cs="Arial"/>
          <w:color w:val="000000"/>
          <w:sz w:val="24"/>
          <w:szCs w:val="24"/>
        </w:rPr>
      </w:pPr>
      <w:r w:rsidRPr="00822799">
        <w:rPr>
          <w:rFonts w:ascii="Arial" w:hAnsi="Arial" w:cs="Arial"/>
          <w:color w:val="000000"/>
          <w:sz w:val="24"/>
          <w:szCs w:val="24"/>
        </w:rPr>
        <w:t>I – as metas a serem alcançadas;</w:t>
      </w:r>
    </w:p>
    <w:p w14:paraId="04A847D9" w14:textId="77777777" w:rsidR="00332EDA" w:rsidRPr="00822799" w:rsidRDefault="00332EDA" w:rsidP="006C6E0C">
      <w:pPr>
        <w:pStyle w:val="Default"/>
        <w:spacing w:before="120"/>
        <w:ind w:firstLine="1134"/>
        <w:jc w:val="both"/>
      </w:pPr>
      <w:r w:rsidRPr="00822799">
        <w:lastRenderedPageBreak/>
        <w:t xml:space="preserve">II – os valores da transferência, em reais (R$), e da contrapartida, se houver; </w:t>
      </w:r>
    </w:p>
    <w:p w14:paraId="46D8F260" w14:textId="77777777" w:rsidR="00332EDA" w:rsidRPr="00822799" w:rsidRDefault="00332EDA" w:rsidP="006C6E0C">
      <w:pPr>
        <w:pStyle w:val="Default"/>
        <w:spacing w:before="120"/>
        <w:ind w:firstLine="1134"/>
        <w:jc w:val="both"/>
      </w:pPr>
      <w:r w:rsidRPr="00822799">
        <w:t xml:space="preserve">III – o prazo de vigência e a data da celebração; </w:t>
      </w:r>
    </w:p>
    <w:p w14:paraId="0BD71C9A" w14:textId="77777777" w:rsidR="00332EDA" w:rsidRPr="00822799" w:rsidRDefault="00332EDA" w:rsidP="006C6E0C">
      <w:pPr>
        <w:pStyle w:val="Default"/>
        <w:spacing w:before="120"/>
        <w:ind w:firstLine="1134"/>
        <w:jc w:val="both"/>
      </w:pPr>
      <w:r w:rsidRPr="00822799">
        <w:t xml:space="preserve">IV – a indicação da dotação orçamentária completa, a qual se ache vinculada a transferência; </w:t>
      </w:r>
    </w:p>
    <w:p w14:paraId="5670FD9C" w14:textId="77777777" w:rsidR="00332EDA" w:rsidRPr="00822799" w:rsidRDefault="00332EDA" w:rsidP="006C6E0C">
      <w:pPr>
        <w:pStyle w:val="Default"/>
        <w:spacing w:before="120"/>
        <w:ind w:firstLine="1134"/>
        <w:jc w:val="both"/>
      </w:pPr>
      <w:r w:rsidRPr="00822799">
        <w:t xml:space="preserve">V – a indicação dos agentes públicos, integrantes do quadro de pessoal efetivo do concedente, responsáveis pelo acompanhamento e fiscalização; </w:t>
      </w:r>
    </w:p>
    <w:p w14:paraId="47BE3651" w14:textId="77777777" w:rsidR="00332EDA" w:rsidRPr="00822799" w:rsidRDefault="00332EDA" w:rsidP="006C6E0C">
      <w:pPr>
        <w:pStyle w:val="Default"/>
        <w:spacing w:before="120"/>
        <w:ind w:firstLine="1134"/>
        <w:jc w:val="both"/>
      </w:pPr>
      <w:r w:rsidRPr="00822799">
        <w:t xml:space="preserve">VI – a forma de execução do acompanhamento e da fiscalização, que deverá ocorrer por meio de relatórios, inspeções, visitas e a emissão de certificado ou relatórios, conforme especificado nesta Resolução; </w:t>
      </w:r>
    </w:p>
    <w:p w14:paraId="6736A9CC" w14:textId="77777777" w:rsidR="00332EDA" w:rsidRPr="00822799" w:rsidRDefault="00332EDA" w:rsidP="006C6E0C">
      <w:pPr>
        <w:pStyle w:val="Default"/>
        <w:spacing w:before="120"/>
        <w:ind w:firstLine="1134"/>
        <w:jc w:val="both"/>
      </w:pPr>
      <w:r w:rsidRPr="00822799">
        <w:t xml:space="preserve">VII – as hipóteses de rescisão. </w:t>
      </w:r>
    </w:p>
    <w:p w14:paraId="371CF849" w14:textId="77777777" w:rsidR="00332EDA" w:rsidRPr="00822799" w:rsidRDefault="00332EDA" w:rsidP="006C6E0C">
      <w:pPr>
        <w:pStyle w:val="Default"/>
        <w:spacing w:before="120"/>
        <w:ind w:firstLine="1134"/>
        <w:jc w:val="both"/>
      </w:pPr>
      <w:r w:rsidRPr="00822799">
        <w:t xml:space="preserve">§ 1º As condições do termo de transferência originalmente celebrado entre as partes somente podem ser alteradas mediante a celebração de regular termo aditivo, o qual deverá ser publicado no órgão oficial de imprensa do concedente. </w:t>
      </w:r>
    </w:p>
    <w:p w14:paraId="6D6DE80D" w14:textId="77777777" w:rsidR="00332EDA" w:rsidRPr="00822799" w:rsidRDefault="00332EDA" w:rsidP="006C6E0C">
      <w:pPr>
        <w:pStyle w:val="Default"/>
        <w:spacing w:before="120"/>
        <w:ind w:firstLine="1134"/>
        <w:jc w:val="both"/>
      </w:pPr>
      <w:r w:rsidRPr="00822799">
        <w:t xml:space="preserve">§ 2º Para dar atendimento ao contido no inciso IV, o concedente deverá utilizar a classificação orçamentária, em estrita conformidade com a Portaria Interministerial nº 163, de 4 de maio de 2001, e suas alterações, e demais atos normativos aplicáveis, conforme vier a ser discriminado por Instrução Normativa. </w:t>
      </w:r>
    </w:p>
    <w:p w14:paraId="2C6C2B44" w14:textId="77777777" w:rsidR="00332EDA" w:rsidRDefault="00332EDA" w:rsidP="006C6E0C">
      <w:pPr>
        <w:pStyle w:val="Default"/>
        <w:spacing w:before="120"/>
        <w:ind w:firstLine="1134"/>
        <w:jc w:val="both"/>
      </w:pPr>
      <w:r>
        <w:rPr>
          <w:b/>
          <w:bCs/>
        </w:rPr>
        <w:t xml:space="preserve">Art. 7º </w:t>
      </w:r>
      <w:r>
        <w:t xml:space="preserve">Quando a transferência for formalizada por meio de termo de parceria ou contrato de gestão celebrado entre o concedente e tomadores qualificados como Organização da Sociedade Civil de Interesse Público – OSCIP, ou Organização Social – OS, deverão ser apresentados, entre outros, os seguintes documentos: </w:t>
      </w:r>
    </w:p>
    <w:p w14:paraId="4CC4A2F3" w14:textId="77777777" w:rsidR="00332EDA" w:rsidRPr="00822799" w:rsidRDefault="00332EDA" w:rsidP="006C6E0C">
      <w:pPr>
        <w:spacing w:before="120"/>
        <w:ind w:firstLine="1134"/>
        <w:jc w:val="both"/>
        <w:rPr>
          <w:rFonts w:ascii="Arial" w:hAnsi="Arial" w:cs="Arial"/>
          <w:sz w:val="24"/>
          <w:szCs w:val="24"/>
        </w:rPr>
      </w:pPr>
      <w:r w:rsidRPr="00822799">
        <w:rPr>
          <w:rFonts w:ascii="Arial" w:hAnsi="Arial" w:cs="Arial"/>
          <w:sz w:val="24"/>
          <w:szCs w:val="24"/>
        </w:rPr>
        <w:t xml:space="preserve">I </w:t>
      </w:r>
      <w:r w:rsidRPr="00822799">
        <w:rPr>
          <w:rFonts w:ascii="Arial" w:hAnsi="Arial" w:cs="Arial"/>
          <w:color w:val="000000"/>
          <w:sz w:val="24"/>
          <w:szCs w:val="24"/>
        </w:rPr>
        <w:t>–</w:t>
      </w:r>
      <w:r w:rsidRPr="00822799">
        <w:rPr>
          <w:rFonts w:ascii="Arial" w:hAnsi="Arial" w:cs="Arial"/>
          <w:sz w:val="24"/>
          <w:szCs w:val="24"/>
        </w:rPr>
        <w:t xml:space="preserve"> certificado de qualificação emitido pela órgão competente;</w:t>
      </w:r>
    </w:p>
    <w:p w14:paraId="2EAC168D" w14:textId="77777777" w:rsidR="00332EDA" w:rsidRPr="00822799" w:rsidRDefault="00332EDA" w:rsidP="006C6E0C">
      <w:pPr>
        <w:pStyle w:val="Default"/>
        <w:spacing w:before="120"/>
        <w:ind w:firstLine="1134"/>
        <w:jc w:val="both"/>
      </w:pPr>
      <w:r w:rsidRPr="00822799">
        <w:t xml:space="preserve">II – a justificativa do Poder Público para firmar o contrato de gestão ou o termo de parceria, com indicações sobre as atividades a serem executadas e entidades que manifestaram interesse na celebração do referido contrato; </w:t>
      </w:r>
    </w:p>
    <w:p w14:paraId="1AE9E3A3" w14:textId="77777777" w:rsidR="00332EDA" w:rsidRPr="00822799" w:rsidRDefault="00332EDA" w:rsidP="006C6E0C">
      <w:pPr>
        <w:pStyle w:val="Default"/>
        <w:spacing w:before="120"/>
        <w:ind w:firstLine="1134"/>
        <w:jc w:val="both"/>
      </w:pPr>
      <w:r w:rsidRPr="00822799">
        <w:t xml:space="preserve">III – aprovação pelo Conselho de Política Pública da área de atuação correspondente ao objeto da parceria; </w:t>
      </w:r>
    </w:p>
    <w:p w14:paraId="19CE9179" w14:textId="77777777" w:rsidR="00332EDA" w:rsidRPr="00822799" w:rsidRDefault="00332EDA" w:rsidP="006C6E0C">
      <w:pPr>
        <w:pStyle w:val="Default"/>
        <w:spacing w:before="120"/>
        <w:ind w:firstLine="1134"/>
        <w:jc w:val="both"/>
      </w:pPr>
      <w:r w:rsidRPr="00822799">
        <w:t xml:space="preserve">IV – aprovação da parceria (contrato de gestão/termo de parceria) pelo Conselho de Administração da entidade; </w:t>
      </w:r>
    </w:p>
    <w:p w14:paraId="24AF9DB5" w14:textId="77777777" w:rsidR="00332EDA" w:rsidRPr="00822799" w:rsidRDefault="00332EDA" w:rsidP="006C6E0C">
      <w:pPr>
        <w:pStyle w:val="Default"/>
        <w:spacing w:before="120"/>
        <w:ind w:firstLine="1134"/>
        <w:jc w:val="both"/>
      </w:pPr>
      <w:r w:rsidRPr="00822799">
        <w:t xml:space="preserve">V – os nomes dos dirigentes e dos conselheiros da entidade, valor e forma de remuneração, os cargos ocupados e respectivos períodos de atuação. </w:t>
      </w:r>
    </w:p>
    <w:p w14:paraId="0041FEED" w14:textId="77777777" w:rsidR="00332EDA" w:rsidRDefault="00332EDA" w:rsidP="006C6E0C">
      <w:pPr>
        <w:pStyle w:val="Default"/>
        <w:spacing w:before="120"/>
        <w:ind w:firstLine="1134"/>
        <w:jc w:val="both"/>
      </w:pPr>
      <w:r>
        <w:rPr>
          <w:b/>
        </w:rPr>
        <w:t>Art. 8º</w:t>
      </w:r>
      <w:r>
        <w:t xml:space="preserve"> Constitui parte integrante do termo de transferência o Plano de Trabalho, previamente aprovado pelo concedente do recurso.</w:t>
      </w:r>
    </w:p>
    <w:p w14:paraId="7EDD7939" w14:textId="77777777" w:rsidR="00332EDA" w:rsidRPr="00822799" w:rsidRDefault="00332EDA" w:rsidP="006C6E0C">
      <w:pPr>
        <w:pStyle w:val="Default"/>
        <w:spacing w:before="120"/>
        <w:ind w:firstLine="1134"/>
        <w:jc w:val="both"/>
      </w:pPr>
      <w:r w:rsidRPr="00822799">
        <w:t>§ 1º O plano de trabalho deverá contemplar, no mínimo:</w:t>
      </w:r>
    </w:p>
    <w:p w14:paraId="11808994" w14:textId="77777777" w:rsidR="00332EDA" w:rsidRPr="00822799" w:rsidRDefault="00332EDA" w:rsidP="006C6E0C">
      <w:pPr>
        <w:pStyle w:val="Default"/>
        <w:spacing w:before="120"/>
        <w:ind w:firstLine="1134"/>
        <w:jc w:val="both"/>
      </w:pPr>
      <w:r w:rsidRPr="00822799">
        <w:lastRenderedPageBreak/>
        <w:t xml:space="preserve">I – a identificação do objeto a ser executado; </w:t>
      </w:r>
    </w:p>
    <w:p w14:paraId="0B2ABD06" w14:textId="77777777" w:rsidR="00332EDA" w:rsidRPr="00822799" w:rsidRDefault="00332EDA" w:rsidP="006C6E0C">
      <w:pPr>
        <w:pStyle w:val="Default"/>
        <w:spacing w:before="120"/>
        <w:ind w:firstLine="1134"/>
        <w:jc w:val="both"/>
      </w:pPr>
      <w:r w:rsidRPr="00822799">
        <w:t xml:space="preserve">II – razões que justifiquem a formalização do ato de transferência; </w:t>
      </w:r>
    </w:p>
    <w:p w14:paraId="01A242E2" w14:textId="77777777" w:rsidR="00332EDA" w:rsidRPr="00822799" w:rsidRDefault="00332EDA" w:rsidP="006C6E0C">
      <w:pPr>
        <w:spacing w:before="120"/>
        <w:ind w:right="567" w:firstLine="1134"/>
        <w:jc w:val="both"/>
        <w:rPr>
          <w:rFonts w:ascii="Arial" w:hAnsi="Arial" w:cs="Arial"/>
          <w:sz w:val="24"/>
          <w:szCs w:val="24"/>
        </w:rPr>
      </w:pPr>
      <w:r w:rsidRPr="00822799">
        <w:rPr>
          <w:rFonts w:ascii="Arial" w:hAnsi="Arial" w:cs="Arial"/>
          <w:sz w:val="24"/>
          <w:szCs w:val="24"/>
        </w:rPr>
        <w:t>III – definição e detalhamento das metas a serem atingidas;</w:t>
      </w:r>
    </w:p>
    <w:p w14:paraId="48EC9851" w14:textId="77777777" w:rsidR="00332EDA" w:rsidRPr="00822799" w:rsidRDefault="00332EDA" w:rsidP="006C6E0C">
      <w:pPr>
        <w:pStyle w:val="Default"/>
        <w:spacing w:before="120"/>
        <w:ind w:firstLine="1134"/>
        <w:jc w:val="both"/>
      </w:pPr>
      <w:r w:rsidRPr="00822799">
        <w:t xml:space="preserve">IV – as etapas ou fases de execução; </w:t>
      </w:r>
    </w:p>
    <w:p w14:paraId="379C2874" w14:textId="77777777" w:rsidR="00332EDA" w:rsidRPr="00822799" w:rsidRDefault="00332EDA" w:rsidP="006C6E0C">
      <w:pPr>
        <w:pStyle w:val="Default"/>
        <w:spacing w:before="120"/>
        <w:ind w:firstLine="1134"/>
        <w:jc w:val="both"/>
      </w:pPr>
      <w:r w:rsidRPr="00822799">
        <w:t xml:space="preserve">V – o plano de aplicação dos recursos; </w:t>
      </w:r>
    </w:p>
    <w:p w14:paraId="7CC8C4F3" w14:textId="77777777" w:rsidR="00332EDA" w:rsidRPr="00822799" w:rsidRDefault="00332EDA" w:rsidP="006C6E0C">
      <w:pPr>
        <w:pStyle w:val="Default"/>
        <w:spacing w:before="120"/>
        <w:ind w:firstLine="1134"/>
        <w:jc w:val="both"/>
      </w:pPr>
      <w:r w:rsidRPr="00822799">
        <w:t xml:space="preserve">VI – o cronograma físico-financeiro de desembolso; </w:t>
      </w:r>
    </w:p>
    <w:p w14:paraId="3D38A42D" w14:textId="77777777" w:rsidR="00332EDA" w:rsidRPr="00822799" w:rsidRDefault="00332EDA" w:rsidP="006C6E0C">
      <w:pPr>
        <w:pStyle w:val="Default"/>
        <w:spacing w:before="120"/>
        <w:ind w:firstLine="1134"/>
        <w:jc w:val="both"/>
      </w:pPr>
      <w:r w:rsidRPr="00822799">
        <w:t xml:space="preserve">VII – previsão de início e fim da execução do objeto, bem assim da conclusão das etapas ou fases programadas. </w:t>
      </w:r>
    </w:p>
    <w:p w14:paraId="40FF1C9A" w14:textId="77777777" w:rsidR="00332EDA" w:rsidRDefault="00332EDA" w:rsidP="006C6E0C">
      <w:pPr>
        <w:pStyle w:val="Default"/>
        <w:spacing w:before="120"/>
        <w:ind w:firstLine="1134"/>
        <w:jc w:val="both"/>
      </w:pPr>
      <w:r w:rsidRPr="00822799">
        <w:t>§ 2° A aplicação dos recursos de forma diversa do que houver sido originalmente estabelecido pelo Plano de Trabalho exige a prévia alteração deste e sua aprovação</w:t>
      </w:r>
      <w:r>
        <w:t xml:space="preserve"> pelo concedente, observada, sempre, a compatibilidade com o objeto do convênio. </w:t>
      </w:r>
    </w:p>
    <w:p w14:paraId="15F91A03" w14:textId="77777777" w:rsidR="00332EDA" w:rsidRDefault="00332EDA" w:rsidP="006C6E0C">
      <w:pPr>
        <w:pStyle w:val="Default"/>
        <w:spacing w:before="120"/>
        <w:ind w:firstLine="1134"/>
        <w:jc w:val="both"/>
      </w:pPr>
      <w:r>
        <w:rPr>
          <w:b/>
          <w:bCs/>
        </w:rPr>
        <w:t xml:space="preserve">Art. 9º </w:t>
      </w:r>
      <w:r>
        <w:t xml:space="preserve">É vedada a inclusão, no termo de transferência, sob pena de nulidade, de sustação do ato e de imputação de responsabilidade pessoal ao gestor e ao representante legal do órgão concedente, de cláusulas ou de condições que prevejam ou permitam: </w:t>
      </w:r>
    </w:p>
    <w:p w14:paraId="1067A54E" w14:textId="77777777" w:rsidR="00332EDA" w:rsidRPr="00822799" w:rsidRDefault="00332EDA" w:rsidP="006C6E0C">
      <w:pPr>
        <w:pStyle w:val="Default"/>
        <w:spacing w:before="120"/>
        <w:ind w:firstLine="1134"/>
        <w:jc w:val="both"/>
      </w:pPr>
      <w:r w:rsidRPr="00822799">
        <w:t xml:space="preserve">I – realização de despesas a título de taxa de administração, de gerência ou similar; </w:t>
      </w:r>
    </w:p>
    <w:p w14:paraId="733D6E5C" w14:textId="77777777" w:rsidR="00332EDA" w:rsidRPr="00822799" w:rsidRDefault="00332EDA" w:rsidP="006C6E0C">
      <w:pPr>
        <w:pStyle w:val="Default"/>
        <w:spacing w:before="120"/>
        <w:ind w:firstLine="1134"/>
        <w:jc w:val="both"/>
      </w:pPr>
      <w:r w:rsidRPr="00822799">
        <w:t xml:space="preserve">II – pagamento, a qualquer título, com recursos da transferência, de servidor ou empregado integrante de quadro de pessoal da administração pública, direta ou indireta, por quaisquer serviços, inclusive de consultoria ou de assistência técnica, ressalvadas as hipóteses previstas em lei; </w:t>
      </w:r>
    </w:p>
    <w:p w14:paraId="16BFB523" w14:textId="77777777" w:rsidR="00332EDA" w:rsidRPr="00822799" w:rsidRDefault="00332EDA" w:rsidP="006C6E0C">
      <w:pPr>
        <w:pStyle w:val="Default"/>
        <w:spacing w:before="120"/>
        <w:ind w:firstLine="1134"/>
        <w:jc w:val="both"/>
      </w:pPr>
      <w:r w:rsidRPr="00822799">
        <w:t xml:space="preserve">III – pagamento de profissionais não vinculados à execução do objeto do termo de transferência; </w:t>
      </w:r>
    </w:p>
    <w:p w14:paraId="5394C0FA" w14:textId="77777777" w:rsidR="00332EDA" w:rsidRPr="00822799" w:rsidRDefault="00332EDA" w:rsidP="006C6E0C">
      <w:pPr>
        <w:pStyle w:val="Default"/>
        <w:spacing w:before="120"/>
        <w:ind w:firstLine="1134"/>
        <w:jc w:val="both"/>
      </w:pPr>
      <w:r w:rsidRPr="00822799">
        <w:t xml:space="preserve">IV – aplicação dos recursos em finalidade diversa da estabelecida no termo, ainda que em caráter de emergência; </w:t>
      </w:r>
    </w:p>
    <w:p w14:paraId="0CBC18AE" w14:textId="77777777" w:rsidR="00332EDA" w:rsidRPr="00822799" w:rsidRDefault="00332EDA" w:rsidP="006C6E0C">
      <w:pPr>
        <w:pStyle w:val="Default"/>
        <w:spacing w:before="120"/>
        <w:ind w:firstLine="1134"/>
        <w:jc w:val="both"/>
      </w:pPr>
      <w:r w:rsidRPr="00822799">
        <w:t xml:space="preserve">V – realização de despesas em data anterior ou posterior à sua vigência; </w:t>
      </w:r>
    </w:p>
    <w:p w14:paraId="270B873B" w14:textId="77777777" w:rsidR="00332EDA" w:rsidRPr="00822799" w:rsidRDefault="00332EDA" w:rsidP="006C6E0C">
      <w:pPr>
        <w:pStyle w:val="Default"/>
        <w:spacing w:before="120"/>
        <w:ind w:firstLine="1134"/>
        <w:jc w:val="both"/>
      </w:pPr>
      <w:r w:rsidRPr="00822799">
        <w:t xml:space="preserve">VI – atribuição de vigência ou de efeitos financeiros retroativos; </w:t>
      </w:r>
    </w:p>
    <w:p w14:paraId="004FA8DF" w14:textId="77777777" w:rsidR="00332EDA" w:rsidRPr="00822799" w:rsidRDefault="00332EDA" w:rsidP="006C6E0C">
      <w:pPr>
        <w:pStyle w:val="Default"/>
        <w:spacing w:before="120"/>
        <w:ind w:firstLine="1134"/>
        <w:jc w:val="both"/>
      </w:pPr>
      <w:r w:rsidRPr="00822799">
        <w:t xml:space="preserve">VII – pagamento de taxas bancárias, multas, juros ou atualização monetária, decorrentes de culpa de agente do tomador dos recursos ou pelo descumprimento de determinações legais ou conveniais; </w:t>
      </w:r>
    </w:p>
    <w:p w14:paraId="0B0E1C9A" w14:textId="77777777" w:rsidR="00332EDA" w:rsidRPr="00822799" w:rsidRDefault="00332EDA" w:rsidP="006C6E0C">
      <w:pPr>
        <w:pStyle w:val="Default"/>
        <w:spacing w:before="120"/>
        <w:ind w:firstLine="1134"/>
        <w:jc w:val="both"/>
      </w:pPr>
      <w:r w:rsidRPr="00822799">
        <w:t xml:space="preserve">VIII – realização de despesa com publicidade, salvo a de caráter educativo, informativo ou de orientação social, que esteja diretamente vinculada com o objeto do termo de transferência e da qual não constem nomes, símbolos, imagens ou quaisquer referências que caracterizem promoção pessoal de autoridades ou de servidores públicos; </w:t>
      </w:r>
    </w:p>
    <w:p w14:paraId="376BEC28" w14:textId="77777777" w:rsidR="00332EDA" w:rsidRPr="00822799" w:rsidRDefault="00332EDA" w:rsidP="006C6E0C">
      <w:pPr>
        <w:pStyle w:val="Default"/>
        <w:spacing w:before="120"/>
        <w:ind w:firstLine="1134"/>
        <w:jc w:val="both"/>
      </w:pPr>
      <w:r w:rsidRPr="00822799">
        <w:t xml:space="preserve">IX – repasse, cessão ou transferência a terceiros da execução do objeto do ato de transferência; transferência de recursos a terceiros que não figurem como partícipes do termo de transferência; </w:t>
      </w:r>
    </w:p>
    <w:p w14:paraId="424F82D4" w14:textId="77777777" w:rsidR="00332EDA" w:rsidRPr="00822799" w:rsidRDefault="00332EDA" w:rsidP="006C6E0C">
      <w:pPr>
        <w:pStyle w:val="Default"/>
        <w:spacing w:before="120"/>
        <w:ind w:firstLine="1134"/>
        <w:jc w:val="both"/>
      </w:pPr>
      <w:r w:rsidRPr="00822799">
        <w:lastRenderedPageBreak/>
        <w:t xml:space="preserve">X – transferência de recursos para associações de servidores ou a quaisquer entidades de benefício mútuo, destinadas a proporcionar bens ou serviços a um círculo restrito de associados ou sócios; </w:t>
      </w:r>
    </w:p>
    <w:p w14:paraId="7F5AD46E" w14:textId="77777777" w:rsidR="00332EDA" w:rsidRPr="00822799" w:rsidRDefault="00332EDA" w:rsidP="006C6E0C">
      <w:pPr>
        <w:pStyle w:val="Default"/>
        <w:spacing w:before="120"/>
        <w:ind w:firstLine="1134"/>
        <w:jc w:val="both"/>
      </w:pPr>
      <w:r w:rsidRPr="00822799">
        <w:t xml:space="preserve">XI – a transferência de recursos a título de contribuição, auxílio ou subvenção social a instituições privadas com fins lucrativos e a instituições privadas sem fins lucrativos não declaradas de utilidade pública; </w:t>
      </w:r>
    </w:p>
    <w:p w14:paraId="5A9482DC" w14:textId="77777777" w:rsidR="00332EDA" w:rsidRPr="00822799" w:rsidRDefault="00332EDA" w:rsidP="006C6E0C">
      <w:pPr>
        <w:pStyle w:val="Default"/>
        <w:spacing w:before="120"/>
        <w:ind w:firstLine="1134"/>
        <w:jc w:val="both"/>
      </w:pPr>
      <w:r w:rsidRPr="00822799">
        <w:t xml:space="preserve">XII – transferência de recursos às entidades privadas sem fins lucrativos que tenham como dirigentes ou controladores: </w:t>
      </w:r>
    </w:p>
    <w:p w14:paraId="0E6D185A" w14:textId="77777777" w:rsidR="00332EDA" w:rsidRPr="00822799" w:rsidRDefault="00332EDA" w:rsidP="006C6E0C">
      <w:pPr>
        <w:pStyle w:val="Default"/>
        <w:spacing w:before="120"/>
        <w:ind w:firstLine="1134"/>
        <w:jc w:val="both"/>
      </w:pPr>
      <w:r w:rsidRPr="00822799">
        <w:t>a)</w:t>
      </w:r>
      <w:r w:rsidRPr="00822799">
        <w:rPr>
          <w:i/>
          <w:iCs/>
        </w:rPr>
        <w:t xml:space="preserve"> </w:t>
      </w:r>
      <w:r w:rsidRPr="00822799">
        <w:t xml:space="preserve">membros do Poder Executivo do concedente dos recursos ou do Legislativo Municipal ou Estadual, conforme o caso, bem como seus respectivos cônjuges, companheiros e parentes em linha reta, colateral ou por afinidade até o 3º grau; </w:t>
      </w:r>
    </w:p>
    <w:p w14:paraId="0A4BF3CA" w14:textId="77777777" w:rsidR="00332EDA" w:rsidRDefault="00332EDA" w:rsidP="006C6E0C">
      <w:pPr>
        <w:pStyle w:val="Default"/>
        <w:spacing w:before="120"/>
        <w:ind w:firstLine="1134"/>
        <w:jc w:val="both"/>
      </w:pPr>
      <w:r w:rsidRPr="00822799">
        <w:t>b)</w:t>
      </w:r>
      <w:r w:rsidRPr="00822799">
        <w:rPr>
          <w:i/>
          <w:iCs/>
        </w:rPr>
        <w:t xml:space="preserve"> </w:t>
      </w:r>
      <w:r w:rsidRPr="00822799">
        <w:t>servidor público vinculado ao Poder Executivo do concedente dos recursos ou do Legislativo Municipal ou Estadual, conforme o caso, bem como seus respectivos cônjuges, companheiros e parentes em linha reta, colateral ou por afinidade até o 3º grau, salvo se comprovada a inexistência de conflito com o interesse</w:t>
      </w:r>
      <w:r>
        <w:t xml:space="preserve"> público. </w:t>
      </w:r>
    </w:p>
    <w:p w14:paraId="1ED43D9D" w14:textId="77777777" w:rsidR="00332EDA" w:rsidRDefault="00332EDA" w:rsidP="006C6E0C">
      <w:pPr>
        <w:spacing w:before="120"/>
        <w:ind w:firstLine="1134"/>
        <w:jc w:val="both"/>
        <w:rPr>
          <w:rFonts w:ascii="Arial" w:hAnsi="Arial" w:cs="Arial"/>
          <w:sz w:val="24"/>
          <w:szCs w:val="24"/>
        </w:rPr>
      </w:pPr>
      <w:r w:rsidRPr="00822799">
        <w:rPr>
          <w:rFonts w:ascii="Arial" w:hAnsi="Arial" w:cs="Arial"/>
          <w:sz w:val="24"/>
          <w:szCs w:val="24"/>
        </w:rPr>
        <w:t>Parágrafo único.</w:t>
      </w:r>
      <w:r>
        <w:rPr>
          <w:rFonts w:ascii="Arial" w:hAnsi="Arial" w:cs="Arial"/>
          <w:b/>
          <w:bCs/>
          <w:sz w:val="24"/>
          <w:szCs w:val="24"/>
        </w:rPr>
        <w:t xml:space="preserve"> </w:t>
      </w:r>
      <w:r>
        <w:rPr>
          <w:rFonts w:ascii="Arial" w:hAnsi="Arial" w:cs="Arial"/>
          <w:sz w:val="24"/>
          <w:szCs w:val="24"/>
        </w:rPr>
        <w:t>Os recursos públicos deverão ser repassados diretamente à entidade executora do objeto do termo de transferência, sendo vedado o repasse intermediado por órgãos ou agentes públicos ou não.</w:t>
      </w:r>
    </w:p>
    <w:p w14:paraId="4F4C7079" w14:textId="77777777" w:rsidR="00332EDA" w:rsidRDefault="00332EDA" w:rsidP="006C6E0C">
      <w:pPr>
        <w:pStyle w:val="Default"/>
        <w:spacing w:before="120"/>
        <w:ind w:firstLine="1134"/>
        <w:jc w:val="both"/>
      </w:pPr>
      <w:r>
        <w:rPr>
          <w:b/>
          <w:bCs/>
        </w:rPr>
        <w:t xml:space="preserve">Art. 10. </w:t>
      </w:r>
      <w:r>
        <w:t xml:space="preserve">Quando o objeto da transferência consistir na execução de obra ou de serviço de engenharia, além do que vier a ser disciplinado por Instrução Normativa, também deverão ser observadas as Resoluções nº 4/2006 e nº 25/2011 deste Tribunal de Contas, e demais normas aplicáveis à espécie. </w:t>
      </w:r>
    </w:p>
    <w:p w14:paraId="4283B3E3" w14:textId="77777777" w:rsidR="00332EDA" w:rsidRPr="00822799" w:rsidRDefault="00332EDA" w:rsidP="006C6E0C">
      <w:pPr>
        <w:pStyle w:val="Default"/>
        <w:spacing w:before="120"/>
        <w:ind w:firstLine="1134"/>
        <w:jc w:val="both"/>
      </w:pPr>
      <w:r w:rsidRPr="00822799">
        <w:t xml:space="preserve">§ 1º A aplicação de recursos públicos na construção, ampliação ou reforma de imóvel pertencente à entidade privada sem fins lucrativos somente poderá ocorrer quando o estatuto social da entidade previr, em caso de sua extinção ou de cessação de suas atividades, a destinação do imóvel para outra instituição congênere ou ao Poder Público. </w:t>
      </w:r>
    </w:p>
    <w:p w14:paraId="5198F4D0" w14:textId="77777777" w:rsidR="00332EDA" w:rsidRDefault="00332EDA" w:rsidP="006C6E0C">
      <w:pPr>
        <w:pStyle w:val="Default"/>
        <w:spacing w:before="120"/>
        <w:ind w:firstLine="1134"/>
        <w:jc w:val="both"/>
      </w:pPr>
      <w:r w:rsidRPr="00822799">
        <w:t>§ 2º Deverá ser comprovado pelo tomador que ele dispõe de recursos próprios para</w:t>
      </w:r>
      <w:r>
        <w:t xml:space="preserve"> complementar a execução da obra, salvo se o custo total do empreendimento recair sobre o concedente. </w:t>
      </w:r>
    </w:p>
    <w:p w14:paraId="73F4B83C" w14:textId="77777777" w:rsidR="00332EDA" w:rsidRDefault="00332EDA" w:rsidP="006C6E0C">
      <w:pPr>
        <w:pStyle w:val="Default"/>
        <w:spacing w:before="120"/>
        <w:ind w:firstLine="1134"/>
        <w:jc w:val="both"/>
      </w:pPr>
      <w:r>
        <w:rPr>
          <w:b/>
          <w:bCs/>
        </w:rPr>
        <w:t xml:space="preserve">Art. 11. </w:t>
      </w:r>
      <w:r>
        <w:t xml:space="preserve">Os equipamentos e demais bens adquiridos com recursos do ato de transferência poderão, a critério do concedente, e na forma da lei, ser doados ao tomador dos recursos quando, depois da execução do objeto, forem necessários para assegurar a continuidade de programa governamental, observado o que tenha sido previsto no termo de transferência. </w:t>
      </w:r>
    </w:p>
    <w:p w14:paraId="7EA36E31" w14:textId="77777777" w:rsidR="006C6E0C" w:rsidRDefault="006C6E0C" w:rsidP="006C6E0C">
      <w:pPr>
        <w:pStyle w:val="Default"/>
        <w:spacing w:before="120"/>
        <w:ind w:firstLine="1134"/>
        <w:jc w:val="both"/>
      </w:pPr>
    </w:p>
    <w:p w14:paraId="0E4CCC7D" w14:textId="77777777" w:rsidR="00332EDA" w:rsidRDefault="00332EDA" w:rsidP="00555F77">
      <w:pPr>
        <w:pStyle w:val="RICaptulo"/>
      </w:pPr>
      <w:r>
        <w:lastRenderedPageBreak/>
        <w:t>CAPÍTULO III</w:t>
      </w:r>
      <w:r>
        <w:br/>
        <w:t>DO REPASSE DE RECURSOS E DA MOVIMENTAÇÃO FINANCEIRA</w:t>
      </w:r>
    </w:p>
    <w:p w14:paraId="334D8019" w14:textId="77777777" w:rsidR="00332EDA" w:rsidRDefault="00332EDA" w:rsidP="006C6E0C">
      <w:pPr>
        <w:spacing w:before="120"/>
        <w:ind w:firstLine="1134"/>
        <w:jc w:val="both"/>
        <w:rPr>
          <w:rFonts w:ascii="Arial" w:hAnsi="Arial" w:cs="Arial"/>
          <w:sz w:val="24"/>
          <w:szCs w:val="24"/>
        </w:rPr>
      </w:pPr>
      <w:r>
        <w:rPr>
          <w:rFonts w:ascii="Arial" w:hAnsi="Arial" w:cs="Arial"/>
          <w:b/>
          <w:bCs/>
          <w:sz w:val="24"/>
          <w:szCs w:val="24"/>
        </w:rPr>
        <w:t xml:space="preserve">Art. 12. </w:t>
      </w:r>
      <w:r>
        <w:rPr>
          <w:rFonts w:ascii="Arial" w:hAnsi="Arial" w:cs="Arial"/>
          <w:sz w:val="24"/>
          <w:szCs w:val="24"/>
        </w:rPr>
        <w:t>A liberação de recursos financeiros deve obedecer ao cronograma de desembolso previsto no Plano de Trabalho de que trata o art. 8º, VII, desta Resolução, e guardar consonância com as fases ou etapas de execução do objeto do ato de transferência voluntária, sob pena de aplicação das penalidades previstas na Lei Complementar nº 113/2005.</w:t>
      </w:r>
    </w:p>
    <w:p w14:paraId="3F380AC3" w14:textId="77777777" w:rsidR="00332EDA" w:rsidRDefault="00332EDA" w:rsidP="006C6E0C">
      <w:pPr>
        <w:pStyle w:val="Default"/>
        <w:spacing w:before="120"/>
        <w:ind w:firstLine="1134"/>
        <w:jc w:val="both"/>
      </w:pPr>
      <w:r>
        <w:rPr>
          <w:b/>
          <w:bCs/>
        </w:rPr>
        <w:t xml:space="preserve">Art. 13. </w:t>
      </w:r>
      <w:r>
        <w:t xml:space="preserve">Os recursos repassados e a contrapartida financeira, quando prevista pelo termo de transferência, deverão ser depositados e movimentados na mesma conta corrente específica em instituição financeira oficial. </w:t>
      </w:r>
    </w:p>
    <w:p w14:paraId="64019FD9" w14:textId="77777777" w:rsidR="00332EDA" w:rsidRPr="00822799" w:rsidRDefault="00332EDA" w:rsidP="006C6E0C">
      <w:pPr>
        <w:pStyle w:val="Default"/>
        <w:spacing w:before="120"/>
        <w:ind w:firstLine="1134"/>
        <w:jc w:val="both"/>
      </w:pPr>
      <w:r w:rsidRPr="00822799">
        <w:t xml:space="preserve">§ 1º Não havendo instituição financeira oficial na localidade do tomador dos recursos, os valores transferidos e a contrapartida poderão ser movimentados em agência bancária local, observada a legislação pertinente. </w:t>
      </w:r>
    </w:p>
    <w:p w14:paraId="2D5E2CD6" w14:textId="77777777" w:rsidR="00332EDA" w:rsidRPr="00822799" w:rsidRDefault="00332EDA" w:rsidP="006C6E0C">
      <w:pPr>
        <w:pStyle w:val="Default"/>
        <w:spacing w:before="120"/>
        <w:ind w:firstLine="1134"/>
        <w:jc w:val="both"/>
      </w:pPr>
      <w:r w:rsidRPr="00822799">
        <w:t xml:space="preserve">§ 2º Enquanto não empregados na sua finalidade, os recursos mencionados no </w:t>
      </w:r>
      <w:r w:rsidRPr="00822799">
        <w:rPr>
          <w:i/>
          <w:iCs/>
        </w:rPr>
        <w:t xml:space="preserve">caput </w:t>
      </w:r>
      <w:r w:rsidRPr="00822799">
        <w:t xml:space="preserve">deverão ser aplicados financeiramente nos termos do art. 116, § 4º, da Lei nº. 8.666, de 21 de junho de 1993, e da legislação própria do concedente. </w:t>
      </w:r>
    </w:p>
    <w:p w14:paraId="10EAE1E4" w14:textId="77777777" w:rsidR="00332EDA" w:rsidRPr="00822799" w:rsidRDefault="00332EDA" w:rsidP="006C6E0C">
      <w:pPr>
        <w:pStyle w:val="Default"/>
        <w:spacing w:before="120"/>
        <w:ind w:firstLine="1134"/>
        <w:jc w:val="both"/>
      </w:pPr>
      <w:r w:rsidRPr="00822799">
        <w:t xml:space="preserve">§ 3º As receitas financeiras auferidas na forma do parágrafo anterior serão obrigatoriamente computadas a crédito do termo de transferência e aplicadas exclusivamente no objeto de sua finalidade, devendo constar de demonstrativo específico que integrará as prestações de contas do ajuste. </w:t>
      </w:r>
    </w:p>
    <w:p w14:paraId="1DE89AA2" w14:textId="77777777" w:rsidR="00332EDA" w:rsidRPr="00822799" w:rsidRDefault="00332EDA" w:rsidP="006C6E0C">
      <w:pPr>
        <w:pStyle w:val="Default"/>
        <w:spacing w:before="120"/>
        <w:ind w:firstLine="1134"/>
        <w:jc w:val="both"/>
      </w:pPr>
      <w:r w:rsidRPr="00822799">
        <w:t xml:space="preserve">§ 4º Os recursos da conta específica somente poderão ser utilizados para pagamento de despesas previstas no plano de aplicação. </w:t>
      </w:r>
    </w:p>
    <w:p w14:paraId="7F80F22B" w14:textId="77777777" w:rsidR="00332EDA" w:rsidRDefault="00332EDA" w:rsidP="006C6E0C">
      <w:pPr>
        <w:pStyle w:val="Default"/>
        <w:spacing w:before="120"/>
        <w:ind w:firstLine="1134"/>
        <w:jc w:val="both"/>
      </w:pPr>
      <w:r w:rsidRPr="00822799">
        <w:t>§ 5º A</w:t>
      </w:r>
      <w:r>
        <w:t xml:space="preserve"> movimentação dos recursos somente poderá ocorrer mediante emissão de cheque nominativo, cruzado e não endossável; ordem bancária; transferência eletrônica ou outra modalidade que identifique a destinação dos recursos e, no caso de pagamento, o credor. </w:t>
      </w:r>
    </w:p>
    <w:p w14:paraId="10D75A1A" w14:textId="77777777" w:rsidR="00332EDA" w:rsidRDefault="00332EDA" w:rsidP="006C6E0C">
      <w:pPr>
        <w:pStyle w:val="Default"/>
        <w:spacing w:before="120"/>
        <w:ind w:firstLine="1134"/>
        <w:jc w:val="both"/>
      </w:pPr>
      <w:r>
        <w:rPr>
          <w:b/>
          <w:bCs/>
        </w:rPr>
        <w:t xml:space="preserve">Art. 14. </w:t>
      </w:r>
      <w:r>
        <w:t xml:space="preserve">A contrapartida, quando houver, deverá ser depositada, no mínimo, proporcionalmente, na mesma data da liberação da primeira ou da única parcela da transferência ou conforme estabelecido no ato da transferência ou no cronograma de desembolso. </w:t>
      </w:r>
    </w:p>
    <w:p w14:paraId="30A8624D" w14:textId="77777777" w:rsidR="00332EDA" w:rsidRDefault="00332EDA" w:rsidP="006C6E0C">
      <w:pPr>
        <w:pStyle w:val="Default"/>
        <w:spacing w:before="120"/>
        <w:ind w:firstLine="1134"/>
        <w:jc w:val="both"/>
      </w:pPr>
      <w:r w:rsidRPr="00822799">
        <w:t>Parágrafo único.</w:t>
      </w:r>
      <w:r>
        <w:t xml:space="preserve"> Nos casos em que a contrapartida do tomador for fixada em bens ou serviços, o respectivo valor deverá ser expresso em reais, devendo constar do termo de transferência cláusula que indique a forma de aferição do valor correspondente em conformidade com os valores praticados no mercado ou, em caso de objetos padronizados, com parâmetros previamente estabelecidos. </w:t>
      </w:r>
    </w:p>
    <w:p w14:paraId="46CFE90E" w14:textId="77777777" w:rsidR="00332EDA" w:rsidRDefault="00332EDA" w:rsidP="006C6E0C">
      <w:pPr>
        <w:pStyle w:val="Default"/>
        <w:spacing w:before="120"/>
        <w:ind w:firstLine="1134"/>
        <w:jc w:val="both"/>
      </w:pPr>
      <w:r>
        <w:rPr>
          <w:b/>
          <w:bCs/>
        </w:rPr>
        <w:t xml:space="preserve">Art. 15. </w:t>
      </w:r>
      <w:r>
        <w:t xml:space="preserve">O saldo final da conta corrente específica deverá ser recolhido pelo tomador dos recursos à conta do concedente ou de acordo com o estipulado pelo termo de transferência, observada a legislação aplicável. </w:t>
      </w:r>
    </w:p>
    <w:p w14:paraId="312CAA0F" w14:textId="77777777" w:rsidR="00332EDA" w:rsidRDefault="00332EDA" w:rsidP="006C6E0C">
      <w:pPr>
        <w:pStyle w:val="Default"/>
        <w:spacing w:before="120"/>
        <w:ind w:firstLine="1134"/>
        <w:jc w:val="both"/>
      </w:pPr>
      <w:r w:rsidRPr="00822799">
        <w:lastRenderedPageBreak/>
        <w:t>Parágrafo único.</w:t>
      </w:r>
      <w:r>
        <w:rPr>
          <w:b/>
          <w:bCs/>
        </w:rPr>
        <w:t xml:space="preserve"> </w:t>
      </w:r>
      <w:r>
        <w:t xml:space="preserve">Para determinação do saldo a ser restituído, a comprovação das despesas ocorrerá, primeiramente, sobre o montante da contrapartida financeira. </w:t>
      </w:r>
    </w:p>
    <w:p w14:paraId="1984D17A" w14:textId="77777777" w:rsidR="00332EDA" w:rsidRDefault="00332EDA" w:rsidP="00332EDA">
      <w:pPr>
        <w:pStyle w:val="RICaptulo"/>
      </w:pPr>
      <w:r>
        <w:t>CAPÍTULO IV</w:t>
      </w:r>
      <w:r>
        <w:br/>
        <w:t>DA EXECUÇÃO</w:t>
      </w:r>
    </w:p>
    <w:p w14:paraId="1764E880" w14:textId="77777777" w:rsidR="00332EDA" w:rsidRDefault="00332EDA" w:rsidP="006C6E0C">
      <w:pPr>
        <w:pStyle w:val="Default"/>
        <w:spacing w:before="120"/>
        <w:ind w:firstLine="1134"/>
        <w:jc w:val="both"/>
      </w:pPr>
      <w:r>
        <w:rPr>
          <w:b/>
          <w:bCs/>
        </w:rPr>
        <w:t xml:space="preserve">Art. 16. </w:t>
      </w:r>
      <w:r>
        <w:t xml:space="preserve">Salvo motivo de caso fortuito ou de força maior devidamente justificado e comprovado ou, ainda, se expressamente estabelecido de forma diversa pelo plano de trabalho, o gestor deverá iniciar a execução do objeto do termo de transferência dentro de 30 (trinta) dias a partir do recebimento da primeira ou da única parcela dos recursos. </w:t>
      </w:r>
    </w:p>
    <w:p w14:paraId="15382C4D" w14:textId="77777777" w:rsidR="00332EDA" w:rsidRDefault="00332EDA" w:rsidP="006C6E0C">
      <w:pPr>
        <w:pStyle w:val="Default"/>
        <w:spacing w:before="120"/>
        <w:ind w:firstLine="1134"/>
        <w:jc w:val="both"/>
      </w:pPr>
      <w:r>
        <w:rPr>
          <w:b/>
          <w:bCs/>
        </w:rPr>
        <w:t xml:space="preserve">Art. 17. </w:t>
      </w:r>
      <w:r>
        <w:t xml:space="preserve">Além das exigências constantes desta Resolução, nos demais atos normativos do Tribunal de Contas e nas normas do concedente, cabe ao tomador dos recursos: </w:t>
      </w:r>
    </w:p>
    <w:p w14:paraId="2708497C" w14:textId="77777777" w:rsidR="00332EDA" w:rsidRPr="00822799" w:rsidRDefault="00332EDA" w:rsidP="006C6E0C">
      <w:pPr>
        <w:pStyle w:val="Default"/>
        <w:spacing w:before="120"/>
        <w:ind w:firstLine="1134"/>
        <w:jc w:val="both"/>
      </w:pPr>
      <w:r w:rsidRPr="00822799">
        <w:t xml:space="preserve">I – empregar os recursos exclusivamente para o cumprimento dos objetivos estabelecidos pelo termo de transferência; </w:t>
      </w:r>
    </w:p>
    <w:p w14:paraId="03F7E6C7" w14:textId="77777777" w:rsidR="00332EDA" w:rsidRPr="00822799" w:rsidRDefault="00332EDA" w:rsidP="006C6E0C">
      <w:pPr>
        <w:pStyle w:val="Default"/>
        <w:spacing w:before="120"/>
        <w:ind w:firstLine="1134"/>
        <w:jc w:val="both"/>
      </w:pPr>
      <w:r w:rsidRPr="00822799">
        <w:t xml:space="preserve">II – garantir o livre acesso, a qualquer tempo, dos servidores dos sistemas de controle interno e externo a todos os atos, fatos e documentos relacionados direta ou indiretamente com o instrumento pactuado; </w:t>
      </w:r>
    </w:p>
    <w:p w14:paraId="585D13C4" w14:textId="77777777" w:rsidR="00332EDA" w:rsidRPr="00822799" w:rsidRDefault="00332EDA" w:rsidP="006C6E0C">
      <w:pPr>
        <w:pStyle w:val="Default"/>
        <w:spacing w:before="120"/>
        <w:ind w:firstLine="1134"/>
        <w:jc w:val="both"/>
      </w:pPr>
      <w:r w:rsidRPr="00822799">
        <w:t xml:space="preserve">III – atender as recomendações, exigências e determinações do concedente dos recursos e dos agentes dos sistemas de controle interno e externo. </w:t>
      </w:r>
    </w:p>
    <w:p w14:paraId="05CC3E3E" w14:textId="77777777" w:rsidR="00332EDA" w:rsidRDefault="00332EDA" w:rsidP="006C6E0C">
      <w:pPr>
        <w:pStyle w:val="Default"/>
        <w:spacing w:before="120"/>
        <w:ind w:firstLine="1134"/>
        <w:jc w:val="both"/>
      </w:pPr>
      <w:r>
        <w:rPr>
          <w:b/>
          <w:bCs/>
        </w:rPr>
        <w:t xml:space="preserve">Art. 18. </w:t>
      </w:r>
      <w:r>
        <w:t xml:space="preserve">No caso de entidades privadas não sujeitas a regulamento próprio para aquisição de bens e contratação de obras e serviços, o gestor deverá observar os princípios inerentes à utilização de valores e bens públicos, entre os quais o da moralidade, da impessoalidade, da economicidade, da isonomia, da eficiência e da eficácia. </w:t>
      </w:r>
    </w:p>
    <w:p w14:paraId="077C838E" w14:textId="77777777" w:rsidR="00332EDA" w:rsidRPr="00822799" w:rsidRDefault="00332EDA" w:rsidP="006C6E0C">
      <w:pPr>
        <w:pStyle w:val="Default"/>
        <w:spacing w:before="120"/>
        <w:ind w:firstLine="1134"/>
        <w:jc w:val="both"/>
      </w:pPr>
      <w:r w:rsidRPr="00822799">
        <w:t xml:space="preserve">§ 1º O atendimento ao princípio da economicidade deverá ser comprovado mediante prévia pesquisa de preços junto a, no mínimo, 3 (três) fornecedores do ramo do bem ou do serviço a ser adquirido, sob pena de responsabilidade pelos atos de gestão antieconômica. </w:t>
      </w:r>
    </w:p>
    <w:p w14:paraId="4ECF8672" w14:textId="77777777" w:rsidR="00332EDA" w:rsidRPr="00822799" w:rsidRDefault="00332EDA" w:rsidP="006C6E0C">
      <w:pPr>
        <w:pStyle w:val="Default"/>
        <w:spacing w:before="120"/>
        <w:ind w:firstLine="1134"/>
        <w:jc w:val="both"/>
      </w:pPr>
      <w:r w:rsidRPr="00822799">
        <w:t xml:space="preserve">§ 2º Os orçamentos deverão estar datados e discriminados de maneira que permitam comprovar que foi assegurada a isonomia aos interessados para fornecer o bem ou o serviço cotado. </w:t>
      </w:r>
    </w:p>
    <w:p w14:paraId="0A65B589" w14:textId="77777777" w:rsidR="00332EDA" w:rsidRDefault="00332EDA" w:rsidP="006C6E0C">
      <w:pPr>
        <w:pStyle w:val="Default"/>
        <w:spacing w:before="120"/>
        <w:ind w:firstLine="1134"/>
        <w:jc w:val="both"/>
      </w:pPr>
      <w:r w:rsidRPr="00822799">
        <w:t>§ 3º É vedada a contratação de dirigentes da entidade tomadora dos recursos ou de</w:t>
      </w:r>
      <w:r>
        <w:t xml:space="preserve"> seus respectivos cônjuges, companheiros e parentes em linha reta, colateral ou por afinidade até o 2º grau, ou de empresa em que estes sejam </w:t>
      </w:r>
      <w:r w:rsidRPr="0058617A">
        <w:t>sócio cotistas</w:t>
      </w:r>
      <w:r>
        <w:t xml:space="preserve">, para prestação de serviços ou fornecimento de bens. </w:t>
      </w:r>
    </w:p>
    <w:p w14:paraId="7AF1EE61" w14:textId="77777777" w:rsidR="00332EDA" w:rsidRDefault="00332EDA" w:rsidP="006C6E0C">
      <w:pPr>
        <w:spacing w:before="120"/>
        <w:ind w:firstLine="1134"/>
        <w:jc w:val="both"/>
        <w:rPr>
          <w:rFonts w:ascii="Arial" w:hAnsi="Arial" w:cs="Arial"/>
          <w:sz w:val="24"/>
          <w:szCs w:val="24"/>
        </w:rPr>
      </w:pPr>
      <w:r>
        <w:rPr>
          <w:rFonts w:ascii="Arial" w:hAnsi="Arial" w:cs="Arial"/>
          <w:b/>
          <w:bCs/>
          <w:sz w:val="24"/>
          <w:szCs w:val="24"/>
        </w:rPr>
        <w:t xml:space="preserve">Art. 19. </w:t>
      </w:r>
      <w:r>
        <w:rPr>
          <w:rFonts w:ascii="Arial" w:hAnsi="Arial" w:cs="Arial"/>
          <w:sz w:val="24"/>
          <w:szCs w:val="24"/>
        </w:rPr>
        <w:t>A comprovação das despesas efetuadas se dará por notas fiscais e demais documentos comprobatórios, revestidos das formalidades legais, os quais deverão conter, além da descrição do bem ou do serviço adquirido, expressa menção ao número do convênio, seguido do ano e do nome ou da sigla do órgão concedente.</w:t>
      </w:r>
    </w:p>
    <w:p w14:paraId="2E53067C" w14:textId="77777777" w:rsidR="00332EDA" w:rsidRDefault="00332EDA" w:rsidP="006C6E0C">
      <w:pPr>
        <w:pStyle w:val="Default"/>
        <w:spacing w:before="120"/>
        <w:ind w:firstLine="1134"/>
        <w:jc w:val="both"/>
      </w:pPr>
      <w:r w:rsidRPr="00822799">
        <w:lastRenderedPageBreak/>
        <w:t>Parágrafo único.</w:t>
      </w:r>
      <w:r>
        <w:rPr>
          <w:b/>
          <w:bCs/>
        </w:rPr>
        <w:t xml:space="preserve"> </w:t>
      </w:r>
      <w:r>
        <w:t xml:space="preserve">O documento emitido deve ser legível, sem rasuras, e constar certificação do responsável pelo recebimento das mercadorias ou serviços prestados. </w:t>
      </w:r>
    </w:p>
    <w:p w14:paraId="1C2B4F04" w14:textId="77777777" w:rsidR="006C6E0C" w:rsidRDefault="006C6E0C" w:rsidP="006C6E0C">
      <w:pPr>
        <w:pStyle w:val="Default"/>
        <w:spacing w:before="120"/>
        <w:ind w:firstLine="1134"/>
        <w:jc w:val="both"/>
      </w:pPr>
    </w:p>
    <w:p w14:paraId="422C97A4" w14:textId="77777777" w:rsidR="00332EDA" w:rsidRDefault="00332EDA" w:rsidP="00332EDA">
      <w:pPr>
        <w:pStyle w:val="RICaptulo"/>
      </w:pPr>
      <w:r>
        <w:t>CAPÍTULO V</w:t>
      </w:r>
      <w:r>
        <w:br/>
        <w:t>DA FISCALIZAÇÃO</w:t>
      </w:r>
    </w:p>
    <w:p w14:paraId="43C24B31" w14:textId="77777777" w:rsidR="00332EDA" w:rsidRDefault="00332EDA" w:rsidP="006C6E0C">
      <w:pPr>
        <w:pStyle w:val="Default"/>
        <w:spacing w:before="120"/>
        <w:ind w:firstLine="1134"/>
        <w:jc w:val="both"/>
      </w:pPr>
      <w:r>
        <w:rPr>
          <w:b/>
          <w:bCs/>
        </w:rPr>
        <w:t xml:space="preserve">Art. 20. </w:t>
      </w:r>
      <w:r>
        <w:t xml:space="preserve">Além da fiscalização exercida pelo Tribunal de Contas, a execução do objeto da transferência será fiscalizada pelo concedente, pelo Fiscal Responsável indicado no termo de transferência, e pelo Sistema de Controle Interno; e pelo tomador dos recursos, por meio de </w:t>
      </w:r>
      <w:r w:rsidRPr="0058617A">
        <w:t>sua UGT.</w:t>
      </w:r>
      <w:r>
        <w:t xml:space="preserve"> </w:t>
      </w:r>
    </w:p>
    <w:p w14:paraId="0FCB5DC3" w14:textId="77777777" w:rsidR="00332EDA" w:rsidRDefault="00332EDA" w:rsidP="006C6E0C">
      <w:pPr>
        <w:pStyle w:val="Default"/>
        <w:spacing w:before="120"/>
        <w:ind w:firstLine="1134"/>
        <w:jc w:val="both"/>
      </w:pPr>
      <w:r>
        <w:rPr>
          <w:b/>
          <w:bCs/>
        </w:rPr>
        <w:t xml:space="preserve">Art. 21. </w:t>
      </w:r>
      <w:r>
        <w:t xml:space="preserve">Ao celebrar o ato de transferência, o concedente indicará um responsável técnico, o qual será responsável pelo acompanhamento e fiscalização da transferência e da execução do respectivo objeto, e que será responsável pela emissão dos seguintes documentos destinados a atestar a adequada utilização dos recursos: </w:t>
      </w:r>
    </w:p>
    <w:p w14:paraId="07D8B5D8" w14:textId="77777777" w:rsidR="00332EDA" w:rsidRPr="00822799" w:rsidRDefault="00332EDA" w:rsidP="006C6E0C">
      <w:pPr>
        <w:pStyle w:val="Default"/>
        <w:spacing w:before="120"/>
        <w:ind w:firstLine="1134"/>
        <w:jc w:val="both"/>
      </w:pPr>
      <w:r w:rsidRPr="00822799">
        <w:t xml:space="preserve">I – Termo de Acompanhamento e Fiscalização, emitido sempre que houver alguma verificação ou intervenção do fiscal responsável, onde deverá documentar a atividade ocorrida, bem como a condição em que se encontra a execução do objeto naquele momento, destacando inclusive, a omissão do tomador dos recursos quando não houver a execução do objeto ou divergências deste em relação ao pactuado; </w:t>
      </w:r>
    </w:p>
    <w:p w14:paraId="1FC4D532" w14:textId="77777777" w:rsidR="00332EDA" w:rsidRPr="00822799" w:rsidRDefault="00332EDA" w:rsidP="006C6E0C">
      <w:pPr>
        <w:spacing w:before="120"/>
        <w:ind w:firstLine="1134"/>
        <w:jc w:val="both"/>
        <w:rPr>
          <w:rFonts w:ascii="Arial" w:hAnsi="Arial" w:cs="Arial"/>
          <w:sz w:val="24"/>
          <w:szCs w:val="24"/>
        </w:rPr>
      </w:pPr>
      <w:r w:rsidRPr="00822799">
        <w:rPr>
          <w:rFonts w:ascii="Arial" w:hAnsi="Arial" w:cs="Arial"/>
          <w:sz w:val="24"/>
          <w:szCs w:val="24"/>
        </w:rPr>
        <w:t xml:space="preserve">II </w:t>
      </w:r>
      <w:r w:rsidRPr="00822799">
        <w:t>–</w:t>
      </w:r>
      <w:r w:rsidRPr="00822799">
        <w:rPr>
          <w:rFonts w:ascii="Arial" w:hAnsi="Arial" w:cs="Arial"/>
          <w:sz w:val="24"/>
          <w:szCs w:val="24"/>
        </w:rPr>
        <w:t xml:space="preserve"> Certificado de Conclusão ou de Recebimento Definitivo da Obra: documento circunstanciado emitido ao final do acompanhamento da aplicação dos recursos destinados à execução de obras por intermédio do qual se certifica a adequação do objeto aos termos do termo de transferência;</w:t>
      </w:r>
    </w:p>
    <w:p w14:paraId="5D339BB4" w14:textId="77777777" w:rsidR="00332EDA" w:rsidRPr="00822799" w:rsidRDefault="00332EDA" w:rsidP="006C6E0C">
      <w:pPr>
        <w:pStyle w:val="Default"/>
        <w:spacing w:before="120"/>
        <w:ind w:firstLine="1134"/>
        <w:jc w:val="both"/>
      </w:pPr>
      <w:r w:rsidRPr="00822799">
        <w:t xml:space="preserve">III – Certificado de Instalação e de Funcionamento de Equipamentos: documento por intermédio do qual se certifica que os equipamentos: (a) foram adquiridos conforme previsto pelo termo de transferência; (b) estão adequadamente instalados; (c) estão em pleno funcionamento nas dependências do tomador dos recursos ou em outro local designado pelo termo de transferência; e (d) em uso na atividade proposta; </w:t>
      </w:r>
    </w:p>
    <w:p w14:paraId="1FE93F9B" w14:textId="77777777" w:rsidR="00332EDA" w:rsidRPr="00822799" w:rsidRDefault="00332EDA" w:rsidP="006C6E0C">
      <w:pPr>
        <w:pStyle w:val="Default"/>
        <w:spacing w:before="120"/>
        <w:ind w:firstLine="1134"/>
        <w:jc w:val="both"/>
      </w:pPr>
      <w:r w:rsidRPr="00822799">
        <w:t xml:space="preserve">IV – Certificado de Compatibilidade Físico-Financeira: documento emitido nos casos em que o objeto ainda não tenha sido concluído, mas a proporção já executada possibilita a colocação do objeto em uso, certificando se o percentual físico executado é compatível ou não com o percentual dos recursos até então repassados; </w:t>
      </w:r>
    </w:p>
    <w:p w14:paraId="5239D069" w14:textId="77777777" w:rsidR="00332EDA" w:rsidRPr="00822799" w:rsidRDefault="00332EDA" w:rsidP="006C6E0C">
      <w:pPr>
        <w:pStyle w:val="Default"/>
        <w:spacing w:before="120"/>
        <w:ind w:firstLine="1134"/>
        <w:jc w:val="both"/>
      </w:pPr>
      <w:r w:rsidRPr="00822799">
        <w:t xml:space="preserve">V – Certificado de Cumprimento dos Objetivos: documento que certifica o cumprimento integral do objeto do termo de transferência. </w:t>
      </w:r>
    </w:p>
    <w:p w14:paraId="0EFD2157" w14:textId="77777777" w:rsidR="00332EDA" w:rsidRPr="00822799" w:rsidRDefault="00332EDA" w:rsidP="006C6E0C">
      <w:pPr>
        <w:pStyle w:val="Default"/>
        <w:spacing w:before="120"/>
        <w:ind w:firstLine="1134"/>
        <w:jc w:val="both"/>
      </w:pPr>
      <w:r w:rsidRPr="00822799">
        <w:t xml:space="preserve">§ 1º O responsável designado pelo concedente deverá ser profissional detentor de qualificação técnica compatível para a análise da execução do objeto a ser aferido, devendo constar dos termos ou certificados por ele emitidos o seu nome, assinatura, matrícula funcional e número do ato </w:t>
      </w:r>
      <w:r w:rsidRPr="00822799">
        <w:lastRenderedPageBreak/>
        <w:t xml:space="preserve">da autoridade que o designou para a fiscalização e acompanhamento da aplicação dos recursos, com a respectiva data de emissão. </w:t>
      </w:r>
    </w:p>
    <w:p w14:paraId="1FF4CE3D" w14:textId="77777777" w:rsidR="00332EDA" w:rsidRPr="00822799" w:rsidRDefault="00332EDA" w:rsidP="006C6E0C">
      <w:pPr>
        <w:spacing w:before="120"/>
        <w:ind w:firstLine="1134"/>
        <w:jc w:val="both"/>
        <w:rPr>
          <w:rFonts w:ascii="Arial" w:hAnsi="Arial" w:cs="Arial"/>
          <w:sz w:val="24"/>
          <w:szCs w:val="24"/>
        </w:rPr>
      </w:pPr>
      <w:r w:rsidRPr="00822799">
        <w:rPr>
          <w:rFonts w:ascii="Arial" w:hAnsi="Arial" w:cs="Arial"/>
          <w:sz w:val="24"/>
          <w:szCs w:val="24"/>
        </w:rPr>
        <w:t>§ 2º No caso do termo de transferência atribuir a fiscalização do objeto a um órgão que detenha qualificação técnica institucional para realização deste trabalho, serão emitidos os documentos descritos neste artigo, assinados por profissional técnico habilitado, lotado no órgão fiscalizador, devendo ser claramente impresso o nome e o cargo do emitente, bem como o ato de nomeação que delegou competência para o serviço de acompanhamento e fiscalização.</w:t>
      </w:r>
    </w:p>
    <w:p w14:paraId="0D98C684" w14:textId="77777777" w:rsidR="00332EDA" w:rsidRDefault="00332EDA" w:rsidP="006C6E0C">
      <w:pPr>
        <w:pStyle w:val="Default"/>
        <w:spacing w:before="120"/>
        <w:ind w:firstLine="1134"/>
        <w:jc w:val="both"/>
      </w:pPr>
      <w:r>
        <w:rPr>
          <w:b/>
          <w:bCs/>
        </w:rPr>
        <w:t xml:space="preserve">Art. 22. </w:t>
      </w:r>
      <w:r>
        <w:t xml:space="preserve">Compete ao Controle Interno do concedente, no exercício de sua função constitucional, acompanhar e fiscalizar a execução do objeto da transferência, podendo interferir a qualquer momento, e devendo emitir relatório circunstanciado sobre a execução da objeto da transferência, contendo, no mínimo, o seguinte: </w:t>
      </w:r>
    </w:p>
    <w:p w14:paraId="39046CF4" w14:textId="77777777" w:rsidR="00332EDA" w:rsidRPr="00822799" w:rsidRDefault="00332EDA" w:rsidP="006C6E0C">
      <w:pPr>
        <w:pStyle w:val="Default"/>
        <w:spacing w:before="120"/>
        <w:ind w:firstLine="1134"/>
        <w:jc w:val="both"/>
      </w:pPr>
      <w:r w:rsidRPr="00822799">
        <w:t xml:space="preserve">I – histórico de acompanhamento da execução do termo de transferência, apontando eventuais suspensões de repasse, a motivação das suspensões e as medidas saneadoras adotadas; </w:t>
      </w:r>
    </w:p>
    <w:p w14:paraId="79D48C8D" w14:textId="77777777" w:rsidR="00332EDA" w:rsidRPr="00822799" w:rsidRDefault="00332EDA" w:rsidP="006C6E0C">
      <w:pPr>
        <w:pStyle w:val="Default"/>
        <w:spacing w:before="120"/>
        <w:ind w:firstLine="1134"/>
        <w:jc w:val="both"/>
      </w:pPr>
      <w:r w:rsidRPr="00822799">
        <w:t xml:space="preserve">II – manifestação conclusiva do órgão concedente sobre a regularidade da aplicação dos recursos, considerando o cumprimento dos objetivos e das metas, a observância às normas legais e regulamentares pertinentes e às cláusulas pactuadas. </w:t>
      </w:r>
    </w:p>
    <w:p w14:paraId="6A20FB1A" w14:textId="77777777" w:rsidR="00332EDA" w:rsidRPr="00822799" w:rsidRDefault="00332EDA" w:rsidP="006C6E0C">
      <w:pPr>
        <w:pStyle w:val="Default"/>
        <w:spacing w:before="120"/>
        <w:ind w:firstLine="1134"/>
        <w:jc w:val="both"/>
      </w:pPr>
      <w:r w:rsidRPr="00822799">
        <w:t xml:space="preserve">III – a qualidade do serviço prestado ou da obra executada; </w:t>
      </w:r>
    </w:p>
    <w:p w14:paraId="0E4DF448" w14:textId="77777777" w:rsidR="00332EDA" w:rsidRDefault="00332EDA" w:rsidP="006C6E0C">
      <w:pPr>
        <w:pStyle w:val="Default"/>
        <w:spacing w:before="120"/>
        <w:ind w:firstLine="1134"/>
        <w:jc w:val="both"/>
      </w:pPr>
      <w:r w:rsidRPr="00822799">
        <w:t>IV – a avaliação das metas e dos resultados estabelecidos pelo termo de transferência</w:t>
      </w:r>
      <w:r>
        <w:t xml:space="preserve">, contendo um comparativo analítico entre a situação anterior e a posterior à celebração do termo. </w:t>
      </w:r>
    </w:p>
    <w:p w14:paraId="5FA12DD8" w14:textId="77777777" w:rsidR="00332EDA" w:rsidRDefault="00332EDA" w:rsidP="006C6E0C">
      <w:pPr>
        <w:pStyle w:val="Default"/>
        <w:spacing w:before="120"/>
        <w:ind w:firstLine="1134"/>
        <w:jc w:val="both"/>
      </w:pPr>
      <w:r>
        <w:rPr>
          <w:b/>
          <w:bCs/>
        </w:rPr>
        <w:t xml:space="preserve">Art. 23. </w:t>
      </w:r>
      <w:r>
        <w:t xml:space="preserve">O tomador dos recursos deverá instituir </w:t>
      </w:r>
      <w:r w:rsidRPr="0058617A">
        <w:t>uma UGT, com</w:t>
      </w:r>
      <w:r>
        <w:t xml:space="preserve"> as seguintes atribuições mínimas: </w:t>
      </w:r>
    </w:p>
    <w:p w14:paraId="4568A071" w14:textId="77777777" w:rsidR="00332EDA" w:rsidRPr="005B299F" w:rsidRDefault="00332EDA" w:rsidP="006C6E0C">
      <w:pPr>
        <w:pStyle w:val="Default"/>
        <w:spacing w:before="120"/>
        <w:ind w:firstLine="1134"/>
        <w:jc w:val="both"/>
      </w:pPr>
      <w:r w:rsidRPr="005B299F">
        <w:t xml:space="preserve">I – controlar a aplicação dos recursos no objeto pactuado; </w:t>
      </w:r>
    </w:p>
    <w:p w14:paraId="59DFFB3F" w14:textId="77777777" w:rsidR="00332EDA" w:rsidRPr="005B299F" w:rsidRDefault="00332EDA" w:rsidP="006C6E0C">
      <w:pPr>
        <w:pStyle w:val="Default"/>
        <w:spacing w:before="120"/>
        <w:ind w:firstLine="1134"/>
        <w:jc w:val="both"/>
      </w:pPr>
      <w:r w:rsidRPr="005B299F">
        <w:t xml:space="preserve">II – controlar a movimentação financeira a partir do momento da celebração do termo de transferência; </w:t>
      </w:r>
    </w:p>
    <w:p w14:paraId="00B684D2" w14:textId="77777777" w:rsidR="00332EDA" w:rsidRPr="005B299F" w:rsidRDefault="00332EDA" w:rsidP="006C6E0C">
      <w:pPr>
        <w:pStyle w:val="Default"/>
        <w:spacing w:before="120"/>
        <w:ind w:firstLine="1134"/>
        <w:jc w:val="both"/>
      </w:pPr>
      <w:r w:rsidRPr="005B299F">
        <w:t xml:space="preserve">III – aferir as despesas pertinentes à execução do ato de transferência; </w:t>
      </w:r>
    </w:p>
    <w:p w14:paraId="75121319" w14:textId="77777777" w:rsidR="00332EDA" w:rsidRPr="005B299F" w:rsidRDefault="00332EDA" w:rsidP="006C6E0C">
      <w:pPr>
        <w:pStyle w:val="Default"/>
        <w:spacing w:before="120"/>
        <w:ind w:firstLine="1134"/>
        <w:jc w:val="both"/>
      </w:pPr>
      <w:r w:rsidRPr="005B299F">
        <w:t xml:space="preserve">IV – acompanhar o cumprimento e avaliar as metas pactuadas com o concedente dos recursos; </w:t>
      </w:r>
    </w:p>
    <w:p w14:paraId="5173A9BB" w14:textId="77777777" w:rsidR="00332EDA" w:rsidRPr="005B299F" w:rsidRDefault="00332EDA" w:rsidP="006C6E0C">
      <w:pPr>
        <w:spacing w:before="120"/>
        <w:ind w:firstLine="1134"/>
        <w:jc w:val="both"/>
        <w:rPr>
          <w:rFonts w:ascii="Arial" w:hAnsi="Arial" w:cs="Arial"/>
          <w:sz w:val="24"/>
          <w:szCs w:val="24"/>
        </w:rPr>
      </w:pPr>
      <w:r w:rsidRPr="005B299F">
        <w:rPr>
          <w:rFonts w:ascii="Arial" w:hAnsi="Arial" w:cs="Arial"/>
          <w:sz w:val="24"/>
          <w:szCs w:val="24"/>
        </w:rPr>
        <w:t xml:space="preserve">V </w:t>
      </w:r>
      <w:r w:rsidRPr="005B299F">
        <w:t>–</w:t>
      </w:r>
      <w:r w:rsidRPr="005B299F">
        <w:rPr>
          <w:rFonts w:ascii="Arial" w:hAnsi="Arial" w:cs="Arial"/>
          <w:sz w:val="24"/>
          <w:szCs w:val="24"/>
        </w:rPr>
        <w:t xml:space="preserve"> elaborar parecer ou relatório sobre a execução do termo de transferência;</w:t>
      </w:r>
    </w:p>
    <w:p w14:paraId="5D4355DB" w14:textId="77777777" w:rsidR="00332EDA" w:rsidRPr="005B299F" w:rsidRDefault="00332EDA" w:rsidP="006C6E0C">
      <w:pPr>
        <w:pStyle w:val="Default"/>
        <w:spacing w:before="120"/>
        <w:ind w:firstLine="1134"/>
        <w:jc w:val="both"/>
      </w:pPr>
      <w:r w:rsidRPr="005B299F">
        <w:t xml:space="preserve">VI – informar o Tribunal de Contas sobre qualquer ilegalidade ou irregularidade na execução do termo de transferência, sob pena de responsabilidade solidária de seus integrantes pelo ato irregular ou ilegal, nos termos do art. 6º, </w:t>
      </w:r>
      <w:r w:rsidRPr="005B299F">
        <w:rPr>
          <w:i/>
          <w:iCs/>
        </w:rPr>
        <w:t>caput</w:t>
      </w:r>
      <w:r w:rsidRPr="005B299F">
        <w:t xml:space="preserve">, da Lei Complementar Estadual nº 113/2005. </w:t>
      </w:r>
    </w:p>
    <w:p w14:paraId="7B41941D" w14:textId="77777777" w:rsidR="00332EDA" w:rsidRPr="005B299F" w:rsidRDefault="00332EDA" w:rsidP="006C6E0C">
      <w:pPr>
        <w:pStyle w:val="Default"/>
        <w:spacing w:before="120"/>
        <w:ind w:firstLine="1134"/>
        <w:jc w:val="both"/>
      </w:pPr>
      <w:r w:rsidRPr="005B299F">
        <w:t xml:space="preserve">§ 1º As atividades da UGT deverão ser exercidas de forma concomitante com os atos controlados. </w:t>
      </w:r>
    </w:p>
    <w:p w14:paraId="1DDC0969" w14:textId="77777777" w:rsidR="00332EDA" w:rsidRPr="005B299F" w:rsidRDefault="00332EDA" w:rsidP="006C6E0C">
      <w:pPr>
        <w:pStyle w:val="Default"/>
        <w:spacing w:before="120"/>
        <w:ind w:firstLine="1134"/>
        <w:jc w:val="both"/>
      </w:pPr>
      <w:r w:rsidRPr="005B299F">
        <w:lastRenderedPageBreak/>
        <w:t xml:space="preserve">§ 2º A instituição da UGT não exime os gestores e os ordenadores das despesas da responsabilidade pessoal pela execução do termo de transferência. </w:t>
      </w:r>
    </w:p>
    <w:p w14:paraId="1D61B1C7" w14:textId="77777777" w:rsidR="00332EDA" w:rsidRDefault="00332EDA" w:rsidP="006C6E0C">
      <w:pPr>
        <w:pStyle w:val="Default"/>
        <w:spacing w:before="120"/>
        <w:ind w:firstLine="1134"/>
        <w:jc w:val="both"/>
      </w:pPr>
      <w:r>
        <w:rPr>
          <w:b/>
          <w:bCs/>
        </w:rPr>
        <w:t xml:space="preserve">Art. 24. </w:t>
      </w:r>
      <w:r>
        <w:t xml:space="preserve">Os termos e certificados a que alude o art. 21 e o relatório circunstanciado de que trata o art. 22 fazem prova perante o Tribunal de Contas dos fatos e circunstâncias neles reportados, podendo responder os seus signatários nos termos do art. 299 do Código Penal Brasileiro, observado o art. 16, § 4º, da Lei Complementar nº 113/2005. </w:t>
      </w:r>
    </w:p>
    <w:p w14:paraId="72D1A5E9" w14:textId="77777777" w:rsidR="006C6E0C" w:rsidRDefault="006C6E0C" w:rsidP="006C6E0C">
      <w:pPr>
        <w:pStyle w:val="Default"/>
        <w:spacing w:before="120"/>
        <w:ind w:firstLine="1134"/>
        <w:jc w:val="both"/>
      </w:pPr>
    </w:p>
    <w:p w14:paraId="47EDCE59" w14:textId="77777777" w:rsidR="00332EDA" w:rsidRDefault="00332EDA" w:rsidP="00332EDA">
      <w:pPr>
        <w:pStyle w:val="RICaptulo"/>
      </w:pPr>
      <w:r>
        <w:t>CAPÍTULO VI</w:t>
      </w:r>
      <w:r>
        <w:br/>
        <w:t>DA PRESTAÇÃO DE CONTAS</w:t>
      </w:r>
    </w:p>
    <w:p w14:paraId="091208DF" w14:textId="77777777" w:rsidR="00332EDA" w:rsidRDefault="00332EDA" w:rsidP="006C6E0C">
      <w:pPr>
        <w:pStyle w:val="Default"/>
        <w:spacing w:before="120"/>
        <w:ind w:firstLine="1134"/>
        <w:jc w:val="both"/>
      </w:pPr>
      <w:r>
        <w:rPr>
          <w:b/>
          <w:bCs/>
        </w:rPr>
        <w:t xml:space="preserve">Art. 25. </w:t>
      </w:r>
      <w:r>
        <w:t xml:space="preserve">Sem prejuízo das normas que venham a ser instituídas pelo concedente, a prestação de contas, para os fins desta Resolução, será realizada por intermédio do SIT. </w:t>
      </w:r>
    </w:p>
    <w:p w14:paraId="13EB1301" w14:textId="77777777" w:rsidR="00332EDA" w:rsidRPr="005B299F" w:rsidRDefault="00332EDA" w:rsidP="006C6E0C">
      <w:pPr>
        <w:pStyle w:val="Default"/>
        <w:spacing w:before="120"/>
        <w:ind w:firstLine="1134"/>
        <w:jc w:val="both"/>
      </w:pPr>
      <w:r w:rsidRPr="005B299F">
        <w:t xml:space="preserve">§ 1º A prestação de contas deverá ser individualizada por instrumento de transferência. </w:t>
      </w:r>
    </w:p>
    <w:p w14:paraId="3C44C57C" w14:textId="77777777" w:rsidR="00332EDA" w:rsidRDefault="00332EDA" w:rsidP="006C6E0C">
      <w:pPr>
        <w:spacing w:before="120"/>
        <w:ind w:firstLine="1134"/>
        <w:jc w:val="both"/>
        <w:rPr>
          <w:rFonts w:ascii="Arial" w:hAnsi="Arial" w:cs="Arial"/>
          <w:sz w:val="24"/>
          <w:szCs w:val="24"/>
        </w:rPr>
      </w:pPr>
      <w:r w:rsidRPr="005B299F">
        <w:rPr>
          <w:rFonts w:ascii="Arial" w:hAnsi="Arial" w:cs="Arial"/>
          <w:sz w:val="24"/>
          <w:szCs w:val="24"/>
        </w:rPr>
        <w:t>§ 2º O</w:t>
      </w:r>
      <w:r>
        <w:rPr>
          <w:rFonts w:ascii="Arial" w:hAnsi="Arial" w:cs="Arial"/>
          <w:sz w:val="24"/>
          <w:szCs w:val="24"/>
        </w:rPr>
        <w:t xml:space="preserve"> concedente dos recursos, e o respectivo tomador, deverão atualizar as informações no SIT e encaminhar a prestação de contas na forma e nos prazos fixados em Instrução Normativa.</w:t>
      </w:r>
    </w:p>
    <w:p w14:paraId="355901C3" w14:textId="77777777" w:rsidR="00332EDA" w:rsidRDefault="00332EDA" w:rsidP="006C6E0C">
      <w:pPr>
        <w:pStyle w:val="Default"/>
        <w:spacing w:before="120"/>
        <w:ind w:firstLine="1134"/>
        <w:jc w:val="both"/>
      </w:pPr>
      <w:r>
        <w:rPr>
          <w:b/>
          <w:bCs/>
        </w:rPr>
        <w:t xml:space="preserve">Art. 26. </w:t>
      </w:r>
      <w:r>
        <w:t xml:space="preserve">Além das informações constantes do SIT, ao final da vigência da transferência, o concedente dos recursos encaminhará ao Tribunal o respectivo processo de prestação de contas, para julgamento, na forma do art. 25. </w:t>
      </w:r>
    </w:p>
    <w:p w14:paraId="32A555E8" w14:textId="77777777" w:rsidR="00332EDA" w:rsidRPr="005B299F" w:rsidRDefault="00332EDA" w:rsidP="006C6E0C">
      <w:pPr>
        <w:pStyle w:val="Default"/>
        <w:spacing w:before="120"/>
        <w:ind w:firstLine="1134"/>
        <w:jc w:val="both"/>
      </w:pPr>
      <w:r w:rsidRPr="005B299F">
        <w:t xml:space="preserve">§ 1º Nos casos de repasses continuados para manutenção de projetos que prevejam o pagamento de pessoal com os recursos transferidos, a prestação de contas pelo concedente ao Tribunal, de que trata o </w:t>
      </w:r>
      <w:r w:rsidRPr="005B299F">
        <w:rPr>
          <w:i/>
          <w:iCs/>
        </w:rPr>
        <w:t>caput</w:t>
      </w:r>
      <w:r w:rsidRPr="005B299F">
        <w:t xml:space="preserve">, deverá ser realizada anualmente, na forma e nos prazos fixados em Instrução Normativa. </w:t>
      </w:r>
    </w:p>
    <w:p w14:paraId="0BDD6460" w14:textId="77777777" w:rsidR="00332EDA" w:rsidRDefault="00332EDA" w:rsidP="006C6E0C">
      <w:pPr>
        <w:pStyle w:val="Default"/>
        <w:spacing w:before="120"/>
        <w:ind w:firstLine="1134"/>
        <w:jc w:val="both"/>
      </w:pPr>
      <w:r w:rsidRPr="005B299F">
        <w:t>§ 2º</w:t>
      </w:r>
      <w:r>
        <w:rPr>
          <w:b/>
          <w:bCs/>
        </w:rPr>
        <w:t xml:space="preserve"> </w:t>
      </w:r>
      <w:r>
        <w:t xml:space="preserve">A prestação de contas, parcial e final, encaminhada pelo concedente dos recursos ao Tribunal de Contas deverá ser instruída com o relatório circunstanciado, juntamente com outros documentos exigidos por esta Resolução e por Instrução Normativa. </w:t>
      </w:r>
    </w:p>
    <w:p w14:paraId="4760681A" w14:textId="77777777" w:rsidR="00332EDA" w:rsidRPr="0058617A" w:rsidRDefault="00332EDA" w:rsidP="006C6E0C">
      <w:pPr>
        <w:pStyle w:val="Default"/>
        <w:spacing w:before="120"/>
        <w:ind w:firstLine="1134"/>
        <w:jc w:val="both"/>
        <w:rPr>
          <w:color w:val="auto"/>
        </w:rPr>
      </w:pPr>
      <w:r w:rsidRPr="0058617A">
        <w:rPr>
          <w:b/>
          <w:bCs/>
          <w:color w:val="auto"/>
        </w:rPr>
        <w:t xml:space="preserve">Art. 27. </w:t>
      </w:r>
      <w:r w:rsidRPr="0058617A">
        <w:rPr>
          <w:color w:val="auto"/>
        </w:rPr>
        <w:t xml:space="preserve">Não sendo prestadas as contas devidas pelo tomador, nos prazos estabelecidos, o órgão concedente, sob pena de responsabilidade solidária e das demais cominações legais, deverá instaurar, dentro de 30 (trinta) dias, a Tomada de Contas Especial, observados os arts. 233 e 234 do Regimento Interno. </w:t>
      </w:r>
    </w:p>
    <w:p w14:paraId="5886943F" w14:textId="77777777" w:rsidR="00332EDA" w:rsidRDefault="00332EDA" w:rsidP="006C6E0C">
      <w:pPr>
        <w:pStyle w:val="Default"/>
        <w:spacing w:before="120"/>
        <w:ind w:firstLine="1134"/>
        <w:jc w:val="both"/>
      </w:pPr>
      <w:r w:rsidRPr="005B299F">
        <w:t>Parágrafo único.</w:t>
      </w:r>
      <w:r>
        <w:rPr>
          <w:b/>
          <w:bCs/>
        </w:rPr>
        <w:t xml:space="preserve"> </w:t>
      </w:r>
      <w:r>
        <w:t xml:space="preserve">Instaurada a Tomada de Contas Especial, o concedente dos recursos deverá comunicar, imediatamente, ao Tribunal de Contas. </w:t>
      </w:r>
    </w:p>
    <w:p w14:paraId="3DF216D2" w14:textId="77777777" w:rsidR="00332EDA" w:rsidRDefault="00332EDA" w:rsidP="006C6E0C">
      <w:pPr>
        <w:pStyle w:val="Default"/>
        <w:spacing w:before="120"/>
        <w:ind w:firstLine="1134"/>
        <w:jc w:val="both"/>
      </w:pPr>
      <w:r>
        <w:rPr>
          <w:b/>
          <w:bCs/>
        </w:rPr>
        <w:t xml:space="preserve">Art. 28. </w:t>
      </w:r>
      <w:r>
        <w:t xml:space="preserve">A omissão do concedente dos recursos de encaminhar ao Tribunal de Contas a prestação de contas apresentada pelo tomador dos </w:t>
      </w:r>
      <w:r>
        <w:lastRenderedPageBreak/>
        <w:t xml:space="preserve">recursos ou sua omissão em instaurar a Tomada de Contas Especial, implicará instauração da Tomada de Contas Extraordinária nos termos do art. 236 do Regimento Interno, sem prejuízo das penalidades previstas. </w:t>
      </w:r>
    </w:p>
    <w:p w14:paraId="0B623947" w14:textId="77777777" w:rsidR="00332EDA" w:rsidRDefault="00332EDA" w:rsidP="006C6E0C">
      <w:pPr>
        <w:pStyle w:val="Default"/>
        <w:spacing w:before="120"/>
        <w:ind w:firstLine="1134"/>
        <w:jc w:val="both"/>
      </w:pPr>
      <w:r>
        <w:rPr>
          <w:b/>
          <w:bCs/>
        </w:rPr>
        <w:t xml:space="preserve">Art. 29. </w:t>
      </w:r>
      <w:r>
        <w:t xml:space="preserve">Independentemente da apresentação da prestação de contas ou mesmo de sua aprovação, o representante legal do tomador dos recursos deverá preservar todos os documentos originais relacionados com o termo de transferência em local seguro e em bom estado de conservação, mantendo-os à disposição do Tribunal de Contas por um prazo de 10 (dez) anos, contados do encerramento do processo, nos termos do art. 398, do Regimento Interno. </w:t>
      </w:r>
    </w:p>
    <w:p w14:paraId="523C1B1B" w14:textId="77777777" w:rsidR="00332EDA" w:rsidRDefault="00332EDA" w:rsidP="00332EDA">
      <w:pPr>
        <w:pStyle w:val="RICaptulo"/>
      </w:pPr>
      <w:r>
        <w:t>CAPÍTULO VII</w:t>
      </w:r>
      <w:r>
        <w:br/>
        <w:t>DAS DISPOSIÇÕES GERAIS</w:t>
      </w:r>
    </w:p>
    <w:p w14:paraId="66E8AB21" w14:textId="77777777" w:rsidR="00332EDA" w:rsidRDefault="00332EDA" w:rsidP="006C6E0C">
      <w:pPr>
        <w:pStyle w:val="Default"/>
        <w:spacing w:before="120"/>
        <w:ind w:firstLine="1134"/>
        <w:jc w:val="both"/>
      </w:pPr>
      <w:r>
        <w:rPr>
          <w:b/>
          <w:bCs/>
        </w:rPr>
        <w:t xml:space="preserve">Art. 30. </w:t>
      </w:r>
      <w:r>
        <w:t xml:space="preserve">A utilização do SIT pelas entidades concedentes e tomadoras de transferências será obrigatório a partir de 1º de janeiro de 2012. </w:t>
      </w:r>
    </w:p>
    <w:p w14:paraId="06FA0668" w14:textId="77777777" w:rsidR="00332EDA" w:rsidRDefault="00332EDA" w:rsidP="006C6E0C">
      <w:pPr>
        <w:pStyle w:val="Default"/>
        <w:spacing w:before="120"/>
        <w:ind w:firstLine="1134"/>
        <w:jc w:val="both"/>
      </w:pPr>
      <w:r w:rsidRPr="005B299F">
        <w:t>Parágrafo único.</w:t>
      </w:r>
      <w:r>
        <w:rPr>
          <w:b/>
          <w:bCs/>
        </w:rPr>
        <w:t xml:space="preserve"> </w:t>
      </w:r>
      <w:r>
        <w:t xml:space="preserve">A prestação de contas perante o Tribunal, dos recursos repassados a partir de 1º de janeiro de 2012, independentemente da data em que tenha sido celebrado o termo de transferência, ou instrumento congênere, passa a ser de responsabilidade do concedente, nos termos do art. 228, do Regimento Interno. </w:t>
      </w:r>
    </w:p>
    <w:p w14:paraId="40D46919" w14:textId="77777777" w:rsidR="00332EDA" w:rsidRDefault="00332EDA" w:rsidP="006C6E0C">
      <w:pPr>
        <w:pStyle w:val="Default"/>
        <w:spacing w:before="120"/>
        <w:ind w:firstLine="1134"/>
        <w:jc w:val="both"/>
      </w:pPr>
      <w:r>
        <w:rPr>
          <w:b/>
          <w:bCs/>
        </w:rPr>
        <w:t xml:space="preserve">Art. 31. </w:t>
      </w:r>
      <w:r>
        <w:t xml:space="preserve">A prestação de contas dos recursos recebidos até 31 de dezembro de 2011 deverá observar o procedimento previsto pela Resolução nº 3, de 27 de julho de 2006, acrescida do relatório circunstanciado previsto no art. 22. </w:t>
      </w:r>
    </w:p>
    <w:p w14:paraId="2FD0A918" w14:textId="77777777" w:rsidR="00332EDA" w:rsidRDefault="00332EDA" w:rsidP="006C6E0C">
      <w:pPr>
        <w:pStyle w:val="Default"/>
        <w:spacing w:before="120"/>
        <w:ind w:firstLine="1134"/>
        <w:jc w:val="both"/>
      </w:pPr>
      <w:r w:rsidRPr="005B299F">
        <w:t>Parágrafo único.</w:t>
      </w:r>
      <w:r>
        <w:rPr>
          <w:b/>
          <w:bCs/>
        </w:rPr>
        <w:t xml:space="preserve"> </w:t>
      </w:r>
      <w:r>
        <w:t xml:space="preserve">A prestação de contas, perante o Tribunal, dos recursos recebidos até 31 de dezembro de 2011, poderá, excepcionalmente, ser feita pelo tomador dos recursos. </w:t>
      </w:r>
    </w:p>
    <w:p w14:paraId="72F3BC5B" w14:textId="77777777" w:rsidR="00332EDA" w:rsidRDefault="00332EDA" w:rsidP="006C6E0C">
      <w:pPr>
        <w:spacing w:before="120"/>
        <w:ind w:firstLine="1134"/>
        <w:jc w:val="both"/>
        <w:rPr>
          <w:rFonts w:ascii="Arial" w:hAnsi="Arial" w:cs="Arial"/>
          <w:sz w:val="24"/>
          <w:szCs w:val="24"/>
        </w:rPr>
      </w:pPr>
      <w:r>
        <w:rPr>
          <w:rFonts w:ascii="Arial" w:hAnsi="Arial" w:cs="Arial"/>
          <w:b/>
          <w:bCs/>
          <w:sz w:val="24"/>
          <w:szCs w:val="24"/>
        </w:rPr>
        <w:t xml:space="preserve">Art. 32. </w:t>
      </w:r>
      <w:r>
        <w:rPr>
          <w:rFonts w:ascii="Arial" w:hAnsi="Arial" w:cs="Arial"/>
          <w:sz w:val="24"/>
          <w:szCs w:val="24"/>
        </w:rPr>
        <w:t>A partir da entrada em operação do SIT em 1º de janeiro de 2012, serão automaticamente desativados o Sistema Integrado de Transferências Voluntárias Estaduais - SINTE e o Cadastro de Transferências Voluntárias Estaduais –</w:t>
      </w:r>
      <w:r w:rsidRPr="0058617A">
        <w:rPr>
          <w:rFonts w:ascii="Arial" w:hAnsi="Arial" w:cs="Arial"/>
          <w:sz w:val="24"/>
          <w:szCs w:val="24"/>
        </w:rPr>
        <w:t xml:space="preserve"> </w:t>
      </w:r>
      <w:r>
        <w:rPr>
          <w:rFonts w:ascii="Arial" w:hAnsi="Arial" w:cs="Arial"/>
          <w:sz w:val="24"/>
          <w:szCs w:val="24"/>
        </w:rPr>
        <w:t>CATE.</w:t>
      </w:r>
    </w:p>
    <w:p w14:paraId="0B8DE992" w14:textId="77777777" w:rsidR="00332EDA" w:rsidRDefault="00332EDA" w:rsidP="006C6E0C">
      <w:pPr>
        <w:pStyle w:val="Default"/>
        <w:spacing w:before="120"/>
        <w:ind w:firstLine="1134"/>
        <w:jc w:val="both"/>
      </w:pPr>
      <w:r>
        <w:rPr>
          <w:b/>
          <w:bCs/>
        </w:rPr>
        <w:t xml:space="preserve">Art. 33. </w:t>
      </w:r>
      <w:r>
        <w:t xml:space="preserve">Ficam dispensados da prestação de contas na forma desta Resolução, os recursos públicos destinados ao atendimento da Lei Estadual nº 14.551, de 2 de dezembro de 2004, alusiva ao Programa Estadual de Assistência a Vítimas e a Testemunhas Ameaçadas – PROVITA PARANÁ, sem prejuízo da fiscalização pelo Tribunal de Contas, nos termos do art. 524 – B, do Regimento Interno. </w:t>
      </w:r>
    </w:p>
    <w:p w14:paraId="5E4638EA" w14:textId="77777777" w:rsidR="00332EDA" w:rsidRDefault="00332EDA" w:rsidP="006C6E0C">
      <w:pPr>
        <w:pStyle w:val="Default"/>
        <w:spacing w:before="120"/>
        <w:ind w:firstLine="1134"/>
        <w:jc w:val="both"/>
      </w:pPr>
      <w:r>
        <w:rPr>
          <w:b/>
          <w:bCs/>
        </w:rPr>
        <w:t xml:space="preserve">Art. 34. </w:t>
      </w:r>
      <w:r>
        <w:t xml:space="preserve">As certidões liberatórias, inclusive das entidades privadas sem fins lucrativos, terão validade de, no máximo, 60 (sessenta) dias. </w:t>
      </w:r>
    </w:p>
    <w:p w14:paraId="47024FA9" w14:textId="77777777" w:rsidR="00332EDA" w:rsidRPr="005B299F" w:rsidRDefault="00332EDA" w:rsidP="006C6E0C">
      <w:pPr>
        <w:pStyle w:val="Default"/>
        <w:spacing w:before="120"/>
        <w:ind w:firstLine="1134"/>
        <w:jc w:val="both"/>
      </w:pPr>
      <w:r w:rsidRPr="005B299F">
        <w:t xml:space="preserve">§ 1º A partir de 31 de março de 2012 as entidades obrigadas à utilização do SIT que não atenderem ao determinado nesta Resolução ficarão impedidas de receber a certidão liberatória. </w:t>
      </w:r>
    </w:p>
    <w:p w14:paraId="3EB6DA64" w14:textId="77777777" w:rsidR="00332EDA" w:rsidRDefault="00332EDA" w:rsidP="006C6E0C">
      <w:pPr>
        <w:pStyle w:val="Default"/>
        <w:spacing w:before="120"/>
        <w:ind w:firstLine="1134"/>
        <w:jc w:val="both"/>
      </w:pPr>
      <w:r w:rsidRPr="005B299F">
        <w:lastRenderedPageBreak/>
        <w:t>§ 2º</w:t>
      </w:r>
      <w:r>
        <w:rPr>
          <w:b/>
          <w:bCs/>
        </w:rPr>
        <w:t xml:space="preserve"> </w:t>
      </w:r>
      <w:r>
        <w:t xml:space="preserve">A não observância da obrigatoriedade do envio das informações ao SIT, nos termos desta Resolução, acarretará a perda da validade da certidão liberatória, ou impedimento para sua concessão. </w:t>
      </w:r>
    </w:p>
    <w:p w14:paraId="07E4F98F" w14:textId="77777777" w:rsidR="00332EDA" w:rsidRDefault="00332EDA" w:rsidP="006C6E0C">
      <w:pPr>
        <w:adjustRightInd w:val="0"/>
        <w:spacing w:before="120"/>
        <w:ind w:firstLine="1134"/>
        <w:jc w:val="both"/>
        <w:rPr>
          <w:rFonts w:ascii="Arial" w:eastAsia="Calibri" w:hAnsi="Arial" w:cs="Arial"/>
          <w:sz w:val="24"/>
          <w:szCs w:val="24"/>
        </w:rPr>
      </w:pPr>
      <w:r>
        <w:rPr>
          <w:rFonts w:ascii="Arial" w:hAnsi="Arial" w:cs="Arial"/>
          <w:b/>
          <w:bCs/>
          <w:sz w:val="24"/>
          <w:szCs w:val="24"/>
        </w:rPr>
        <w:t xml:space="preserve">Art. 35. </w:t>
      </w:r>
      <w:r>
        <w:rPr>
          <w:rFonts w:ascii="Arial" w:eastAsia="Calibri" w:hAnsi="Arial" w:cs="Arial"/>
          <w:sz w:val="24"/>
          <w:szCs w:val="24"/>
        </w:rPr>
        <w:t>O Tribunal de Contas não emitirá Certidão Liberatória para entidades, públicas ou privadas, que tenham processos de prestação de contas ou tomada de contas julgados irregulares em decisão definitiva irrecorrível do Tribunal, com responsabilidade institucional, pelo prazo de 5 (cinco) anos, contado do trânsito em julgado da decisão, sem prejuízo da execução da decisão pelo órgão competente e demais ações pertinentes nos termos da lei.</w:t>
      </w:r>
    </w:p>
    <w:p w14:paraId="7646A482" w14:textId="2706F5AF" w:rsidR="00332EDA" w:rsidRDefault="00332EDA" w:rsidP="006C6E0C">
      <w:pPr>
        <w:spacing w:before="120"/>
        <w:ind w:firstLine="1134"/>
        <w:jc w:val="both"/>
        <w:rPr>
          <w:rFonts w:ascii="Arial" w:hAnsi="Arial" w:cs="Arial"/>
          <w:sz w:val="24"/>
          <w:szCs w:val="24"/>
        </w:rPr>
      </w:pPr>
      <w:r>
        <w:rPr>
          <w:rFonts w:ascii="Arial" w:hAnsi="Arial" w:cs="Arial"/>
          <w:b/>
          <w:bCs/>
          <w:sz w:val="24"/>
          <w:szCs w:val="24"/>
        </w:rPr>
        <w:t xml:space="preserve">Art. 36. </w:t>
      </w:r>
      <w:r>
        <w:rPr>
          <w:rFonts w:ascii="Arial" w:hAnsi="Arial" w:cs="Arial"/>
          <w:sz w:val="24"/>
          <w:szCs w:val="24"/>
        </w:rPr>
        <w:t xml:space="preserve">Esta Resolução entra em vigor a partir de 1º de janeiro de 2012, revogando-se automaticamente a </w:t>
      </w:r>
      <w:hyperlink r:id="rId7" w:history="1">
        <w:r w:rsidRPr="003B229F">
          <w:rPr>
            <w:rStyle w:val="Hyperlink"/>
            <w:rFonts w:ascii="Arial" w:hAnsi="Arial" w:cs="Arial"/>
            <w:sz w:val="24"/>
            <w:szCs w:val="24"/>
          </w:rPr>
          <w:t>Resolução nº 3, de 27 de julho de 2006</w:t>
        </w:r>
      </w:hyperlink>
      <w:r>
        <w:rPr>
          <w:rFonts w:ascii="Arial" w:hAnsi="Arial" w:cs="Arial"/>
          <w:sz w:val="24"/>
          <w:szCs w:val="24"/>
        </w:rPr>
        <w:t>.</w:t>
      </w:r>
    </w:p>
    <w:p w14:paraId="0F220CF6" w14:textId="09D6052D" w:rsidR="008F34CA" w:rsidRDefault="008F34CA" w:rsidP="005B299F">
      <w:pPr>
        <w:spacing w:before="100" w:beforeAutospacing="1" w:after="100" w:afterAutospacing="1"/>
        <w:jc w:val="center"/>
        <w:rPr>
          <w:rFonts w:ascii="Arial" w:hAnsi="Arial" w:cs="Arial"/>
          <w:sz w:val="24"/>
          <w:szCs w:val="24"/>
        </w:rPr>
      </w:pPr>
      <w:r>
        <w:rPr>
          <w:rFonts w:ascii="Arial" w:hAnsi="Arial" w:cs="Arial"/>
          <w:sz w:val="24"/>
          <w:szCs w:val="24"/>
        </w:rPr>
        <w:t>Sala das Sessões, em 6 de outubro de 2011.</w:t>
      </w:r>
    </w:p>
    <w:p w14:paraId="2857E50D" w14:textId="77777777" w:rsidR="008F34CA" w:rsidRPr="003C1EC8" w:rsidRDefault="008F34CA" w:rsidP="005B299F">
      <w:pPr>
        <w:pStyle w:val="Recuodecorpodetexto3"/>
        <w:spacing w:before="600"/>
        <w:ind w:firstLine="0"/>
        <w:jc w:val="center"/>
        <w:rPr>
          <w:rFonts w:cs="Arial"/>
          <w:color w:val="000000"/>
        </w:rPr>
      </w:pPr>
      <w:r>
        <w:rPr>
          <w:rFonts w:cs="Arial"/>
          <w:color w:val="000000"/>
        </w:rPr>
        <w:t xml:space="preserve">Conselheiro </w:t>
      </w:r>
      <w:r w:rsidRPr="00555F77">
        <w:rPr>
          <w:rFonts w:cs="Arial"/>
          <w:b/>
          <w:bCs/>
          <w:color w:val="000000"/>
        </w:rPr>
        <w:t>FERNANDO AUGUSTO MELLO GUIMARÃES</w:t>
      </w:r>
    </w:p>
    <w:p w14:paraId="4EFAF997" w14:textId="77777777" w:rsidR="008F34CA" w:rsidRPr="00555F77" w:rsidRDefault="008F34CA" w:rsidP="005B299F">
      <w:pPr>
        <w:pStyle w:val="Recuodecorpodetexto3"/>
        <w:spacing w:before="0"/>
        <w:ind w:firstLine="0"/>
        <w:jc w:val="center"/>
        <w:rPr>
          <w:rFonts w:cs="Arial"/>
          <w:bCs/>
          <w:color w:val="auto"/>
        </w:rPr>
      </w:pPr>
      <w:r w:rsidRPr="00555F77">
        <w:rPr>
          <w:rFonts w:cs="Arial"/>
          <w:bCs/>
          <w:color w:val="auto"/>
        </w:rPr>
        <w:t>Presidente</w:t>
      </w:r>
    </w:p>
    <w:sectPr w:rsidR="008F34CA" w:rsidRPr="00555F77" w:rsidSect="004F0AA6">
      <w:headerReference w:type="default" r:id="rId8"/>
      <w:footnotePr>
        <w:numFmt w:val="chicago"/>
      </w:footnotePr>
      <w:pgSz w:w="11906" w:h="16838"/>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52458" w14:textId="77777777" w:rsidR="00DA6DC8" w:rsidRDefault="00DA6DC8" w:rsidP="0034202F">
      <w:r>
        <w:separator/>
      </w:r>
    </w:p>
  </w:endnote>
  <w:endnote w:type="continuationSeparator" w:id="0">
    <w:p w14:paraId="44E3F40C" w14:textId="77777777" w:rsidR="00DA6DC8" w:rsidRDefault="00DA6DC8" w:rsidP="0034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FC9AE" w14:textId="77777777" w:rsidR="00DA6DC8" w:rsidRDefault="00DA6DC8" w:rsidP="0034202F">
      <w:r>
        <w:separator/>
      </w:r>
    </w:p>
  </w:footnote>
  <w:footnote w:type="continuationSeparator" w:id="0">
    <w:p w14:paraId="0B76AA42" w14:textId="77777777" w:rsidR="00DA6DC8" w:rsidRDefault="00DA6DC8" w:rsidP="0034202F">
      <w:r>
        <w:continuationSeparator/>
      </w:r>
    </w:p>
  </w:footnote>
  <w:footnote w:id="1">
    <w:p w14:paraId="49A4E0C2" w14:textId="77777777" w:rsidR="00FE12E5" w:rsidRPr="005B37D1" w:rsidRDefault="00FE12E5" w:rsidP="00FE12E5">
      <w:pPr>
        <w:pStyle w:val="Textodenotaderodap"/>
        <w:jc w:val="both"/>
        <w:rPr>
          <w:rFonts w:ascii="Arial" w:hAnsi="Arial" w:cs="Arial"/>
        </w:rPr>
      </w:pPr>
      <w:r>
        <w:rPr>
          <w:rStyle w:val="Refdenotaderodap"/>
        </w:rPr>
        <w:footnoteRef/>
      </w:r>
      <w:r>
        <w:t xml:space="preserve"> </w:t>
      </w:r>
      <w:r w:rsidRPr="005B37D1">
        <w:rPr>
          <w:rFonts w:ascii="Arial" w:hAnsi="Arial" w:cs="Arial"/>
          <w:b/>
        </w:rPr>
        <w:t>Notas da Biblioteca:</w:t>
      </w:r>
    </w:p>
    <w:p w14:paraId="3D53B82B" w14:textId="0D22D50C" w:rsidR="00FE12E5" w:rsidRPr="005B37D1" w:rsidRDefault="00FE12E5" w:rsidP="00E834C7">
      <w:pPr>
        <w:pStyle w:val="Textodenotaderodap"/>
        <w:numPr>
          <w:ilvl w:val="0"/>
          <w:numId w:val="2"/>
        </w:numPr>
        <w:autoSpaceDE/>
        <w:autoSpaceDN/>
        <w:ind w:left="426" w:hanging="284"/>
        <w:jc w:val="both"/>
        <w:rPr>
          <w:rFonts w:ascii="Arial" w:hAnsi="Arial" w:cs="Arial"/>
        </w:rPr>
      </w:pPr>
      <w:r w:rsidRPr="005B37D1">
        <w:rPr>
          <w:rFonts w:ascii="Arial" w:hAnsi="Arial" w:cs="Arial"/>
        </w:rPr>
        <w:t xml:space="preserve">Este texto não substitui o publicado no periódico: </w:t>
      </w:r>
      <w:hyperlink r:id="rId1" w:history="1">
        <w:r w:rsidR="0034617D" w:rsidRPr="005B37D1">
          <w:rPr>
            <w:rStyle w:val="Hyperlink"/>
            <w:rFonts w:ascii="Arial" w:hAnsi="Arial" w:cs="Arial"/>
            <w:b/>
            <w:bCs/>
          </w:rPr>
          <w:t>Atos Oficiais do Tribunal de Contas do Estado do Paraná,</w:t>
        </w:r>
        <w:r w:rsidR="0034617D" w:rsidRPr="005B37D1">
          <w:rPr>
            <w:rStyle w:val="Hyperlink"/>
            <w:rFonts w:ascii="Arial" w:hAnsi="Arial" w:cs="Arial"/>
            <w:b/>
          </w:rPr>
          <w:t xml:space="preserve"> Curitiba</w:t>
        </w:r>
        <w:r w:rsidR="0034617D" w:rsidRPr="005B37D1">
          <w:rPr>
            <w:rStyle w:val="Hyperlink"/>
            <w:rFonts w:ascii="Arial" w:hAnsi="Arial" w:cs="Arial"/>
          </w:rPr>
          <w:t>, PR, n. 321, 14 out. 2011, p. 103-106</w:t>
        </w:r>
      </w:hyperlink>
      <w:r w:rsidR="0034617D" w:rsidRPr="005B37D1">
        <w:rPr>
          <w:rFonts w:ascii="Arial" w:hAnsi="Arial" w:cs="Arial"/>
        </w:rPr>
        <w:t>.</w:t>
      </w:r>
    </w:p>
    <w:p w14:paraId="29E247F6" w14:textId="77777777" w:rsidR="00DA7B08" w:rsidRPr="005B37D1" w:rsidRDefault="00DA7B08" w:rsidP="00E834C7">
      <w:pPr>
        <w:numPr>
          <w:ilvl w:val="0"/>
          <w:numId w:val="2"/>
        </w:numPr>
        <w:ind w:left="426" w:hanging="284"/>
        <w:jc w:val="both"/>
        <w:rPr>
          <w:rFonts w:ascii="Arial" w:hAnsi="Arial" w:cs="Arial"/>
        </w:rPr>
      </w:pPr>
      <w:r w:rsidRPr="005B37D1">
        <w:rPr>
          <w:rFonts w:ascii="Arial" w:hAnsi="Arial" w:cs="Arial"/>
          <w:b/>
          <w:color w:val="FF0000"/>
        </w:rPr>
        <w:t>Alterada</w:t>
      </w:r>
      <w:r w:rsidRPr="005B37D1">
        <w:rPr>
          <w:rFonts w:ascii="Arial" w:hAnsi="Arial" w:cs="Arial"/>
        </w:rPr>
        <w:t xml:space="preserve"> por: </w:t>
      </w:r>
      <w:hyperlink r:id="rId2" w:history="1">
        <w:r w:rsidRPr="005B37D1">
          <w:rPr>
            <w:rStyle w:val="Hyperlink"/>
            <w:rFonts w:ascii="Arial" w:hAnsi="Arial" w:cs="Arial"/>
            <w:bCs/>
          </w:rPr>
          <w:t>Resolução n. 46, de 12 de junho de 2014</w:t>
        </w:r>
      </w:hyperlink>
      <w:r w:rsidRPr="005B37D1">
        <w:rPr>
          <w:rFonts w:ascii="Arial" w:hAnsi="Arial" w:cs="Arial"/>
          <w:bCs/>
        </w:rPr>
        <w:t>.</w:t>
      </w:r>
    </w:p>
    <w:p w14:paraId="68EF62CF" w14:textId="6D6B7B4A" w:rsidR="00DA7B08" w:rsidRPr="005B37D1" w:rsidRDefault="00DA7B08" w:rsidP="00E834C7">
      <w:pPr>
        <w:numPr>
          <w:ilvl w:val="0"/>
          <w:numId w:val="2"/>
        </w:numPr>
        <w:ind w:left="426" w:hanging="284"/>
        <w:jc w:val="both"/>
        <w:rPr>
          <w:rFonts w:ascii="Arial" w:hAnsi="Arial" w:cs="Arial"/>
          <w:b/>
        </w:rPr>
      </w:pPr>
      <w:r w:rsidRPr="005B37D1">
        <w:rPr>
          <w:rFonts w:ascii="Arial" w:hAnsi="Arial" w:cs="Arial"/>
          <w:b/>
          <w:bCs/>
        </w:rPr>
        <w:t>Ver</w:t>
      </w:r>
      <w:r w:rsidR="00E834C7" w:rsidRPr="005B37D1">
        <w:rPr>
          <w:rFonts w:ascii="Arial" w:hAnsi="Arial" w:cs="Arial"/>
          <w:b/>
        </w:rPr>
        <w:t>:</w:t>
      </w:r>
      <w:r w:rsidRPr="005B37D1">
        <w:rPr>
          <w:rFonts w:ascii="Arial" w:hAnsi="Arial" w:cs="Arial"/>
          <w:b/>
        </w:rPr>
        <w:t xml:space="preserve"> </w:t>
      </w:r>
      <w:hyperlink r:id="rId3" w:history="1">
        <w:r w:rsidRPr="005B37D1">
          <w:rPr>
            <w:rStyle w:val="Hyperlink"/>
            <w:rFonts w:ascii="Arial" w:hAnsi="Arial" w:cs="Arial"/>
            <w:bCs/>
          </w:rPr>
          <w:t>ADIN nº 4872/2012</w:t>
        </w:r>
      </w:hyperlink>
    </w:p>
    <w:p w14:paraId="42AE931D" w14:textId="10417B90" w:rsidR="00DA7B08" w:rsidRPr="005B37D1" w:rsidRDefault="00D017DA" w:rsidP="00E834C7">
      <w:pPr>
        <w:numPr>
          <w:ilvl w:val="0"/>
          <w:numId w:val="2"/>
        </w:numPr>
        <w:tabs>
          <w:tab w:val="left" w:pos="426"/>
        </w:tabs>
        <w:ind w:left="426" w:hanging="284"/>
        <w:rPr>
          <w:rFonts w:ascii="Arial" w:hAnsi="Arial" w:cs="Arial"/>
          <w:color w:val="FF0000"/>
        </w:rPr>
      </w:pPr>
      <w:r>
        <w:rPr>
          <w:rFonts w:ascii="Arial" w:hAnsi="Arial" w:cs="Arial"/>
          <w:b/>
          <w:color w:val="0000FF"/>
        </w:rPr>
        <w:t>Regulamentada</w:t>
      </w:r>
      <w:r w:rsidR="00DA7B08" w:rsidRPr="005B37D1">
        <w:rPr>
          <w:rFonts w:ascii="Arial" w:hAnsi="Arial" w:cs="Arial"/>
          <w:bCs/>
          <w:color w:val="000000"/>
        </w:rPr>
        <w:t xml:space="preserve"> por: </w:t>
      </w:r>
      <w:r w:rsidR="00DA7B08" w:rsidRPr="005B37D1">
        <w:rPr>
          <w:rFonts w:ascii="Arial" w:hAnsi="Arial" w:cs="Arial"/>
          <w:color w:val="FF0000"/>
        </w:rPr>
        <w:t>Instrução Normativa n. 61, de 1º de dezembro de 2011.</w:t>
      </w:r>
    </w:p>
    <w:p w14:paraId="73FE8E3D" w14:textId="34A66C83" w:rsidR="00350E7C" w:rsidRPr="00E834C7" w:rsidRDefault="00E834C7" w:rsidP="00E834C7">
      <w:pPr>
        <w:numPr>
          <w:ilvl w:val="0"/>
          <w:numId w:val="2"/>
        </w:numPr>
        <w:ind w:left="426" w:hanging="284"/>
        <w:jc w:val="both"/>
        <w:rPr>
          <w:b/>
        </w:rPr>
      </w:pPr>
      <w:r w:rsidRPr="005B37D1">
        <w:rPr>
          <w:rFonts w:ascii="Arial" w:hAnsi="Arial" w:cs="Arial"/>
          <w:b/>
          <w:color w:val="000000"/>
        </w:rPr>
        <w:t>Revoga</w:t>
      </w:r>
      <w:r w:rsidRPr="005B37D1">
        <w:rPr>
          <w:rFonts w:ascii="Arial" w:hAnsi="Arial" w:cs="Arial"/>
          <w:bCs/>
          <w:color w:val="000000"/>
        </w:rPr>
        <w:t xml:space="preserve">: </w:t>
      </w:r>
      <w:hyperlink r:id="rId4" w:history="1">
        <w:r w:rsidRPr="005B37D1">
          <w:rPr>
            <w:rStyle w:val="Hyperlink"/>
            <w:rFonts w:ascii="Arial" w:hAnsi="Arial" w:cs="Arial"/>
          </w:rPr>
          <w:t>Resolução n. 3, de 27 de julho de 2006</w:t>
        </w:r>
      </w:hyperlink>
      <w:r w:rsidRPr="005B37D1">
        <w:rPr>
          <w:rFonts w:ascii="Arial" w:hAnsi="Arial" w:cs="Arial"/>
          <w:bCs/>
          <w:color w:val="FF0000"/>
        </w:rPr>
        <w:t xml:space="preserve"> </w:t>
      </w:r>
      <w:r w:rsidRPr="005B37D1">
        <w:rPr>
          <w:rFonts w:ascii="Arial" w:hAnsi="Arial" w:cs="Arial"/>
        </w:rPr>
        <w:t>(a partir de 1º de janeiro de 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84ECA" w14:textId="77777777" w:rsidR="004A6546" w:rsidRPr="0045115E" w:rsidRDefault="00D017DA" w:rsidP="004F0AA6">
    <w:pPr>
      <w:keepLines/>
      <w:spacing w:before="360"/>
      <w:ind w:firstLine="1134"/>
      <w:jc w:val="center"/>
      <w:rPr>
        <w:rFonts w:ascii="Arial" w:hAnsi="Arial" w:cs="Arial"/>
        <w:sz w:val="28"/>
        <w:szCs w:val="28"/>
      </w:rPr>
    </w:pPr>
    <w:r>
      <w:rPr>
        <w:rFonts w:ascii="Arial" w:hAnsi="Arial" w:cs="Arial"/>
        <w:noProof/>
        <w:sz w:val="28"/>
        <w:szCs w:val="28"/>
      </w:rPr>
      <w:pict w14:anchorId="55E299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ao_pr_pequeno" style="position:absolute;left:0;text-align:left;margin-left:.15pt;margin-top:-.55pt;width:44.05pt;height:51.6pt;z-index:251657728;visibility:visible">
          <v:imagedata r:id="rId1" o:title="brasao_pr_pequeno"/>
        </v:shape>
      </w:pict>
    </w:r>
    <w:r w:rsidR="004A6546" w:rsidRPr="0045115E">
      <w:rPr>
        <w:rFonts w:ascii="Arial" w:hAnsi="Arial" w:cs="Arial"/>
        <w:b/>
        <w:sz w:val="28"/>
        <w:szCs w:val="28"/>
      </w:rPr>
      <w:t>TRIBUNAL DE CONTAS DO ESTADO DO PARANÁ</w:t>
    </w:r>
  </w:p>
  <w:p w14:paraId="60238DA6" w14:textId="77777777" w:rsidR="004A6546" w:rsidRDefault="004A6546" w:rsidP="00443DEF">
    <w:pPr>
      <w:keepLines/>
      <w:tabs>
        <w:tab w:val="left" w:pos="1474"/>
      </w:tabs>
      <w:spacing w:before="120" w:after="120"/>
      <w:ind w:left="352"/>
      <w:jc w:val="center"/>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82A0A"/>
    <w:multiLevelType w:val="hybridMultilevel"/>
    <w:tmpl w:val="7D80FE32"/>
    <w:lvl w:ilvl="0" w:tplc="766A26E0">
      <w:start w:val="1"/>
      <w:numFmt w:val="lowerLetter"/>
      <w:lvlText w:val="%1)"/>
      <w:lvlJc w:val="left"/>
      <w:rPr>
        <w:b w:val="0"/>
        <w:bCs w:val="0"/>
        <w:color w:val="auto"/>
        <w:sz w:val="20"/>
        <w:szCs w:val="20"/>
      </w:rPr>
    </w:lvl>
    <w:lvl w:ilvl="1" w:tplc="FFFFFFFF" w:tentative="1">
      <w:start w:val="1"/>
      <w:numFmt w:val="lowerLetter"/>
      <w:lvlText w:val="%2."/>
      <w:lvlJc w:val="left"/>
      <w:pPr>
        <w:ind w:left="1469" w:hanging="360"/>
      </w:pPr>
    </w:lvl>
    <w:lvl w:ilvl="2" w:tplc="FFFFFFFF" w:tentative="1">
      <w:start w:val="1"/>
      <w:numFmt w:val="lowerRoman"/>
      <w:lvlText w:val="%3."/>
      <w:lvlJc w:val="right"/>
      <w:pPr>
        <w:ind w:left="2189" w:hanging="180"/>
      </w:pPr>
    </w:lvl>
    <w:lvl w:ilvl="3" w:tplc="FFFFFFFF" w:tentative="1">
      <w:start w:val="1"/>
      <w:numFmt w:val="decimal"/>
      <w:lvlText w:val="%4."/>
      <w:lvlJc w:val="left"/>
      <w:pPr>
        <w:ind w:left="2909" w:hanging="360"/>
      </w:pPr>
    </w:lvl>
    <w:lvl w:ilvl="4" w:tplc="FFFFFFFF" w:tentative="1">
      <w:start w:val="1"/>
      <w:numFmt w:val="lowerLetter"/>
      <w:lvlText w:val="%5."/>
      <w:lvlJc w:val="left"/>
      <w:pPr>
        <w:ind w:left="3629" w:hanging="360"/>
      </w:pPr>
    </w:lvl>
    <w:lvl w:ilvl="5" w:tplc="FFFFFFFF" w:tentative="1">
      <w:start w:val="1"/>
      <w:numFmt w:val="lowerRoman"/>
      <w:lvlText w:val="%6."/>
      <w:lvlJc w:val="right"/>
      <w:pPr>
        <w:ind w:left="4349" w:hanging="180"/>
      </w:pPr>
    </w:lvl>
    <w:lvl w:ilvl="6" w:tplc="FFFFFFFF" w:tentative="1">
      <w:start w:val="1"/>
      <w:numFmt w:val="decimal"/>
      <w:lvlText w:val="%7."/>
      <w:lvlJc w:val="left"/>
      <w:pPr>
        <w:ind w:left="5069" w:hanging="360"/>
      </w:pPr>
    </w:lvl>
    <w:lvl w:ilvl="7" w:tplc="FFFFFFFF" w:tentative="1">
      <w:start w:val="1"/>
      <w:numFmt w:val="lowerLetter"/>
      <w:lvlText w:val="%8."/>
      <w:lvlJc w:val="left"/>
      <w:pPr>
        <w:ind w:left="5789" w:hanging="360"/>
      </w:pPr>
    </w:lvl>
    <w:lvl w:ilvl="8" w:tplc="FFFFFFFF" w:tentative="1">
      <w:start w:val="1"/>
      <w:numFmt w:val="lowerRoman"/>
      <w:lvlText w:val="%9."/>
      <w:lvlJc w:val="right"/>
      <w:pPr>
        <w:ind w:left="6509" w:hanging="180"/>
      </w:pPr>
    </w:lvl>
  </w:abstractNum>
  <w:abstractNum w:abstractNumId="1" w15:restartNumberingAfterBreak="0">
    <w:nsid w:val="4A1A1D34"/>
    <w:multiLevelType w:val="hybridMultilevel"/>
    <w:tmpl w:val="0A30307A"/>
    <w:lvl w:ilvl="0" w:tplc="BA7A8B5C">
      <w:start w:val="1"/>
      <w:numFmt w:val="lowerLetter"/>
      <w:lvlText w:val="%1)"/>
      <w:lvlJc w:val="left"/>
      <w:rPr>
        <w:color w:val="auto"/>
        <w:sz w:val="20"/>
        <w:szCs w:val="20"/>
      </w:rPr>
    </w:lvl>
    <w:lvl w:ilvl="1" w:tplc="04160019" w:tentative="1">
      <w:start w:val="1"/>
      <w:numFmt w:val="lowerLetter"/>
      <w:lvlText w:val="%2."/>
      <w:lvlJc w:val="left"/>
      <w:pPr>
        <w:ind w:left="1469" w:hanging="360"/>
      </w:pPr>
    </w:lvl>
    <w:lvl w:ilvl="2" w:tplc="0416001B" w:tentative="1">
      <w:start w:val="1"/>
      <w:numFmt w:val="lowerRoman"/>
      <w:lvlText w:val="%3."/>
      <w:lvlJc w:val="right"/>
      <w:pPr>
        <w:ind w:left="2189" w:hanging="180"/>
      </w:pPr>
    </w:lvl>
    <w:lvl w:ilvl="3" w:tplc="0416000F" w:tentative="1">
      <w:start w:val="1"/>
      <w:numFmt w:val="decimal"/>
      <w:lvlText w:val="%4."/>
      <w:lvlJc w:val="left"/>
      <w:pPr>
        <w:ind w:left="2909" w:hanging="360"/>
      </w:pPr>
    </w:lvl>
    <w:lvl w:ilvl="4" w:tplc="04160019" w:tentative="1">
      <w:start w:val="1"/>
      <w:numFmt w:val="lowerLetter"/>
      <w:lvlText w:val="%5."/>
      <w:lvlJc w:val="left"/>
      <w:pPr>
        <w:ind w:left="3629" w:hanging="360"/>
      </w:pPr>
    </w:lvl>
    <w:lvl w:ilvl="5" w:tplc="0416001B" w:tentative="1">
      <w:start w:val="1"/>
      <w:numFmt w:val="lowerRoman"/>
      <w:lvlText w:val="%6."/>
      <w:lvlJc w:val="right"/>
      <w:pPr>
        <w:ind w:left="4349" w:hanging="180"/>
      </w:pPr>
    </w:lvl>
    <w:lvl w:ilvl="6" w:tplc="0416000F" w:tentative="1">
      <w:start w:val="1"/>
      <w:numFmt w:val="decimal"/>
      <w:lvlText w:val="%7."/>
      <w:lvlJc w:val="left"/>
      <w:pPr>
        <w:ind w:left="5069" w:hanging="360"/>
      </w:pPr>
    </w:lvl>
    <w:lvl w:ilvl="7" w:tplc="04160019" w:tentative="1">
      <w:start w:val="1"/>
      <w:numFmt w:val="lowerLetter"/>
      <w:lvlText w:val="%8."/>
      <w:lvlJc w:val="left"/>
      <w:pPr>
        <w:ind w:left="5789" w:hanging="360"/>
      </w:pPr>
    </w:lvl>
    <w:lvl w:ilvl="8" w:tplc="0416001B" w:tentative="1">
      <w:start w:val="1"/>
      <w:numFmt w:val="lowerRoman"/>
      <w:lvlText w:val="%9."/>
      <w:lvlJc w:val="right"/>
      <w:pPr>
        <w:ind w:left="6509" w:hanging="180"/>
      </w:pPr>
    </w:lvl>
  </w:abstractNum>
  <w:num w:numId="1" w16cid:durableId="148912826">
    <w:abstractNumId w:val="1"/>
  </w:num>
  <w:num w:numId="2" w16cid:durableId="1796413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2EDA"/>
    <w:rsid w:val="000110FE"/>
    <w:rsid w:val="00020E5D"/>
    <w:rsid w:val="002C6AFB"/>
    <w:rsid w:val="00332EDA"/>
    <w:rsid w:val="0034202F"/>
    <w:rsid w:val="0034617D"/>
    <w:rsid w:val="00350E7C"/>
    <w:rsid w:val="003B229F"/>
    <w:rsid w:val="004242D2"/>
    <w:rsid w:val="00443DEF"/>
    <w:rsid w:val="0045115E"/>
    <w:rsid w:val="00490567"/>
    <w:rsid w:val="004A6546"/>
    <w:rsid w:val="004F0AA6"/>
    <w:rsid w:val="004F360B"/>
    <w:rsid w:val="00555F77"/>
    <w:rsid w:val="005B299F"/>
    <w:rsid w:val="005B37D1"/>
    <w:rsid w:val="006C6E0C"/>
    <w:rsid w:val="00822799"/>
    <w:rsid w:val="008F34CA"/>
    <w:rsid w:val="00925BCE"/>
    <w:rsid w:val="00945298"/>
    <w:rsid w:val="009F0D77"/>
    <w:rsid w:val="00B7319F"/>
    <w:rsid w:val="00D017DA"/>
    <w:rsid w:val="00DA6DC8"/>
    <w:rsid w:val="00DA7B08"/>
    <w:rsid w:val="00E23631"/>
    <w:rsid w:val="00E834C7"/>
    <w:rsid w:val="00FE12E5"/>
    <w:rsid w:val="00FE2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04183"/>
  <w15:chartTrackingRefBased/>
  <w15:docId w15:val="{76BC87E6-C5B3-4DDA-82A5-3EDDCE2B0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EDA"/>
    <w:pPr>
      <w:autoSpaceDE w:val="0"/>
      <w:autoSpaceDN w:val="0"/>
    </w:pPr>
    <w:rPr>
      <w:rFonts w:ascii="Times New Roman" w:eastAsia="Times New Roman" w:hAnsi="Times New Roman"/>
    </w:rPr>
  </w:style>
  <w:style w:type="paragraph" w:styleId="Ttulo2">
    <w:name w:val="heading 2"/>
    <w:basedOn w:val="Normal"/>
    <w:next w:val="Normal"/>
    <w:link w:val="Ttulo2Char"/>
    <w:qFormat/>
    <w:rsid w:val="0034202F"/>
    <w:pPr>
      <w:keepNext/>
      <w:overflowPunct w:val="0"/>
      <w:adjustRightInd w:val="0"/>
      <w:jc w:val="both"/>
      <w:textAlignment w:val="baseline"/>
      <w:outlineLvl w:val="1"/>
    </w:pPr>
    <w:rPr>
      <w:rFonts w:ascii="Arial" w:hAnsi="Arial"/>
      <w:sz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332EDA"/>
    <w:pPr>
      <w:autoSpaceDE w:val="0"/>
      <w:autoSpaceDN w:val="0"/>
      <w:adjustRightInd w:val="0"/>
    </w:pPr>
    <w:rPr>
      <w:rFonts w:ascii="Arial" w:eastAsia="Times New Roman" w:hAnsi="Arial" w:cs="Arial"/>
      <w:color w:val="000000"/>
      <w:sz w:val="24"/>
      <w:szCs w:val="24"/>
    </w:rPr>
  </w:style>
  <w:style w:type="paragraph" w:customStyle="1" w:styleId="RICaptulo">
    <w:name w:val="RI_Capítulo"/>
    <w:basedOn w:val="Normal"/>
    <w:uiPriority w:val="99"/>
    <w:qFormat/>
    <w:rsid w:val="00332EDA"/>
    <w:pPr>
      <w:keepNext/>
      <w:adjustRightInd w:val="0"/>
      <w:spacing w:before="240" w:after="240"/>
      <w:jc w:val="center"/>
    </w:pPr>
    <w:rPr>
      <w:rFonts w:ascii="Arial" w:hAnsi="Arial" w:cs="Arial"/>
      <w:b/>
      <w:bCs/>
      <w:smallCaps/>
      <w:sz w:val="24"/>
      <w:szCs w:val="24"/>
    </w:rPr>
  </w:style>
  <w:style w:type="paragraph" w:styleId="Cabealho">
    <w:name w:val="header"/>
    <w:basedOn w:val="Normal"/>
    <w:link w:val="CabealhoChar"/>
    <w:uiPriority w:val="99"/>
    <w:unhideWhenUsed/>
    <w:rsid w:val="0034202F"/>
    <w:pPr>
      <w:tabs>
        <w:tab w:val="center" w:pos="4252"/>
        <w:tab w:val="right" w:pos="8504"/>
      </w:tabs>
    </w:pPr>
  </w:style>
  <w:style w:type="character" w:customStyle="1" w:styleId="CabealhoChar">
    <w:name w:val="Cabeçalho Char"/>
    <w:link w:val="Cabealho"/>
    <w:uiPriority w:val="99"/>
    <w:rsid w:val="0034202F"/>
    <w:rPr>
      <w:rFonts w:ascii="Times New Roman" w:eastAsia="Times New Roman" w:hAnsi="Times New Roman"/>
    </w:rPr>
  </w:style>
  <w:style w:type="paragraph" w:styleId="Rodap">
    <w:name w:val="footer"/>
    <w:basedOn w:val="Normal"/>
    <w:link w:val="RodapChar"/>
    <w:uiPriority w:val="99"/>
    <w:unhideWhenUsed/>
    <w:rsid w:val="0034202F"/>
    <w:pPr>
      <w:tabs>
        <w:tab w:val="center" w:pos="4252"/>
        <w:tab w:val="right" w:pos="8504"/>
      </w:tabs>
    </w:pPr>
  </w:style>
  <w:style w:type="character" w:customStyle="1" w:styleId="RodapChar">
    <w:name w:val="Rodapé Char"/>
    <w:link w:val="Rodap"/>
    <w:uiPriority w:val="99"/>
    <w:rsid w:val="0034202F"/>
    <w:rPr>
      <w:rFonts w:ascii="Times New Roman" w:eastAsia="Times New Roman" w:hAnsi="Times New Roman"/>
    </w:rPr>
  </w:style>
  <w:style w:type="character" w:customStyle="1" w:styleId="Ttulo2Char">
    <w:name w:val="Título 2 Char"/>
    <w:link w:val="Ttulo2"/>
    <w:rsid w:val="0034202F"/>
    <w:rPr>
      <w:rFonts w:ascii="Arial" w:eastAsia="Times New Roman" w:hAnsi="Arial"/>
      <w:sz w:val="24"/>
      <w:u w:val="single"/>
    </w:rPr>
  </w:style>
  <w:style w:type="paragraph" w:styleId="Recuodecorpodetexto3">
    <w:name w:val="Body Text Indent 3"/>
    <w:basedOn w:val="Normal"/>
    <w:link w:val="Recuodecorpodetexto3Char"/>
    <w:rsid w:val="008F34CA"/>
    <w:pPr>
      <w:autoSpaceDE/>
      <w:autoSpaceDN/>
      <w:spacing w:before="120"/>
      <w:ind w:firstLine="720"/>
      <w:jc w:val="both"/>
    </w:pPr>
    <w:rPr>
      <w:rFonts w:ascii="Arial" w:hAnsi="Arial"/>
      <w:color w:val="FF0000"/>
      <w:sz w:val="24"/>
      <w:szCs w:val="24"/>
    </w:rPr>
  </w:style>
  <w:style w:type="character" w:customStyle="1" w:styleId="Recuodecorpodetexto3Char">
    <w:name w:val="Recuo de corpo de texto 3 Char"/>
    <w:link w:val="Recuodecorpodetexto3"/>
    <w:rsid w:val="008F34CA"/>
    <w:rPr>
      <w:rFonts w:ascii="Arial" w:eastAsia="Times New Roman" w:hAnsi="Arial"/>
      <w:color w:val="FF0000"/>
      <w:sz w:val="24"/>
      <w:szCs w:val="24"/>
    </w:rPr>
  </w:style>
  <w:style w:type="paragraph" w:styleId="Textodenotaderodap">
    <w:name w:val="footnote text"/>
    <w:basedOn w:val="Normal"/>
    <w:link w:val="TextodenotaderodapChar"/>
    <w:unhideWhenUsed/>
    <w:rsid w:val="00FE12E5"/>
  </w:style>
  <w:style w:type="character" w:customStyle="1" w:styleId="TextodenotaderodapChar">
    <w:name w:val="Texto de nota de rodapé Char"/>
    <w:link w:val="Textodenotaderodap"/>
    <w:rsid w:val="00FE12E5"/>
    <w:rPr>
      <w:rFonts w:ascii="Times New Roman" w:eastAsia="Times New Roman" w:hAnsi="Times New Roman"/>
    </w:rPr>
  </w:style>
  <w:style w:type="character" w:styleId="Refdenotaderodap">
    <w:name w:val="footnote reference"/>
    <w:uiPriority w:val="99"/>
    <w:semiHidden/>
    <w:unhideWhenUsed/>
    <w:rsid w:val="00FE12E5"/>
    <w:rPr>
      <w:vertAlign w:val="superscript"/>
    </w:rPr>
  </w:style>
  <w:style w:type="character" w:styleId="Hyperlink">
    <w:name w:val="Hyperlink"/>
    <w:uiPriority w:val="99"/>
    <w:rsid w:val="00FE12E5"/>
    <w:rPr>
      <w:color w:val="0000FF"/>
      <w:u w:val="single"/>
    </w:rPr>
  </w:style>
  <w:style w:type="character" w:styleId="MenoPendente">
    <w:name w:val="Unresolved Mention"/>
    <w:uiPriority w:val="99"/>
    <w:semiHidden/>
    <w:unhideWhenUsed/>
    <w:rsid w:val="00FE1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tce.pr.gov.br/conteudo/resolucao-n&#186;-32006/1401/area/2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stf.jus.br/portal/peticaoInicial/verPeticaoInicial.asp?base=ADIN&amp;s1=4872&amp;processo=4872" TargetMode="External"/><Relationship Id="rId2" Type="http://schemas.openxmlformats.org/officeDocument/2006/relationships/hyperlink" Target="http://www1.tce.pr.gov.br/conteudo/resolucao-n-46-de-12-de-junho-de-2014/257415/area/10" TargetMode="External"/><Relationship Id="rId1" Type="http://schemas.openxmlformats.org/officeDocument/2006/relationships/hyperlink" Target="http://www1.tce.pr.gov.br/multimidia/2011/10/pdf/00000247.pdf" TargetMode="External"/><Relationship Id="rId4" Type="http://schemas.openxmlformats.org/officeDocument/2006/relationships/hyperlink" Target="http://www1.tce.pr.gov.br/conteudo/resolucao-n&#186;-32006/1401/area/24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12</Pages>
  <Words>4279</Words>
  <Characters>23108</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Tribunal de Contas do estado do Paraná</Company>
  <LinksUpToDate>false</LinksUpToDate>
  <CharactersWithSpaces>27333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tc513938</dc:creator>
  <cp:keywords/>
  <cp:lastModifiedBy>Yarusya Fonseca</cp:lastModifiedBy>
  <cp:revision>18</cp:revision>
  <dcterms:created xsi:type="dcterms:W3CDTF">2022-07-06T14:13:00Z</dcterms:created>
  <dcterms:modified xsi:type="dcterms:W3CDTF">2022-07-14T23:18:00Z</dcterms:modified>
</cp:coreProperties>
</file>