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C7993" w14:textId="5C569FAC" w:rsidR="005859FB" w:rsidRPr="00827C81" w:rsidRDefault="00BF6F94" w:rsidP="00CE7DD7">
      <w:pPr>
        <w:pStyle w:val="CabealhodoSumrio"/>
        <w:spacing w:before="12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RESOLUÇÃO</w:t>
      </w:r>
      <w:r w:rsidR="00AC33FB">
        <w:rPr>
          <w:rFonts w:ascii="Arial" w:hAnsi="Arial" w:cs="Arial"/>
          <w:b/>
          <w:bCs/>
          <w:color w:val="auto"/>
          <w:sz w:val="28"/>
          <w:szCs w:val="28"/>
        </w:rPr>
        <w:t xml:space="preserve"> Nº 91/2022</w:t>
      </w:r>
      <w:r w:rsidR="00CD40C0">
        <w:rPr>
          <w:rStyle w:val="Refdenotaderodap"/>
          <w:rFonts w:ascii="Arial" w:hAnsi="Arial" w:cs="Arial"/>
          <w:b/>
          <w:bCs/>
          <w:color w:val="auto"/>
          <w:sz w:val="28"/>
          <w:szCs w:val="28"/>
        </w:rPr>
        <w:footnoteReference w:id="1"/>
      </w:r>
    </w:p>
    <w:p w14:paraId="2A00D3D8" w14:textId="77777777" w:rsidR="005859FB" w:rsidRPr="00896E0A" w:rsidRDefault="00BF6F94" w:rsidP="00CE7DD7">
      <w:pPr>
        <w:pStyle w:val="Ementa"/>
        <w:spacing w:before="360" w:after="360"/>
        <w:ind w:left="4536"/>
        <w:rPr>
          <w:rFonts w:cs="Arial"/>
          <w:i/>
          <w:sz w:val="24"/>
        </w:rPr>
      </w:pPr>
      <w:r w:rsidRPr="00145348">
        <w:rPr>
          <w:rFonts w:cs="Arial"/>
          <w:i/>
          <w:szCs w:val="22"/>
        </w:rPr>
        <w:t xml:space="preserve">Dispõe sobre alterações </w:t>
      </w:r>
      <w:r w:rsidR="005D0E17" w:rsidRPr="00145348">
        <w:rPr>
          <w:rFonts w:cs="Arial"/>
          <w:i/>
          <w:szCs w:val="22"/>
        </w:rPr>
        <w:t>d</w:t>
      </w:r>
      <w:r w:rsidRPr="00145348">
        <w:rPr>
          <w:rFonts w:cs="Arial"/>
          <w:i/>
          <w:szCs w:val="22"/>
        </w:rPr>
        <w:t xml:space="preserve">o </w:t>
      </w:r>
      <w:r w:rsidR="005D0E17" w:rsidRPr="00145348">
        <w:rPr>
          <w:rFonts w:cs="Arial"/>
          <w:i/>
          <w:szCs w:val="22"/>
        </w:rPr>
        <w:t>R</w:t>
      </w:r>
      <w:r w:rsidRPr="00145348">
        <w:rPr>
          <w:rFonts w:cs="Arial"/>
          <w:i/>
          <w:szCs w:val="22"/>
        </w:rPr>
        <w:t>egimento Interno</w:t>
      </w:r>
      <w:r w:rsidR="005859FB" w:rsidRPr="00896E0A">
        <w:rPr>
          <w:rFonts w:cs="Arial"/>
          <w:i/>
          <w:sz w:val="24"/>
        </w:rPr>
        <w:t>.</w:t>
      </w:r>
    </w:p>
    <w:p w14:paraId="7CCBDE55" w14:textId="76109392" w:rsidR="00BF6F94" w:rsidRPr="00145348" w:rsidRDefault="00BF6F94" w:rsidP="00BF6F94">
      <w:pPr>
        <w:pStyle w:val="Texto"/>
        <w:spacing w:before="240" w:after="120"/>
        <w:ind w:firstLine="1134"/>
        <w:rPr>
          <w:rFonts w:cs="Arial"/>
          <w:sz w:val="24"/>
        </w:rPr>
      </w:pPr>
      <w:r w:rsidRPr="00145348">
        <w:rPr>
          <w:rFonts w:cs="Arial"/>
          <w:bCs/>
          <w:sz w:val="24"/>
        </w:rPr>
        <w:t xml:space="preserve">O </w:t>
      </w:r>
      <w:r w:rsidRPr="00145348">
        <w:rPr>
          <w:rFonts w:cs="Arial"/>
          <w:b/>
          <w:sz w:val="24"/>
        </w:rPr>
        <w:t>TRIBUNAL DE CONTAS DO ESTADO DO PARANÁ</w:t>
      </w:r>
      <w:r w:rsidRPr="00145348">
        <w:rPr>
          <w:rFonts w:cs="Arial"/>
          <w:sz w:val="24"/>
        </w:rPr>
        <w:t xml:space="preserve">, </w:t>
      </w:r>
      <w:r w:rsidRPr="00145348">
        <w:rPr>
          <w:rFonts w:cs="Arial"/>
          <w:bCs/>
          <w:sz w:val="24"/>
        </w:rPr>
        <w:t xml:space="preserve">no uso das atribuições institucionais estabelecidas na Constituição do Estado, e com base nos arts. 2º, I, 116, XII, e parágrafo único, </w:t>
      </w:r>
      <w:r w:rsidR="005D0E17" w:rsidRPr="00145348">
        <w:rPr>
          <w:rFonts w:cs="Arial"/>
          <w:bCs/>
          <w:sz w:val="24"/>
        </w:rPr>
        <w:t xml:space="preserve">e 167, </w:t>
      </w:r>
      <w:r w:rsidRPr="00145348">
        <w:rPr>
          <w:rFonts w:cs="Arial"/>
          <w:bCs/>
          <w:sz w:val="24"/>
        </w:rPr>
        <w:t>da Lei Complementar nº 113, de 15 de dezembro de 2005, e no art. 5º, XIII, c/c os arts. 188 a 192, do Regimento Interno</w:t>
      </w:r>
      <w:r w:rsidRPr="00145348">
        <w:rPr>
          <w:rFonts w:cs="Arial"/>
          <w:sz w:val="24"/>
        </w:rPr>
        <w:t xml:space="preserve">, e considerando o </w:t>
      </w:r>
      <w:hyperlink r:id="rId11" w:history="1">
        <w:r w:rsidRPr="008F56BD">
          <w:rPr>
            <w:rStyle w:val="Hyperlink"/>
            <w:rFonts w:cs="Arial"/>
            <w:sz w:val="24"/>
          </w:rPr>
          <w:t xml:space="preserve">Acórdão nº </w:t>
        </w:r>
        <w:r w:rsidR="00AC33FB" w:rsidRPr="008F56BD">
          <w:rPr>
            <w:rStyle w:val="Hyperlink"/>
            <w:rFonts w:cs="Arial"/>
            <w:sz w:val="24"/>
          </w:rPr>
          <w:t>3.462/2021</w:t>
        </w:r>
        <w:r w:rsidRPr="008F56BD">
          <w:rPr>
            <w:rStyle w:val="Hyperlink"/>
            <w:rFonts w:cs="Arial"/>
            <w:sz w:val="24"/>
          </w:rPr>
          <w:t xml:space="preserve"> - Tribunal Pleno</w:t>
        </w:r>
      </w:hyperlink>
      <w:r w:rsidRPr="00145348">
        <w:rPr>
          <w:rFonts w:cs="Arial"/>
          <w:sz w:val="24"/>
        </w:rPr>
        <w:t xml:space="preserve">, Processo nº </w:t>
      </w:r>
      <w:r w:rsidR="00AC33FB" w:rsidRPr="00145348">
        <w:rPr>
          <w:rFonts w:cs="Arial"/>
          <w:sz w:val="24"/>
        </w:rPr>
        <w:t>450456/2021</w:t>
      </w:r>
      <w:r w:rsidRPr="00145348">
        <w:rPr>
          <w:rFonts w:cs="Arial"/>
          <w:sz w:val="24"/>
        </w:rPr>
        <w:t>,</w:t>
      </w:r>
    </w:p>
    <w:p w14:paraId="341D4D0E" w14:textId="77777777" w:rsidR="005859FB" w:rsidRPr="00145348" w:rsidRDefault="005859FB" w:rsidP="00001A02">
      <w:pPr>
        <w:pStyle w:val="Texto"/>
        <w:spacing w:before="360" w:after="240"/>
        <w:ind w:firstLine="1134"/>
        <w:rPr>
          <w:rFonts w:cs="Arial"/>
          <w:b/>
          <w:bCs/>
          <w:sz w:val="24"/>
        </w:rPr>
      </w:pPr>
      <w:r w:rsidRPr="00145348">
        <w:rPr>
          <w:rFonts w:cs="Arial"/>
          <w:b/>
          <w:bCs/>
          <w:sz w:val="24"/>
        </w:rPr>
        <w:t>RESOLVE:</w:t>
      </w:r>
    </w:p>
    <w:p w14:paraId="6321D465" w14:textId="77777777" w:rsidR="00B27EB1" w:rsidRPr="00145348" w:rsidRDefault="00B27EB1" w:rsidP="00B27EB1">
      <w:pPr>
        <w:pStyle w:val="ArtigosOrdinais"/>
        <w:ind w:firstLine="1134"/>
        <w:rPr>
          <w:rFonts w:cs="Arial"/>
          <w:sz w:val="24"/>
        </w:rPr>
      </w:pPr>
      <w:r w:rsidRPr="00145348">
        <w:rPr>
          <w:rFonts w:cs="Arial"/>
          <w:b/>
          <w:sz w:val="24"/>
        </w:rPr>
        <w:t>Art. 1º</w:t>
      </w:r>
      <w:r w:rsidRPr="00145348">
        <w:rPr>
          <w:rFonts w:cs="Arial"/>
          <w:bCs w:val="0"/>
          <w:sz w:val="24"/>
        </w:rPr>
        <w:t xml:space="preserve"> </w:t>
      </w:r>
      <w:r w:rsidR="007E1065" w:rsidRPr="00145348">
        <w:rPr>
          <w:rFonts w:cs="Arial"/>
          <w:sz w:val="24"/>
        </w:rPr>
        <w:t>Os dispositivos do Regimento Interno adiante enumerados passam a vigorar com a seguinte redação</w:t>
      </w:r>
      <w:r w:rsidRPr="00145348">
        <w:rPr>
          <w:rFonts w:cs="Arial"/>
          <w:sz w:val="24"/>
        </w:rPr>
        <w:t>:</w:t>
      </w:r>
    </w:p>
    <w:p w14:paraId="23DE1D61" w14:textId="77777777" w:rsidR="006D4EEA" w:rsidRPr="00145348" w:rsidRDefault="006D4EEA" w:rsidP="00D45176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145348">
        <w:rPr>
          <w:rFonts w:ascii="Arial" w:hAnsi="Arial" w:cs="Arial"/>
          <w:b/>
          <w:bCs/>
          <w:sz w:val="24"/>
          <w:szCs w:val="24"/>
        </w:rPr>
        <w:t>“</w:t>
      </w:r>
      <w:r w:rsidRPr="00145348">
        <w:rPr>
          <w:rFonts w:ascii="Arial" w:hAnsi="Arial" w:cs="Arial"/>
          <w:sz w:val="24"/>
          <w:szCs w:val="24"/>
          <w:u w:val="single"/>
        </w:rPr>
        <w:t>Art. 175-I</w:t>
      </w:r>
      <w:r w:rsidRPr="00145348">
        <w:rPr>
          <w:rFonts w:ascii="Arial" w:hAnsi="Arial" w:cs="Arial"/>
          <w:sz w:val="24"/>
          <w:szCs w:val="24"/>
        </w:rPr>
        <w:t xml:space="preserve">. </w:t>
      </w:r>
      <w:r w:rsidR="005D0E17" w:rsidRPr="00145348">
        <w:rPr>
          <w:rFonts w:ascii="Arial" w:hAnsi="Arial" w:cs="Arial"/>
          <w:sz w:val="24"/>
          <w:szCs w:val="24"/>
        </w:rPr>
        <w:t>..........</w:t>
      </w:r>
    </w:p>
    <w:p w14:paraId="1B19E14A" w14:textId="77777777" w:rsidR="006D4EEA" w:rsidRPr="00145348" w:rsidRDefault="006D4EEA" w:rsidP="00D45176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145348">
        <w:rPr>
          <w:rFonts w:ascii="Arial" w:hAnsi="Arial" w:cs="Arial"/>
          <w:sz w:val="24"/>
          <w:szCs w:val="24"/>
        </w:rPr>
        <w:t>.......................</w:t>
      </w:r>
      <w:r w:rsidR="005D0E17" w:rsidRPr="00145348">
        <w:rPr>
          <w:rFonts w:ascii="Arial" w:hAnsi="Arial" w:cs="Arial"/>
          <w:sz w:val="24"/>
          <w:szCs w:val="24"/>
        </w:rPr>
        <w:t>......</w:t>
      </w:r>
    </w:p>
    <w:p w14:paraId="4AE49F8F" w14:textId="77777777" w:rsidR="006D4EEA" w:rsidRPr="00145348" w:rsidRDefault="006D4EEA" w:rsidP="006D4EEA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145348">
        <w:rPr>
          <w:rFonts w:ascii="Arial" w:hAnsi="Arial" w:cs="Arial"/>
          <w:sz w:val="24"/>
          <w:szCs w:val="24"/>
        </w:rPr>
        <w:t xml:space="preserve">II </w:t>
      </w:r>
      <w:r w:rsidR="0030212E" w:rsidRPr="00145348">
        <w:rPr>
          <w:rFonts w:ascii="Arial" w:hAnsi="Arial" w:cs="Arial"/>
          <w:sz w:val="24"/>
          <w:szCs w:val="24"/>
        </w:rPr>
        <w:t>-</w:t>
      </w:r>
      <w:r w:rsidRPr="00145348">
        <w:rPr>
          <w:rFonts w:ascii="Arial" w:hAnsi="Arial" w:cs="Arial"/>
          <w:sz w:val="24"/>
          <w:szCs w:val="24"/>
        </w:rPr>
        <w:t xml:space="preserve"> realizar as auditorias, levantamentos, acompanhamentos e monitoramentos em programas cofinanciados por operações de crédito contraídas pelo Estado do Paraná e Municípios ou oriundos de doação de organismos multilaterais de crédito, mediante determinação da Presidência ou em consonância com o Plano Anual de Fiscalização; (NR)</w:t>
      </w:r>
    </w:p>
    <w:p w14:paraId="3FCA1C52" w14:textId="77777777" w:rsidR="006D4EEA" w:rsidRPr="00145348" w:rsidRDefault="006D4EEA" w:rsidP="006D4EEA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145348">
        <w:rPr>
          <w:rFonts w:ascii="Arial" w:hAnsi="Arial" w:cs="Arial"/>
          <w:sz w:val="24"/>
          <w:szCs w:val="24"/>
        </w:rPr>
        <w:t>..................</w:t>
      </w:r>
      <w:r w:rsidR="005D0E17" w:rsidRPr="00145348">
        <w:rPr>
          <w:rFonts w:ascii="Arial" w:hAnsi="Arial" w:cs="Arial"/>
          <w:sz w:val="24"/>
          <w:szCs w:val="24"/>
        </w:rPr>
        <w:t>..........</w:t>
      </w:r>
      <w:r w:rsidRPr="00145348">
        <w:rPr>
          <w:rFonts w:ascii="Arial" w:hAnsi="Arial" w:cs="Arial"/>
          <w:sz w:val="24"/>
          <w:szCs w:val="24"/>
        </w:rPr>
        <w:t>.</w:t>
      </w:r>
    </w:p>
    <w:p w14:paraId="47AD5ACB" w14:textId="77777777" w:rsidR="00B91499" w:rsidRPr="00145348" w:rsidRDefault="006D4EEA" w:rsidP="00B91499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145348">
        <w:rPr>
          <w:rFonts w:ascii="Arial" w:hAnsi="Arial" w:cs="Arial"/>
          <w:sz w:val="24"/>
          <w:szCs w:val="24"/>
        </w:rPr>
        <w:t xml:space="preserve">IX </w:t>
      </w:r>
      <w:r w:rsidR="0030212E" w:rsidRPr="00145348">
        <w:rPr>
          <w:rFonts w:ascii="Arial" w:hAnsi="Arial" w:cs="Arial"/>
          <w:sz w:val="24"/>
          <w:szCs w:val="24"/>
        </w:rPr>
        <w:t>-</w:t>
      </w:r>
      <w:r w:rsidRPr="00145348">
        <w:rPr>
          <w:rFonts w:ascii="Arial" w:hAnsi="Arial" w:cs="Arial"/>
          <w:sz w:val="24"/>
          <w:szCs w:val="24"/>
        </w:rPr>
        <w:t xml:space="preserve"> elaborar e disponibilizar relatórios das auditorias, inspeções, levantamentos e monitoramentos que realizar, de acordo com as normas e padrões adotados pelo TCEPR;”</w:t>
      </w:r>
      <w:r w:rsidR="00B91499" w:rsidRPr="00145348">
        <w:rPr>
          <w:rFonts w:ascii="Arial" w:hAnsi="Arial" w:cs="Arial"/>
          <w:sz w:val="24"/>
          <w:szCs w:val="24"/>
        </w:rPr>
        <w:t xml:space="preserve"> (NR)</w:t>
      </w:r>
    </w:p>
    <w:p w14:paraId="6080F1E4" w14:textId="77777777" w:rsidR="006D4EEA" w:rsidRPr="00145348" w:rsidRDefault="006D4EEA" w:rsidP="006D4EEA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145348">
        <w:rPr>
          <w:rFonts w:ascii="Arial" w:hAnsi="Arial" w:cs="Arial"/>
          <w:sz w:val="24"/>
          <w:szCs w:val="24"/>
        </w:rPr>
        <w:t>“</w:t>
      </w:r>
      <w:r w:rsidRPr="00145348">
        <w:rPr>
          <w:rFonts w:ascii="Arial" w:hAnsi="Arial" w:cs="Arial"/>
          <w:sz w:val="24"/>
          <w:szCs w:val="24"/>
          <w:u w:val="single"/>
        </w:rPr>
        <w:t>Art. 175-L</w:t>
      </w:r>
      <w:r w:rsidRPr="00145348">
        <w:rPr>
          <w:rFonts w:ascii="Arial" w:hAnsi="Arial" w:cs="Arial"/>
          <w:sz w:val="24"/>
          <w:szCs w:val="24"/>
        </w:rPr>
        <w:t>. ........</w:t>
      </w:r>
    </w:p>
    <w:p w14:paraId="4DCC90FE" w14:textId="77777777" w:rsidR="006D4EEA" w:rsidRPr="00145348" w:rsidRDefault="006D4EEA" w:rsidP="006D4EEA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145348">
        <w:rPr>
          <w:rFonts w:ascii="Arial" w:hAnsi="Arial" w:cs="Arial"/>
          <w:sz w:val="24"/>
          <w:szCs w:val="24"/>
        </w:rPr>
        <w:t>.......................</w:t>
      </w:r>
      <w:r w:rsidR="005D0E17" w:rsidRPr="00145348">
        <w:rPr>
          <w:rFonts w:ascii="Arial" w:hAnsi="Arial" w:cs="Arial"/>
          <w:sz w:val="24"/>
          <w:szCs w:val="24"/>
        </w:rPr>
        <w:t>.....</w:t>
      </w:r>
    </w:p>
    <w:p w14:paraId="3BE33FF5" w14:textId="77777777" w:rsidR="006D4EEA" w:rsidRPr="00145348" w:rsidRDefault="006D4EEA" w:rsidP="006D4EEA">
      <w:pPr>
        <w:spacing w:before="120"/>
        <w:ind w:firstLine="1134"/>
        <w:jc w:val="both"/>
        <w:rPr>
          <w:sz w:val="24"/>
          <w:szCs w:val="24"/>
          <w:lang w:eastAsia="pt-BR"/>
        </w:rPr>
      </w:pPr>
      <w:r w:rsidRPr="00145348">
        <w:rPr>
          <w:rFonts w:ascii="Arial" w:hAnsi="Arial" w:cs="Arial"/>
          <w:sz w:val="24"/>
          <w:szCs w:val="24"/>
        </w:rPr>
        <w:t>XV – monitorar o cumprimento das determinações e a implementação das recomendações expedidas em processos que envolvam a área municipal de competência das Coordenadorias, incluída a verificação do cumprimento de decisões, dando os encaminhamentos necessários em caso de descumprimento;”</w:t>
      </w:r>
      <w:r w:rsidR="006A177B" w:rsidRPr="00145348">
        <w:rPr>
          <w:rFonts w:ascii="Arial" w:hAnsi="Arial" w:cs="Arial"/>
          <w:sz w:val="24"/>
          <w:szCs w:val="24"/>
        </w:rPr>
        <w:t xml:space="preserve"> (NR)</w:t>
      </w:r>
    </w:p>
    <w:p w14:paraId="1819721F" w14:textId="77777777" w:rsidR="00D45176" w:rsidRPr="00145348" w:rsidRDefault="00D45176" w:rsidP="00D45176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145348">
        <w:rPr>
          <w:rFonts w:ascii="Arial" w:hAnsi="Arial" w:cs="Arial"/>
          <w:sz w:val="24"/>
          <w:szCs w:val="24"/>
        </w:rPr>
        <w:lastRenderedPageBreak/>
        <w:t>“</w:t>
      </w:r>
      <w:r w:rsidRPr="00145348">
        <w:rPr>
          <w:rFonts w:ascii="Arial" w:hAnsi="Arial" w:cs="Arial"/>
          <w:sz w:val="24"/>
          <w:szCs w:val="24"/>
          <w:u w:val="single"/>
        </w:rPr>
        <w:t xml:space="preserve">Art. </w:t>
      </w:r>
      <w:r w:rsidR="007E1065" w:rsidRPr="00145348">
        <w:rPr>
          <w:rFonts w:ascii="Arial" w:hAnsi="Arial" w:cs="Arial"/>
          <w:sz w:val="24"/>
          <w:szCs w:val="24"/>
          <w:u w:val="single"/>
        </w:rPr>
        <w:t>26</w:t>
      </w:r>
      <w:r w:rsidRPr="00145348">
        <w:rPr>
          <w:rFonts w:ascii="Arial" w:hAnsi="Arial" w:cs="Arial"/>
          <w:sz w:val="24"/>
          <w:szCs w:val="24"/>
          <w:u w:val="single"/>
        </w:rPr>
        <w:t>7</w:t>
      </w:r>
      <w:r w:rsidR="007E1065" w:rsidRPr="00145348">
        <w:rPr>
          <w:rFonts w:ascii="Arial" w:hAnsi="Arial" w:cs="Arial"/>
          <w:sz w:val="24"/>
          <w:szCs w:val="24"/>
          <w:u w:val="single"/>
        </w:rPr>
        <w:t>-A</w:t>
      </w:r>
      <w:r w:rsidRPr="00145348">
        <w:rPr>
          <w:rFonts w:ascii="Arial" w:hAnsi="Arial" w:cs="Arial"/>
          <w:sz w:val="24"/>
          <w:szCs w:val="24"/>
        </w:rPr>
        <w:t>. ........</w:t>
      </w:r>
    </w:p>
    <w:p w14:paraId="233BDA1E" w14:textId="77777777" w:rsidR="00D45176" w:rsidRPr="00145348" w:rsidRDefault="00D45176" w:rsidP="00D45176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145348">
        <w:rPr>
          <w:rFonts w:ascii="Arial" w:hAnsi="Arial" w:cs="Arial"/>
          <w:sz w:val="24"/>
          <w:szCs w:val="24"/>
        </w:rPr>
        <w:t>...........................</w:t>
      </w:r>
    </w:p>
    <w:p w14:paraId="4A2B75FB" w14:textId="77777777" w:rsidR="00B91499" w:rsidRPr="00145348" w:rsidRDefault="007E1065" w:rsidP="00B91499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145348">
        <w:rPr>
          <w:rFonts w:ascii="Arial" w:hAnsi="Arial" w:cs="Arial"/>
          <w:sz w:val="24"/>
          <w:szCs w:val="24"/>
        </w:rPr>
        <w:t xml:space="preserve">§ 1º Será protocolada proposta de instauração de tomada de contas extraordinária, caso presentes os requisitos do art. 262, ou de representação, se verificada ilegalidade que demande a adoção imediata de providências necessárias ao exato cumprimento da lei, ressalvada a preferência </w:t>
      </w:r>
      <w:r w:rsidR="008B115E" w:rsidRPr="00145348">
        <w:rPr>
          <w:rFonts w:ascii="Arial" w:hAnsi="Arial" w:cs="Arial"/>
          <w:sz w:val="24"/>
          <w:szCs w:val="24"/>
        </w:rPr>
        <w:t>p</w:t>
      </w:r>
      <w:r w:rsidR="006131CC" w:rsidRPr="00145348">
        <w:rPr>
          <w:rFonts w:ascii="Arial" w:hAnsi="Arial" w:cs="Arial"/>
          <w:sz w:val="24"/>
          <w:szCs w:val="24"/>
        </w:rPr>
        <w:t>el</w:t>
      </w:r>
      <w:r w:rsidR="008B115E" w:rsidRPr="00145348">
        <w:rPr>
          <w:rFonts w:ascii="Arial" w:hAnsi="Arial" w:cs="Arial"/>
          <w:sz w:val="24"/>
          <w:szCs w:val="24"/>
        </w:rPr>
        <w:t>a</w:t>
      </w:r>
      <w:r w:rsidRPr="00145348">
        <w:rPr>
          <w:rFonts w:ascii="Arial" w:hAnsi="Arial" w:cs="Arial"/>
          <w:sz w:val="24"/>
          <w:szCs w:val="24"/>
        </w:rPr>
        <w:t xml:space="preserve"> utilização do instrumento previsto no</w:t>
      </w:r>
      <w:r w:rsidR="00951F73" w:rsidRPr="00145348">
        <w:rPr>
          <w:rFonts w:ascii="Arial" w:hAnsi="Arial" w:cs="Arial"/>
          <w:sz w:val="24"/>
          <w:szCs w:val="24"/>
        </w:rPr>
        <w:t>s</w:t>
      </w:r>
      <w:r w:rsidRPr="00145348">
        <w:rPr>
          <w:rFonts w:ascii="Arial" w:hAnsi="Arial" w:cs="Arial"/>
          <w:sz w:val="24"/>
          <w:szCs w:val="24"/>
        </w:rPr>
        <w:t xml:space="preserve"> </w:t>
      </w:r>
      <w:r w:rsidR="002D068A" w:rsidRPr="00145348">
        <w:rPr>
          <w:rFonts w:ascii="Arial" w:hAnsi="Arial" w:cs="Arial"/>
          <w:sz w:val="24"/>
          <w:szCs w:val="24"/>
        </w:rPr>
        <w:t xml:space="preserve">§ 2° e § 3° </w:t>
      </w:r>
      <w:r w:rsidRPr="00145348">
        <w:rPr>
          <w:rFonts w:ascii="Arial" w:hAnsi="Arial" w:cs="Arial"/>
          <w:sz w:val="24"/>
          <w:szCs w:val="24"/>
        </w:rPr>
        <w:t>deste art. 267-A.</w:t>
      </w:r>
      <w:r w:rsidR="008B115E" w:rsidRPr="00145348">
        <w:rPr>
          <w:rFonts w:ascii="Arial" w:hAnsi="Arial" w:cs="Arial"/>
          <w:sz w:val="24"/>
          <w:szCs w:val="24"/>
        </w:rPr>
        <w:t>”</w:t>
      </w:r>
      <w:r w:rsidR="00B91499" w:rsidRPr="00145348">
        <w:rPr>
          <w:rFonts w:ascii="Arial" w:hAnsi="Arial" w:cs="Arial"/>
          <w:sz w:val="24"/>
          <w:szCs w:val="24"/>
        </w:rPr>
        <w:t xml:space="preserve"> (NR)</w:t>
      </w:r>
    </w:p>
    <w:p w14:paraId="005A0A29" w14:textId="77777777" w:rsidR="009D6D73" w:rsidRPr="00145348" w:rsidRDefault="009D6D73" w:rsidP="009D6D73">
      <w:pPr>
        <w:pStyle w:val="ArtigosOrdinais"/>
        <w:ind w:firstLine="1134"/>
        <w:rPr>
          <w:rFonts w:cs="Arial"/>
          <w:sz w:val="24"/>
        </w:rPr>
      </w:pPr>
      <w:r w:rsidRPr="00145348">
        <w:rPr>
          <w:rFonts w:cs="Arial"/>
          <w:b/>
          <w:sz w:val="24"/>
        </w:rPr>
        <w:t xml:space="preserve">Art. </w:t>
      </w:r>
      <w:r w:rsidR="00BB46C8" w:rsidRPr="00145348">
        <w:rPr>
          <w:rFonts w:cs="Arial"/>
          <w:b/>
          <w:sz w:val="24"/>
        </w:rPr>
        <w:t>2</w:t>
      </w:r>
      <w:r w:rsidRPr="00145348">
        <w:rPr>
          <w:rFonts w:cs="Arial"/>
          <w:b/>
          <w:sz w:val="24"/>
        </w:rPr>
        <w:t>º</w:t>
      </w:r>
      <w:r w:rsidRPr="00145348">
        <w:rPr>
          <w:rFonts w:cs="Arial"/>
          <w:bCs w:val="0"/>
          <w:sz w:val="24"/>
        </w:rPr>
        <w:t xml:space="preserve"> </w:t>
      </w:r>
      <w:r w:rsidRPr="00145348">
        <w:rPr>
          <w:rFonts w:cs="Arial"/>
          <w:sz w:val="24"/>
        </w:rPr>
        <w:t xml:space="preserve">Fica incluído no </w:t>
      </w:r>
      <w:r w:rsidR="00BB46C8" w:rsidRPr="00145348">
        <w:rPr>
          <w:rFonts w:cs="Arial"/>
          <w:sz w:val="24"/>
        </w:rPr>
        <w:t xml:space="preserve">art. 277 do </w:t>
      </w:r>
      <w:r w:rsidRPr="00145348">
        <w:rPr>
          <w:rFonts w:cs="Arial"/>
          <w:sz w:val="24"/>
        </w:rPr>
        <w:t xml:space="preserve">Regimento Interno o </w:t>
      </w:r>
      <w:r w:rsidR="00BB46C8" w:rsidRPr="00145348">
        <w:rPr>
          <w:rFonts w:cs="Arial"/>
          <w:sz w:val="24"/>
        </w:rPr>
        <w:t>§ 3º</w:t>
      </w:r>
      <w:r w:rsidRPr="00145348">
        <w:rPr>
          <w:rFonts w:cs="Arial"/>
          <w:sz w:val="24"/>
        </w:rPr>
        <w:t>, com a seguinte redação:</w:t>
      </w:r>
    </w:p>
    <w:p w14:paraId="1944708F" w14:textId="77777777" w:rsidR="009D6D73" w:rsidRPr="00145348" w:rsidRDefault="009D6D73" w:rsidP="009D6D73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145348">
        <w:rPr>
          <w:rFonts w:ascii="Arial" w:hAnsi="Arial" w:cs="Arial"/>
          <w:sz w:val="24"/>
          <w:szCs w:val="24"/>
        </w:rPr>
        <w:t>“</w:t>
      </w:r>
      <w:r w:rsidRPr="00145348">
        <w:rPr>
          <w:rFonts w:ascii="Arial" w:hAnsi="Arial" w:cs="Arial"/>
          <w:sz w:val="24"/>
          <w:szCs w:val="24"/>
          <w:u w:val="single"/>
        </w:rPr>
        <w:t>Art. 277</w:t>
      </w:r>
      <w:r w:rsidRPr="00145348">
        <w:rPr>
          <w:rFonts w:ascii="Arial" w:hAnsi="Arial" w:cs="Arial"/>
          <w:sz w:val="24"/>
          <w:szCs w:val="24"/>
        </w:rPr>
        <w:t>.</w:t>
      </w:r>
      <w:r w:rsidR="00BB46C8" w:rsidRPr="00145348">
        <w:rPr>
          <w:rFonts w:ascii="Arial" w:hAnsi="Arial" w:cs="Arial"/>
          <w:sz w:val="24"/>
          <w:szCs w:val="24"/>
        </w:rPr>
        <w:t xml:space="preserve"> ..........</w:t>
      </w:r>
    </w:p>
    <w:p w14:paraId="719ED120" w14:textId="77777777" w:rsidR="009D6D73" w:rsidRPr="00145348" w:rsidRDefault="009D6D73" w:rsidP="009D6D73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145348">
        <w:rPr>
          <w:rFonts w:ascii="Arial" w:hAnsi="Arial" w:cs="Arial"/>
          <w:sz w:val="24"/>
          <w:szCs w:val="24"/>
        </w:rPr>
        <w:t>..........................</w:t>
      </w:r>
    </w:p>
    <w:p w14:paraId="74C9A327" w14:textId="77777777" w:rsidR="009D6D73" w:rsidRPr="00145348" w:rsidRDefault="009D6D73" w:rsidP="009D6D73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145348">
        <w:rPr>
          <w:rFonts w:ascii="Arial" w:hAnsi="Arial" w:cs="Arial"/>
          <w:sz w:val="24"/>
          <w:szCs w:val="24"/>
        </w:rPr>
        <w:t>§ 3º A representação poderá ser proposta pelas unidades técnicas do Tribunal de Contas e pelas comissões especiais formadas para a execução de fiscalizações, observada a necessidade de encaminhamento pelo respectivo dirigente ou responsável e o disposto no art. 267-A, § 1º</w:t>
      </w:r>
      <w:r w:rsidR="0030212E" w:rsidRPr="00145348">
        <w:rPr>
          <w:rFonts w:ascii="Arial" w:hAnsi="Arial" w:cs="Arial"/>
          <w:sz w:val="24"/>
          <w:szCs w:val="24"/>
        </w:rPr>
        <w:t>,</w:t>
      </w:r>
      <w:r w:rsidRPr="00145348">
        <w:rPr>
          <w:rFonts w:ascii="Arial" w:hAnsi="Arial" w:cs="Arial"/>
          <w:sz w:val="24"/>
          <w:szCs w:val="24"/>
        </w:rPr>
        <w:t xml:space="preserve"> deste Regimento Interno.”</w:t>
      </w:r>
    </w:p>
    <w:p w14:paraId="7684FC30" w14:textId="77777777" w:rsidR="006D4EEA" w:rsidRPr="00145348" w:rsidRDefault="006D4EEA" w:rsidP="00B91499">
      <w:pPr>
        <w:adjustRightInd w:val="0"/>
        <w:spacing w:before="120" w:after="120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145348">
        <w:rPr>
          <w:rFonts w:ascii="Arial" w:hAnsi="Arial" w:cs="Arial"/>
          <w:b/>
          <w:sz w:val="24"/>
          <w:szCs w:val="24"/>
        </w:rPr>
        <w:t xml:space="preserve">Art. </w:t>
      </w:r>
      <w:r w:rsidR="00BB46C8" w:rsidRPr="00145348">
        <w:rPr>
          <w:rFonts w:ascii="Arial" w:hAnsi="Arial" w:cs="Arial"/>
          <w:b/>
          <w:sz w:val="24"/>
          <w:szCs w:val="24"/>
        </w:rPr>
        <w:t>3</w:t>
      </w:r>
      <w:r w:rsidRPr="00145348">
        <w:rPr>
          <w:rFonts w:ascii="Arial" w:hAnsi="Arial" w:cs="Arial"/>
          <w:b/>
          <w:sz w:val="24"/>
          <w:szCs w:val="24"/>
        </w:rPr>
        <w:t>º</w:t>
      </w:r>
      <w:r w:rsidRPr="00145348">
        <w:rPr>
          <w:rFonts w:ascii="Arial" w:hAnsi="Arial" w:cs="Arial"/>
          <w:bCs/>
          <w:sz w:val="24"/>
          <w:szCs w:val="24"/>
        </w:rPr>
        <w:t xml:space="preserve"> </w:t>
      </w:r>
      <w:r w:rsidR="00B91499" w:rsidRPr="00145348">
        <w:rPr>
          <w:rFonts w:ascii="Arial" w:hAnsi="Arial" w:cs="Arial"/>
          <w:sz w:val="24"/>
          <w:szCs w:val="24"/>
        </w:rPr>
        <w:t>Ficam revogados os incisos VI e X</w:t>
      </w:r>
      <w:r w:rsidR="006A177B" w:rsidRPr="00145348">
        <w:rPr>
          <w:rFonts w:ascii="Arial" w:hAnsi="Arial" w:cs="Arial"/>
          <w:sz w:val="24"/>
          <w:szCs w:val="24"/>
        </w:rPr>
        <w:t>I</w:t>
      </w:r>
      <w:r w:rsidR="00B91499" w:rsidRPr="00145348">
        <w:rPr>
          <w:rFonts w:ascii="Arial" w:hAnsi="Arial" w:cs="Arial"/>
          <w:sz w:val="24"/>
          <w:szCs w:val="24"/>
        </w:rPr>
        <w:t>V do art. 175-L do Regimento Interno</w:t>
      </w:r>
      <w:r w:rsidR="00BB46C8" w:rsidRPr="00145348">
        <w:rPr>
          <w:rFonts w:ascii="Arial" w:hAnsi="Arial" w:cs="Arial"/>
          <w:sz w:val="24"/>
          <w:szCs w:val="24"/>
        </w:rPr>
        <w:t>.</w:t>
      </w:r>
    </w:p>
    <w:p w14:paraId="66CBA25D" w14:textId="77777777" w:rsidR="006111C8" w:rsidRPr="00145348" w:rsidRDefault="004E3557" w:rsidP="00BB46C8">
      <w:pPr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45348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B91499" w:rsidRPr="00145348">
        <w:rPr>
          <w:rFonts w:ascii="Arial" w:hAnsi="Arial" w:cs="Arial"/>
          <w:b/>
          <w:bCs/>
          <w:sz w:val="24"/>
          <w:szCs w:val="24"/>
        </w:rPr>
        <w:t>4</w:t>
      </w:r>
      <w:r w:rsidRPr="00145348">
        <w:rPr>
          <w:rFonts w:ascii="Arial" w:hAnsi="Arial" w:cs="Arial"/>
          <w:b/>
          <w:bCs/>
          <w:sz w:val="24"/>
          <w:szCs w:val="24"/>
        </w:rPr>
        <w:t>º</w:t>
      </w:r>
      <w:r w:rsidRPr="00145348">
        <w:rPr>
          <w:rFonts w:ascii="Arial" w:hAnsi="Arial" w:cs="Arial"/>
          <w:sz w:val="24"/>
          <w:szCs w:val="24"/>
        </w:rPr>
        <w:t xml:space="preserve"> Esta Resolução entra em vigor </w:t>
      </w:r>
      <w:r w:rsidR="00AC33FB" w:rsidRPr="00145348">
        <w:rPr>
          <w:rFonts w:ascii="Arial" w:hAnsi="Arial" w:cs="Arial"/>
          <w:sz w:val="24"/>
          <w:szCs w:val="24"/>
        </w:rPr>
        <w:t>10 (dez) dias após a sua publicação</w:t>
      </w:r>
      <w:r w:rsidR="009402FB" w:rsidRPr="00145348">
        <w:rPr>
          <w:rFonts w:ascii="Arial" w:hAnsi="Arial" w:cs="Arial"/>
          <w:sz w:val="24"/>
          <w:szCs w:val="24"/>
        </w:rPr>
        <w:t>.</w:t>
      </w:r>
    </w:p>
    <w:p w14:paraId="2D20BD67" w14:textId="77777777" w:rsidR="005859FB" w:rsidRPr="00145348" w:rsidRDefault="005859FB" w:rsidP="00AC33FB">
      <w:pPr>
        <w:pStyle w:val="ArtigosOrdinais"/>
        <w:spacing w:before="480"/>
        <w:jc w:val="center"/>
        <w:rPr>
          <w:rFonts w:cs="Arial"/>
          <w:sz w:val="24"/>
        </w:rPr>
      </w:pPr>
      <w:r w:rsidRPr="00145348">
        <w:rPr>
          <w:sz w:val="24"/>
        </w:rPr>
        <w:t xml:space="preserve">Curitiba, </w:t>
      </w:r>
      <w:r w:rsidR="00AC33FB" w:rsidRPr="00145348">
        <w:rPr>
          <w:sz w:val="24"/>
        </w:rPr>
        <w:t>13 de janeiro de 2022</w:t>
      </w:r>
      <w:r w:rsidR="007809DD" w:rsidRPr="00145348">
        <w:rPr>
          <w:sz w:val="24"/>
        </w:rPr>
        <w:t>.</w:t>
      </w:r>
    </w:p>
    <w:p w14:paraId="5C0ED64F" w14:textId="77777777" w:rsidR="005859FB" w:rsidRPr="00145348" w:rsidRDefault="005859FB" w:rsidP="00AC33FB">
      <w:pPr>
        <w:pStyle w:val="ArtigosOrdinais"/>
        <w:spacing w:before="480"/>
        <w:jc w:val="center"/>
        <w:rPr>
          <w:rFonts w:cs="Arial"/>
          <w:sz w:val="24"/>
        </w:rPr>
      </w:pPr>
      <w:r w:rsidRPr="00145348">
        <w:rPr>
          <w:rFonts w:cs="Arial"/>
          <w:sz w:val="24"/>
        </w:rPr>
        <w:t xml:space="preserve">Conselheiro </w:t>
      </w:r>
      <w:r w:rsidR="007809DD" w:rsidRPr="00145348">
        <w:rPr>
          <w:b/>
          <w:bCs w:val="0"/>
          <w:sz w:val="24"/>
        </w:rPr>
        <w:t>FABIO DE SOUZA CAMARGO</w:t>
      </w:r>
    </w:p>
    <w:p w14:paraId="40406FE3" w14:textId="77777777" w:rsidR="005905D4" w:rsidRPr="00145348" w:rsidRDefault="005859FB" w:rsidP="00164144">
      <w:pPr>
        <w:pStyle w:val="ArtigosOrdinais"/>
        <w:jc w:val="center"/>
        <w:rPr>
          <w:rFonts w:cs="Arial"/>
          <w:color w:val="000000"/>
          <w:sz w:val="24"/>
        </w:rPr>
      </w:pPr>
      <w:r w:rsidRPr="00145348">
        <w:rPr>
          <w:rFonts w:cs="Arial"/>
          <w:sz w:val="24"/>
        </w:rPr>
        <w:t>President</w:t>
      </w:r>
      <w:r w:rsidR="007809DD" w:rsidRPr="00145348">
        <w:rPr>
          <w:rFonts w:cs="Arial"/>
          <w:sz w:val="24"/>
        </w:rPr>
        <w:t>e</w:t>
      </w:r>
    </w:p>
    <w:sectPr w:rsidR="005905D4" w:rsidRPr="00145348" w:rsidSect="00145348">
      <w:headerReference w:type="default" r:id="rId12"/>
      <w:footerReference w:type="even" r:id="rId13"/>
      <w:footerReference w:type="default" r:id="rId14"/>
      <w:footnotePr>
        <w:numFmt w:val="chicago"/>
      </w:footnotePr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A721F" w14:textId="77777777" w:rsidR="00611333" w:rsidRDefault="00611333" w:rsidP="00BF1487">
      <w:pPr>
        <w:spacing w:after="0" w:line="240" w:lineRule="auto"/>
      </w:pPr>
      <w:r>
        <w:separator/>
      </w:r>
    </w:p>
  </w:endnote>
  <w:endnote w:type="continuationSeparator" w:id="0">
    <w:p w14:paraId="1179BD99" w14:textId="77777777" w:rsidR="00611333" w:rsidRDefault="00611333" w:rsidP="00BF1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C3494" w14:textId="77777777" w:rsidR="00865745" w:rsidRDefault="00865745" w:rsidP="0086574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24A0348" w14:textId="77777777" w:rsidR="00865745" w:rsidRDefault="00865745" w:rsidP="0086574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A5797" w14:textId="77777777" w:rsidR="00865745" w:rsidRDefault="00865745" w:rsidP="0086574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3226" w14:textId="77777777" w:rsidR="00611333" w:rsidRDefault="00611333" w:rsidP="00BF1487">
      <w:pPr>
        <w:spacing w:after="0" w:line="240" w:lineRule="auto"/>
      </w:pPr>
      <w:r>
        <w:separator/>
      </w:r>
    </w:p>
  </w:footnote>
  <w:footnote w:type="continuationSeparator" w:id="0">
    <w:p w14:paraId="15AB6371" w14:textId="77777777" w:rsidR="00611333" w:rsidRDefault="00611333" w:rsidP="00BF1487">
      <w:pPr>
        <w:spacing w:after="0" w:line="240" w:lineRule="auto"/>
      </w:pPr>
      <w:r>
        <w:continuationSeparator/>
      </w:r>
    </w:p>
  </w:footnote>
  <w:footnote w:id="1">
    <w:p w14:paraId="3781F38A" w14:textId="77777777" w:rsidR="00CD40C0" w:rsidRPr="00C85078" w:rsidRDefault="00CD40C0" w:rsidP="00CD40C0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37068492"/>
      <w:r w:rsidRPr="00C85078">
        <w:rPr>
          <w:rFonts w:ascii="Arial" w:hAnsi="Arial" w:cs="Arial"/>
          <w:b/>
        </w:rPr>
        <w:t>Notas da Biblioteca:</w:t>
      </w:r>
    </w:p>
    <w:p w14:paraId="74239BAA" w14:textId="77777777" w:rsidR="003E1DFD" w:rsidRPr="00263616" w:rsidRDefault="00CD40C0" w:rsidP="00263616">
      <w:pPr>
        <w:pStyle w:val="Textodenotaderodap"/>
        <w:numPr>
          <w:ilvl w:val="0"/>
          <w:numId w:val="18"/>
        </w:numPr>
        <w:ind w:left="426" w:hanging="284"/>
        <w:jc w:val="both"/>
        <w:rPr>
          <w:rFonts w:ascii="Arial" w:hAnsi="Arial" w:cs="Arial"/>
        </w:rPr>
      </w:pPr>
      <w:r w:rsidRPr="00263616">
        <w:rPr>
          <w:rFonts w:ascii="Arial" w:hAnsi="Arial" w:cs="Arial"/>
        </w:rPr>
        <w:t xml:space="preserve">Este texto não substitui o publicado no periódico: </w:t>
      </w:r>
      <w:bookmarkEnd w:id="0"/>
      <w:r w:rsidR="003E1DFD" w:rsidRPr="00263616">
        <w:rPr>
          <w:rFonts w:ascii="Arial" w:hAnsi="Arial" w:cs="Arial"/>
          <w:b/>
          <w:bCs/>
        </w:rPr>
        <w:fldChar w:fldCharType="begin"/>
      </w:r>
      <w:r w:rsidR="003E1DFD" w:rsidRPr="00263616">
        <w:rPr>
          <w:rFonts w:ascii="Arial" w:hAnsi="Arial" w:cs="Arial"/>
          <w:b/>
          <w:bCs/>
        </w:rPr>
        <w:instrText xml:space="preserve"> HYPERLINK "https://www1.tce.pr.gov.br/multimidia/2022/1/pdf/00363531.pdfhttps:/www1.tce.pr.gov.br/multimidia/2022/1/pdf/00363531.pdf" </w:instrText>
      </w:r>
      <w:r w:rsidR="003E1DFD" w:rsidRPr="00263616">
        <w:rPr>
          <w:rFonts w:ascii="Arial" w:hAnsi="Arial" w:cs="Arial"/>
          <w:b/>
          <w:bCs/>
        </w:rPr>
      </w:r>
      <w:r w:rsidR="003E1DFD" w:rsidRPr="00263616">
        <w:rPr>
          <w:rFonts w:ascii="Arial" w:hAnsi="Arial" w:cs="Arial"/>
          <w:b/>
          <w:bCs/>
        </w:rPr>
        <w:fldChar w:fldCharType="separate"/>
      </w:r>
      <w:r w:rsidR="003E1DFD" w:rsidRPr="00263616">
        <w:rPr>
          <w:rStyle w:val="Hyperlink"/>
          <w:rFonts w:ascii="Arial" w:hAnsi="Arial" w:cs="Arial"/>
          <w:b/>
          <w:bCs/>
        </w:rPr>
        <w:t>Diário Eletrônico do Tribunal de Contas do Estado do Paraná</w:t>
      </w:r>
      <w:r w:rsidR="003E1DFD" w:rsidRPr="00263616">
        <w:rPr>
          <w:rStyle w:val="Hyperlink"/>
          <w:rFonts w:ascii="Arial" w:hAnsi="Arial" w:cs="Arial"/>
        </w:rPr>
        <w:t>, Curitiba, PR, n. 2691, 18 jan. 2022, p. 29-30.</w:t>
      </w:r>
      <w:r w:rsidR="003E1DFD" w:rsidRPr="00263616">
        <w:rPr>
          <w:rFonts w:ascii="Arial" w:hAnsi="Arial" w:cs="Arial"/>
          <w:b/>
          <w:bCs/>
        </w:rPr>
        <w:fldChar w:fldCharType="end"/>
      </w:r>
    </w:p>
    <w:p w14:paraId="15AA3DF5" w14:textId="77777777" w:rsidR="00263616" w:rsidRPr="00263616" w:rsidRDefault="00263616" w:rsidP="00263616">
      <w:pPr>
        <w:pStyle w:val="Textodenotaderodap"/>
        <w:numPr>
          <w:ilvl w:val="0"/>
          <w:numId w:val="18"/>
        </w:numPr>
        <w:ind w:left="426" w:hanging="284"/>
        <w:jc w:val="both"/>
        <w:rPr>
          <w:rFonts w:ascii="Arial" w:hAnsi="Arial" w:cs="Arial"/>
        </w:rPr>
      </w:pPr>
      <w:r w:rsidRPr="00263616">
        <w:rPr>
          <w:rFonts w:ascii="Arial" w:hAnsi="Arial" w:cs="Arial"/>
        </w:rPr>
        <w:t xml:space="preserve">Origem: Processo n. </w:t>
      </w:r>
      <w:r w:rsidRPr="00263616">
        <w:rPr>
          <w:rFonts w:ascii="Arial" w:hAnsi="Arial" w:cs="Arial"/>
          <w:color w:val="000000"/>
        </w:rPr>
        <w:t>45045-6/2021</w:t>
      </w:r>
      <w:r w:rsidRPr="00263616">
        <w:rPr>
          <w:rFonts w:ascii="Arial" w:hAnsi="Arial" w:cs="Arial"/>
        </w:rPr>
        <w:t xml:space="preserve">– </w:t>
      </w:r>
      <w:hyperlink r:id="rId1" w:history="1">
        <w:r w:rsidRPr="00263616">
          <w:rPr>
            <w:rStyle w:val="Hyperlink"/>
            <w:rFonts w:ascii="Arial" w:hAnsi="Arial" w:cs="Arial"/>
          </w:rPr>
          <w:t>Acórdão n.</w:t>
        </w:r>
        <w:r w:rsidRPr="00263616">
          <w:rPr>
            <w:rStyle w:val="Hyperlink"/>
            <w:rFonts w:ascii="Arial" w:eastAsia="Times New Roman" w:hAnsi="Arial" w:cs="Arial"/>
          </w:rPr>
          <w:t xml:space="preserve"> 3462/2021 </w:t>
        </w:r>
        <w:r w:rsidRPr="00263616">
          <w:rPr>
            <w:rStyle w:val="Hyperlink"/>
            <w:rFonts w:ascii="Arial" w:hAnsi="Arial" w:cs="Arial"/>
          </w:rPr>
          <w:t>- Tribunal Pleno</w:t>
        </w:r>
      </w:hyperlink>
      <w:r w:rsidRPr="00263616">
        <w:rPr>
          <w:rFonts w:ascii="Arial" w:hAnsi="Arial" w:cs="Arial"/>
        </w:rPr>
        <w:t>.</w:t>
      </w:r>
    </w:p>
    <w:p w14:paraId="3F17ABC2" w14:textId="77777777" w:rsidR="00263616" w:rsidRPr="00263616" w:rsidRDefault="00263616" w:rsidP="00263616">
      <w:pPr>
        <w:pStyle w:val="Textodenotaderodap"/>
        <w:numPr>
          <w:ilvl w:val="0"/>
          <w:numId w:val="18"/>
        </w:numPr>
        <w:ind w:left="426" w:hanging="284"/>
        <w:jc w:val="both"/>
        <w:rPr>
          <w:rStyle w:val="Hyperlink"/>
          <w:rFonts w:ascii="Arial" w:hAnsi="Arial" w:cs="Arial"/>
        </w:rPr>
      </w:pPr>
      <w:r w:rsidRPr="00263616">
        <w:rPr>
          <w:rFonts w:ascii="Arial" w:hAnsi="Arial" w:cs="Arial"/>
          <w:b/>
          <w:bCs/>
        </w:rPr>
        <w:t>Altera</w:t>
      </w:r>
      <w:r w:rsidRPr="00263616">
        <w:rPr>
          <w:rFonts w:ascii="Arial" w:hAnsi="Arial" w:cs="Arial"/>
        </w:rPr>
        <w:t xml:space="preserve">: </w:t>
      </w:r>
      <w:hyperlink r:id="rId2" w:history="1">
        <w:r w:rsidRPr="00263616">
          <w:rPr>
            <w:rStyle w:val="Hyperlink"/>
            <w:rFonts w:ascii="Arial" w:hAnsi="Arial" w:cs="Arial"/>
          </w:rPr>
          <w:t>Resolução n. 1, de 24 de janeiro de 2006 - Regimento Interno</w:t>
        </w:r>
      </w:hyperlink>
      <w:r w:rsidRPr="00263616">
        <w:rPr>
          <w:rStyle w:val="Hyperlink"/>
          <w:rFonts w:ascii="Arial" w:hAnsi="Arial" w:cs="Arial"/>
        </w:rPr>
        <w:t xml:space="preserve"> (e alterações posteriores).</w:t>
      </w:r>
    </w:p>
    <w:p w14:paraId="02386666" w14:textId="0A24FD75" w:rsidR="00CD40C0" w:rsidRDefault="00263616" w:rsidP="00731DE4">
      <w:pPr>
        <w:pStyle w:val="Textodenotaderodap"/>
        <w:numPr>
          <w:ilvl w:val="0"/>
          <w:numId w:val="18"/>
        </w:numPr>
        <w:ind w:left="426" w:hanging="284"/>
      </w:pPr>
      <w:r w:rsidRPr="00027B5A">
        <w:rPr>
          <w:rStyle w:val="Forte"/>
          <w:rFonts w:ascii="Arial" w:hAnsi="Arial" w:cs="Arial"/>
        </w:rPr>
        <w:t xml:space="preserve">Ver </w:t>
      </w:r>
      <w:hyperlink r:id="rId3" w:history="1">
        <w:r w:rsidRPr="00027B5A">
          <w:rPr>
            <w:rStyle w:val="Hyperlink"/>
            <w:rFonts w:ascii="Arial" w:hAnsi="Arial" w:cs="Arial"/>
          </w:rPr>
          <w:t>alterações posteriores</w:t>
        </w:r>
      </w:hyperlink>
      <w:r w:rsidRPr="00027B5A">
        <w:rPr>
          <w:rFonts w:ascii="Arial" w:hAnsi="Arial" w:cs="Arial"/>
          <w:b/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D94FC" w14:textId="77777777" w:rsidR="00865745" w:rsidRDefault="00027B5A" w:rsidP="00AC33FB">
    <w:pPr>
      <w:pStyle w:val="Cabealho"/>
      <w:spacing w:before="24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56036E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" o:spid="_x0000_s1025" type="#_x0000_t75" alt="Descrição: logo TC colorido - medio" style="position:absolute;left:0;text-align:left;margin-left:2.8pt;margin-top:-6.1pt;width:47.7pt;height:56.1pt;z-index:251657728;visibility:visible">
          <v:imagedata r:id="rId1" o:title=" logo TC colorido - medio"/>
          <w10:wrap type="square"/>
        </v:shape>
      </w:pict>
    </w:r>
    <w:r w:rsidR="00865745" w:rsidRPr="00C404BE">
      <w:rPr>
        <w:rFonts w:ascii="Arial" w:hAnsi="Arial" w:cs="Arial"/>
        <w:b/>
        <w:sz w:val="28"/>
        <w:szCs w:val="28"/>
      </w:rPr>
      <w:t>TRIBUNAL DE CONTAS DO ESTADO DO PARANÁ</w:t>
    </w:r>
  </w:p>
  <w:p w14:paraId="0D59789E" w14:textId="77777777" w:rsidR="00865745" w:rsidRPr="00504566" w:rsidRDefault="00865745" w:rsidP="00AC33FB">
    <w:pPr>
      <w:pStyle w:val="Cabealho"/>
      <w:spacing w:before="120" w:after="360"/>
      <w:ind w:left="1134"/>
      <w:jc w:val="center"/>
      <w:rPr>
        <w:rFonts w:ascii="Arial" w:hAnsi="Arial" w:cs="Arial"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1A56"/>
    <w:multiLevelType w:val="hybridMultilevel"/>
    <w:tmpl w:val="2196FA6C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E4155"/>
    <w:multiLevelType w:val="hybridMultilevel"/>
    <w:tmpl w:val="18E8E9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B485E"/>
    <w:multiLevelType w:val="hybridMultilevel"/>
    <w:tmpl w:val="F34A211C"/>
    <w:lvl w:ilvl="0" w:tplc="83B2C0A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000000" w:themeColor="text1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6767A"/>
    <w:multiLevelType w:val="hybridMultilevel"/>
    <w:tmpl w:val="C84E09B4"/>
    <w:lvl w:ilvl="0" w:tplc="89EA75B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0C16DE"/>
    <w:multiLevelType w:val="hybridMultilevel"/>
    <w:tmpl w:val="F43C5E58"/>
    <w:lvl w:ilvl="0" w:tplc="906294F4">
      <w:start w:val="1"/>
      <w:numFmt w:val="decimal"/>
      <w:pStyle w:val="Assunt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cs="Times New Roman" w:hint="default"/>
        <w:sz w:val="22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56220"/>
    <w:multiLevelType w:val="hybridMultilevel"/>
    <w:tmpl w:val="A6442A3E"/>
    <w:lvl w:ilvl="0" w:tplc="0416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6846F8A"/>
    <w:multiLevelType w:val="hybridMultilevel"/>
    <w:tmpl w:val="ADA06E24"/>
    <w:lvl w:ilvl="0" w:tplc="CE8C4DFC">
      <w:start w:val="2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D66175"/>
    <w:multiLevelType w:val="hybridMultilevel"/>
    <w:tmpl w:val="1214D4EE"/>
    <w:lvl w:ilvl="0" w:tplc="FB46516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205D29"/>
    <w:multiLevelType w:val="hybridMultilevel"/>
    <w:tmpl w:val="8B06E1E6"/>
    <w:lvl w:ilvl="0" w:tplc="B44AEF1A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9055A"/>
    <w:multiLevelType w:val="hybridMultilevel"/>
    <w:tmpl w:val="A0402956"/>
    <w:lvl w:ilvl="0" w:tplc="CFA2F9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CA9E2A">
      <w:start w:val="3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383D2C"/>
    <w:multiLevelType w:val="multilevel"/>
    <w:tmpl w:val="4802F4C4"/>
    <w:lvl w:ilvl="0">
      <w:start w:val="1"/>
      <w:numFmt w:val="none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44A40F66"/>
    <w:multiLevelType w:val="hybridMultilevel"/>
    <w:tmpl w:val="B0205A12"/>
    <w:lvl w:ilvl="0" w:tplc="EA3A56C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i/>
        <w:iCs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FA03C4"/>
    <w:multiLevelType w:val="hybridMultilevel"/>
    <w:tmpl w:val="D42C450A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D95F3B"/>
    <w:multiLevelType w:val="hybridMultilevel"/>
    <w:tmpl w:val="3B78DC2A"/>
    <w:lvl w:ilvl="0" w:tplc="FB46516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081C9B"/>
    <w:multiLevelType w:val="hybridMultilevel"/>
    <w:tmpl w:val="43FA343A"/>
    <w:lvl w:ilvl="0" w:tplc="0416000F">
      <w:start w:val="1"/>
      <w:numFmt w:val="decimal"/>
      <w:lvlText w:val="%1."/>
      <w:lvlJc w:val="left"/>
      <w:pPr>
        <w:ind w:left="6456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666339A8"/>
    <w:multiLevelType w:val="hybridMultilevel"/>
    <w:tmpl w:val="533817BA"/>
    <w:lvl w:ilvl="0" w:tplc="5BC6406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Verdana" w:hAnsi="Verdana" w:hint="default"/>
      </w:rPr>
    </w:lvl>
    <w:lvl w:ilvl="1" w:tplc="7E2017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/>
        <w:iCs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6D45C7"/>
    <w:multiLevelType w:val="hybridMultilevel"/>
    <w:tmpl w:val="1730D16A"/>
    <w:lvl w:ilvl="0" w:tplc="6A78042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i/>
        <w:iCs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31421809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959562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9014148">
    <w:abstractNumId w:val="6"/>
  </w:num>
  <w:num w:numId="4" w16cid:durableId="1700625173">
    <w:abstractNumId w:val="9"/>
  </w:num>
  <w:num w:numId="5" w16cid:durableId="692809567">
    <w:abstractNumId w:val="0"/>
  </w:num>
  <w:num w:numId="6" w16cid:durableId="1779257815">
    <w:abstractNumId w:val="12"/>
  </w:num>
  <w:num w:numId="7" w16cid:durableId="1825471657">
    <w:abstractNumId w:val="5"/>
  </w:num>
  <w:num w:numId="8" w16cid:durableId="1146975902">
    <w:abstractNumId w:val="15"/>
  </w:num>
  <w:num w:numId="9" w16cid:durableId="1510019906">
    <w:abstractNumId w:val="16"/>
  </w:num>
  <w:num w:numId="10" w16cid:durableId="123501300">
    <w:abstractNumId w:val="11"/>
  </w:num>
  <w:num w:numId="11" w16cid:durableId="799958093">
    <w:abstractNumId w:val="13"/>
  </w:num>
  <w:num w:numId="12" w16cid:durableId="751244232">
    <w:abstractNumId w:val="7"/>
  </w:num>
  <w:num w:numId="13" w16cid:durableId="307982785">
    <w:abstractNumId w:val="3"/>
  </w:num>
  <w:num w:numId="14" w16cid:durableId="942299011">
    <w:abstractNumId w:val="14"/>
  </w:num>
  <w:num w:numId="15" w16cid:durableId="2005544111">
    <w:abstractNumId w:val="4"/>
  </w:num>
  <w:num w:numId="16" w16cid:durableId="164785942">
    <w:abstractNumId w:val="1"/>
  </w:num>
  <w:num w:numId="17" w16cid:durableId="861361743">
    <w:abstractNumId w:val="8"/>
  </w:num>
  <w:num w:numId="18" w16cid:durableId="691960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59FB"/>
    <w:rsid w:val="00001A02"/>
    <w:rsid w:val="00010196"/>
    <w:rsid w:val="000102C0"/>
    <w:rsid w:val="0001093A"/>
    <w:rsid w:val="00011AE9"/>
    <w:rsid w:val="00016F57"/>
    <w:rsid w:val="00024C3E"/>
    <w:rsid w:val="00027B5A"/>
    <w:rsid w:val="00034360"/>
    <w:rsid w:val="000356AD"/>
    <w:rsid w:val="00080D9B"/>
    <w:rsid w:val="00083420"/>
    <w:rsid w:val="000A411F"/>
    <w:rsid w:val="000B22B8"/>
    <w:rsid w:val="00104254"/>
    <w:rsid w:val="001067BE"/>
    <w:rsid w:val="00112FAF"/>
    <w:rsid w:val="00141235"/>
    <w:rsid w:val="00145348"/>
    <w:rsid w:val="00152F81"/>
    <w:rsid w:val="00156805"/>
    <w:rsid w:val="00164144"/>
    <w:rsid w:val="0016612B"/>
    <w:rsid w:val="00177B8A"/>
    <w:rsid w:val="00184D1C"/>
    <w:rsid w:val="001A4665"/>
    <w:rsid w:val="001B4E5C"/>
    <w:rsid w:val="001C059B"/>
    <w:rsid w:val="001D20A2"/>
    <w:rsid w:val="00241478"/>
    <w:rsid w:val="002532D8"/>
    <w:rsid w:val="00254491"/>
    <w:rsid w:val="00261187"/>
    <w:rsid w:val="00263616"/>
    <w:rsid w:val="00266207"/>
    <w:rsid w:val="00272C74"/>
    <w:rsid w:val="00274406"/>
    <w:rsid w:val="00280814"/>
    <w:rsid w:val="00284EB9"/>
    <w:rsid w:val="002859D5"/>
    <w:rsid w:val="0029451D"/>
    <w:rsid w:val="002B2BAA"/>
    <w:rsid w:val="002C0030"/>
    <w:rsid w:val="002C513A"/>
    <w:rsid w:val="002D05D9"/>
    <w:rsid w:val="002D068A"/>
    <w:rsid w:val="002E3448"/>
    <w:rsid w:val="002E639D"/>
    <w:rsid w:val="002F2028"/>
    <w:rsid w:val="0030212E"/>
    <w:rsid w:val="00315BEB"/>
    <w:rsid w:val="00315D4B"/>
    <w:rsid w:val="0032764C"/>
    <w:rsid w:val="00335F36"/>
    <w:rsid w:val="00337B0B"/>
    <w:rsid w:val="003576E2"/>
    <w:rsid w:val="0036201D"/>
    <w:rsid w:val="00362BED"/>
    <w:rsid w:val="00382D6F"/>
    <w:rsid w:val="00385AD1"/>
    <w:rsid w:val="00391902"/>
    <w:rsid w:val="003A483B"/>
    <w:rsid w:val="003C2C9D"/>
    <w:rsid w:val="003C5E10"/>
    <w:rsid w:val="003D62F1"/>
    <w:rsid w:val="003E1DFD"/>
    <w:rsid w:val="003F0F8F"/>
    <w:rsid w:val="003F73C4"/>
    <w:rsid w:val="004019EC"/>
    <w:rsid w:val="0041331C"/>
    <w:rsid w:val="004161FD"/>
    <w:rsid w:val="00417809"/>
    <w:rsid w:val="00450D9D"/>
    <w:rsid w:val="00455613"/>
    <w:rsid w:val="00461FC1"/>
    <w:rsid w:val="004669AA"/>
    <w:rsid w:val="00486ECF"/>
    <w:rsid w:val="0049256C"/>
    <w:rsid w:val="004B2000"/>
    <w:rsid w:val="004E2834"/>
    <w:rsid w:val="004E3557"/>
    <w:rsid w:val="004E3EF6"/>
    <w:rsid w:val="004F116B"/>
    <w:rsid w:val="004F4797"/>
    <w:rsid w:val="00503D5C"/>
    <w:rsid w:val="00506FB9"/>
    <w:rsid w:val="00513C06"/>
    <w:rsid w:val="0051565B"/>
    <w:rsid w:val="00531F6D"/>
    <w:rsid w:val="00537639"/>
    <w:rsid w:val="005619EC"/>
    <w:rsid w:val="005620A3"/>
    <w:rsid w:val="00583DD6"/>
    <w:rsid w:val="005859FB"/>
    <w:rsid w:val="005905D4"/>
    <w:rsid w:val="00590CFF"/>
    <w:rsid w:val="005A55C1"/>
    <w:rsid w:val="005B56C2"/>
    <w:rsid w:val="005C1A1C"/>
    <w:rsid w:val="005C2FBA"/>
    <w:rsid w:val="005D0CC3"/>
    <w:rsid w:val="005D0E17"/>
    <w:rsid w:val="00601721"/>
    <w:rsid w:val="006111C8"/>
    <w:rsid w:val="00611333"/>
    <w:rsid w:val="006131CC"/>
    <w:rsid w:val="006143FE"/>
    <w:rsid w:val="006160B9"/>
    <w:rsid w:val="00625C86"/>
    <w:rsid w:val="006478AA"/>
    <w:rsid w:val="00656188"/>
    <w:rsid w:val="00670EC8"/>
    <w:rsid w:val="00674AB3"/>
    <w:rsid w:val="00683BD9"/>
    <w:rsid w:val="006857CD"/>
    <w:rsid w:val="00690456"/>
    <w:rsid w:val="0069472B"/>
    <w:rsid w:val="00697473"/>
    <w:rsid w:val="006A137C"/>
    <w:rsid w:val="006A177B"/>
    <w:rsid w:val="006A406A"/>
    <w:rsid w:val="006A797E"/>
    <w:rsid w:val="006C7B48"/>
    <w:rsid w:val="006D4EEA"/>
    <w:rsid w:val="006D50F9"/>
    <w:rsid w:val="006D610D"/>
    <w:rsid w:val="006D73C6"/>
    <w:rsid w:val="006D75DE"/>
    <w:rsid w:val="006E69DC"/>
    <w:rsid w:val="006F2E2C"/>
    <w:rsid w:val="006F3E38"/>
    <w:rsid w:val="00717080"/>
    <w:rsid w:val="007262C6"/>
    <w:rsid w:val="00726937"/>
    <w:rsid w:val="00734E11"/>
    <w:rsid w:val="00735841"/>
    <w:rsid w:val="00755F7E"/>
    <w:rsid w:val="00762030"/>
    <w:rsid w:val="00767E54"/>
    <w:rsid w:val="00771A1B"/>
    <w:rsid w:val="0077312C"/>
    <w:rsid w:val="007809DD"/>
    <w:rsid w:val="00785E9C"/>
    <w:rsid w:val="007B2EC0"/>
    <w:rsid w:val="007B6035"/>
    <w:rsid w:val="007C662B"/>
    <w:rsid w:val="007D12B2"/>
    <w:rsid w:val="007E1065"/>
    <w:rsid w:val="007E1449"/>
    <w:rsid w:val="007F193C"/>
    <w:rsid w:val="00805BD0"/>
    <w:rsid w:val="008112B4"/>
    <w:rsid w:val="008178E0"/>
    <w:rsid w:val="00827C81"/>
    <w:rsid w:val="0085320E"/>
    <w:rsid w:val="00865745"/>
    <w:rsid w:val="00866675"/>
    <w:rsid w:val="008668E1"/>
    <w:rsid w:val="0087638F"/>
    <w:rsid w:val="008779CF"/>
    <w:rsid w:val="0088067F"/>
    <w:rsid w:val="00882598"/>
    <w:rsid w:val="00891A0E"/>
    <w:rsid w:val="00892D7D"/>
    <w:rsid w:val="00896E0A"/>
    <w:rsid w:val="008B115E"/>
    <w:rsid w:val="008B339D"/>
    <w:rsid w:val="008B78E5"/>
    <w:rsid w:val="008C6F49"/>
    <w:rsid w:val="008D6CE0"/>
    <w:rsid w:val="008D7D42"/>
    <w:rsid w:val="008E06E9"/>
    <w:rsid w:val="008E0DA9"/>
    <w:rsid w:val="008F56BD"/>
    <w:rsid w:val="00906642"/>
    <w:rsid w:val="009112AE"/>
    <w:rsid w:val="0091463E"/>
    <w:rsid w:val="009402FB"/>
    <w:rsid w:val="0094513B"/>
    <w:rsid w:val="00947986"/>
    <w:rsid w:val="00951F73"/>
    <w:rsid w:val="00973A9C"/>
    <w:rsid w:val="009824E8"/>
    <w:rsid w:val="00982CAE"/>
    <w:rsid w:val="00986F23"/>
    <w:rsid w:val="00991544"/>
    <w:rsid w:val="0099265E"/>
    <w:rsid w:val="00993C0A"/>
    <w:rsid w:val="00995C52"/>
    <w:rsid w:val="009968E4"/>
    <w:rsid w:val="00996AF8"/>
    <w:rsid w:val="009D5281"/>
    <w:rsid w:val="009D6D73"/>
    <w:rsid w:val="009F5C6C"/>
    <w:rsid w:val="00A01B7D"/>
    <w:rsid w:val="00A101BC"/>
    <w:rsid w:val="00A50FCD"/>
    <w:rsid w:val="00A5194F"/>
    <w:rsid w:val="00A61B75"/>
    <w:rsid w:val="00A81FCC"/>
    <w:rsid w:val="00A863A5"/>
    <w:rsid w:val="00A96AF8"/>
    <w:rsid w:val="00AA2D55"/>
    <w:rsid w:val="00AA4948"/>
    <w:rsid w:val="00AB55D7"/>
    <w:rsid w:val="00AC20BF"/>
    <w:rsid w:val="00AC33FB"/>
    <w:rsid w:val="00AF52F6"/>
    <w:rsid w:val="00B27EB1"/>
    <w:rsid w:val="00B543A6"/>
    <w:rsid w:val="00B54EEE"/>
    <w:rsid w:val="00B91499"/>
    <w:rsid w:val="00BA1DDB"/>
    <w:rsid w:val="00BB46C8"/>
    <w:rsid w:val="00BD2DBD"/>
    <w:rsid w:val="00BF1487"/>
    <w:rsid w:val="00BF6F94"/>
    <w:rsid w:val="00C1258A"/>
    <w:rsid w:val="00C13A8E"/>
    <w:rsid w:val="00C312DD"/>
    <w:rsid w:val="00C34DF2"/>
    <w:rsid w:val="00C57B33"/>
    <w:rsid w:val="00C704D8"/>
    <w:rsid w:val="00C72910"/>
    <w:rsid w:val="00C834E0"/>
    <w:rsid w:val="00C85078"/>
    <w:rsid w:val="00C86C63"/>
    <w:rsid w:val="00CB031C"/>
    <w:rsid w:val="00CC0D68"/>
    <w:rsid w:val="00CD2118"/>
    <w:rsid w:val="00CD2E06"/>
    <w:rsid w:val="00CD40C0"/>
    <w:rsid w:val="00CE25B7"/>
    <w:rsid w:val="00CE7DD7"/>
    <w:rsid w:val="00CF3BFE"/>
    <w:rsid w:val="00D1434B"/>
    <w:rsid w:val="00D223DD"/>
    <w:rsid w:val="00D30294"/>
    <w:rsid w:val="00D3218D"/>
    <w:rsid w:val="00D34577"/>
    <w:rsid w:val="00D45176"/>
    <w:rsid w:val="00D469F9"/>
    <w:rsid w:val="00D57FD6"/>
    <w:rsid w:val="00D777E8"/>
    <w:rsid w:val="00D8651B"/>
    <w:rsid w:val="00D931B6"/>
    <w:rsid w:val="00DA5F94"/>
    <w:rsid w:val="00DC240B"/>
    <w:rsid w:val="00DC4DE6"/>
    <w:rsid w:val="00DC697B"/>
    <w:rsid w:val="00DD47D1"/>
    <w:rsid w:val="00DD63BB"/>
    <w:rsid w:val="00DE5976"/>
    <w:rsid w:val="00DE69A5"/>
    <w:rsid w:val="00DF19FB"/>
    <w:rsid w:val="00DF324E"/>
    <w:rsid w:val="00E0117C"/>
    <w:rsid w:val="00E12457"/>
    <w:rsid w:val="00E2790C"/>
    <w:rsid w:val="00E43D29"/>
    <w:rsid w:val="00E54A4A"/>
    <w:rsid w:val="00E70E81"/>
    <w:rsid w:val="00E905E9"/>
    <w:rsid w:val="00E95DCC"/>
    <w:rsid w:val="00EA2033"/>
    <w:rsid w:val="00EA5BB8"/>
    <w:rsid w:val="00EB24F8"/>
    <w:rsid w:val="00EE3BA5"/>
    <w:rsid w:val="00EE7783"/>
    <w:rsid w:val="00EF7723"/>
    <w:rsid w:val="00F12976"/>
    <w:rsid w:val="00F13080"/>
    <w:rsid w:val="00F3491F"/>
    <w:rsid w:val="00F53C0B"/>
    <w:rsid w:val="00F54198"/>
    <w:rsid w:val="00F56C49"/>
    <w:rsid w:val="00F57A3A"/>
    <w:rsid w:val="00F67A9A"/>
    <w:rsid w:val="00F740FC"/>
    <w:rsid w:val="00F80489"/>
    <w:rsid w:val="00F83599"/>
    <w:rsid w:val="00F857F5"/>
    <w:rsid w:val="00F85E8F"/>
    <w:rsid w:val="00F916E8"/>
    <w:rsid w:val="00FC0DA8"/>
    <w:rsid w:val="00FC5D20"/>
    <w:rsid w:val="00FD43C3"/>
    <w:rsid w:val="00FE43DF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777D4"/>
  <w15:chartTrackingRefBased/>
  <w15:docId w15:val="{B0564382-17AD-49FB-924B-4008AABA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859FB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/>
      <w:smallCaps/>
      <w:sz w:val="26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859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/>
      <w:smallCap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5859FB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/>
      <w:i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5859FB"/>
    <w:pPr>
      <w:keepNext/>
      <w:numPr>
        <w:ilvl w:val="3"/>
        <w:numId w:val="2"/>
      </w:numPr>
      <w:tabs>
        <w:tab w:val="left" w:pos="4680"/>
      </w:tabs>
      <w:spacing w:after="0" w:line="240" w:lineRule="auto"/>
      <w:jc w:val="center"/>
      <w:outlineLvl w:val="3"/>
    </w:pPr>
    <w:rPr>
      <w:rFonts w:ascii="Times New Roman" w:eastAsia="Times New Roman" w:hAnsi="Times New Roman"/>
      <w:i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5859FB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Times New Roman" w:eastAsia="Times New Roman" w:hAnsi="Times New Roman"/>
      <w:i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5859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/>
      <w:i/>
      <w:color w:val="FF0000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5859FB"/>
    <w:pPr>
      <w:keepNext/>
      <w:numPr>
        <w:ilvl w:val="6"/>
        <w:numId w:val="2"/>
      </w:numPr>
      <w:spacing w:after="0" w:line="240" w:lineRule="auto"/>
      <w:jc w:val="center"/>
      <w:outlineLvl w:val="6"/>
    </w:pPr>
    <w:rPr>
      <w:rFonts w:ascii="Times New Roman" w:eastAsia="Times New Roman" w:hAnsi="Times New Roman"/>
      <w:i/>
      <w:color w:val="FF0000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5859FB"/>
    <w:pPr>
      <w:keepNext/>
      <w:numPr>
        <w:ilvl w:val="7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/>
      <w:i/>
      <w:color w:val="FF0000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5859FB"/>
    <w:pPr>
      <w:keepNext/>
      <w:numPr>
        <w:ilvl w:val="8"/>
        <w:numId w:val="2"/>
      </w:numPr>
      <w:spacing w:after="0" w:line="240" w:lineRule="auto"/>
      <w:jc w:val="center"/>
      <w:outlineLvl w:val="8"/>
    </w:pPr>
    <w:rPr>
      <w:rFonts w:ascii="Times New Roman" w:eastAsia="Times New Roman" w:hAnsi="Times New Roman"/>
      <w:i/>
      <w:color w:val="FF000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859FB"/>
    <w:rPr>
      <w:rFonts w:ascii="Times New Roman" w:eastAsia="Times New Roman" w:hAnsi="Times New Roman"/>
      <w:smallCaps/>
      <w:sz w:val="26"/>
      <w:szCs w:val="24"/>
    </w:rPr>
  </w:style>
  <w:style w:type="character" w:customStyle="1" w:styleId="Ttulo2Char">
    <w:name w:val="Título 2 Char"/>
    <w:link w:val="Ttulo2"/>
    <w:rsid w:val="005859FB"/>
    <w:rPr>
      <w:rFonts w:ascii="Times New Roman" w:eastAsia="Times New Roman" w:hAnsi="Times New Roman"/>
      <w:smallCaps/>
      <w:sz w:val="24"/>
      <w:szCs w:val="24"/>
    </w:rPr>
  </w:style>
  <w:style w:type="character" w:customStyle="1" w:styleId="Ttulo3Char">
    <w:name w:val="Título 3 Char"/>
    <w:link w:val="Ttulo3"/>
    <w:rsid w:val="005859FB"/>
    <w:rPr>
      <w:rFonts w:ascii="Times New Roman" w:eastAsia="Times New Roman" w:hAnsi="Times New Roman"/>
      <w:i/>
      <w:sz w:val="24"/>
      <w:szCs w:val="24"/>
    </w:rPr>
  </w:style>
  <w:style w:type="character" w:customStyle="1" w:styleId="Ttulo4Char">
    <w:name w:val="Título 4 Char"/>
    <w:link w:val="Ttulo4"/>
    <w:rsid w:val="005859FB"/>
    <w:rPr>
      <w:rFonts w:ascii="Times New Roman" w:eastAsia="Times New Roman" w:hAnsi="Times New Roman"/>
      <w:i/>
      <w:sz w:val="22"/>
      <w:szCs w:val="24"/>
    </w:rPr>
  </w:style>
  <w:style w:type="character" w:customStyle="1" w:styleId="Ttulo5Char">
    <w:name w:val="Título 5 Char"/>
    <w:link w:val="Ttulo5"/>
    <w:rsid w:val="005859FB"/>
    <w:rPr>
      <w:rFonts w:ascii="Times New Roman" w:eastAsia="Times New Roman" w:hAnsi="Times New Roman"/>
      <w:i/>
      <w:sz w:val="22"/>
      <w:szCs w:val="24"/>
    </w:rPr>
  </w:style>
  <w:style w:type="character" w:customStyle="1" w:styleId="Ttulo6Char">
    <w:name w:val="Título 6 Char"/>
    <w:link w:val="Ttulo6"/>
    <w:rsid w:val="005859FB"/>
    <w:rPr>
      <w:rFonts w:ascii="Times New Roman" w:eastAsia="Times New Roman" w:hAnsi="Times New Roman"/>
      <w:i/>
      <w:color w:val="FF0000"/>
      <w:sz w:val="22"/>
      <w:szCs w:val="24"/>
    </w:rPr>
  </w:style>
  <w:style w:type="character" w:customStyle="1" w:styleId="Ttulo7Char">
    <w:name w:val="Título 7 Char"/>
    <w:link w:val="Ttulo7"/>
    <w:rsid w:val="005859FB"/>
    <w:rPr>
      <w:rFonts w:ascii="Times New Roman" w:eastAsia="Times New Roman" w:hAnsi="Times New Roman"/>
      <w:i/>
      <w:color w:val="FF0000"/>
      <w:sz w:val="22"/>
      <w:szCs w:val="24"/>
    </w:rPr>
  </w:style>
  <w:style w:type="character" w:customStyle="1" w:styleId="Ttulo8Char">
    <w:name w:val="Título 8 Char"/>
    <w:link w:val="Ttulo8"/>
    <w:rsid w:val="005859FB"/>
    <w:rPr>
      <w:rFonts w:ascii="Times New Roman" w:eastAsia="Times New Roman" w:hAnsi="Times New Roman"/>
      <w:i/>
      <w:color w:val="FF0000"/>
      <w:sz w:val="22"/>
      <w:szCs w:val="24"/>
    </w:rPr>
  </w:style>
  <w:style w:type="character" w:customStyle="1" w:styleId="Ttulo9Char">
    <w:name w:val="Título 9 Char"/>
    <w:link w:val="Ttulo9"/>
    <w:rsid w:val="005859FB"/>
    <w:rPr>
      <w:rFonts w:ascii="Times New Roman" w:eastAsia="Times New Roman" w:hAnsi="Times New Roman"/>
      <w:i/>
      <w:color w:val="FF0000"/>
      <w:sz w:val="22"/>
      <w:szCs w:val="24"/>
    </w:rPr>
  </w:style>
  <w:style w:type="paragraph" w:styleId="Rodap">
    <w:name w:val="footer"/>
    <w:basedOn w:val="Normal"/>
    <w:link w:val="RodapChar"/>
    <w:uiPriority w:val="99"/>
    <w:rsid w:val="005859F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rsid w:val="005859FB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rsid w:val="005859FB"/>
  </w:style>
  <w:style w:type="paragraph" w:styleId="Cabealho">
    <w:name w:val="header"/>
    <w:basedOn w:val="Normal"/>
    <w:link w:val="CabealhoChar"/>
    <w:rsid w:val="005859F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link w:val="Cabealho"/>
    <w:rsid w:val="005859FB"/>
    <w:rPr>
      <w:rFonts w:ascii="Times New Roman" w:eastAsia="Times New Roman" w:hAnsi="Times New Roman"/>
      <w:sz w:val="24"/>
      <w:szCs w:val="24"/>
    </w:rPr>
  </w:style>
  <w:style w:type="paragraph" w:customStyle="1" w:styleId="Ementa">
    <w:name w:val="Ementa"/>
    <w:basedOn w:val="Normal"/>
    <w:rsid w:val="005859FB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Texto">
    <w:name w:val="Texto"/>
    <w:basedOn w:val="Normal"/>
    <w:rsid w:val="005859FB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ArtigosOrdinais">
    <w:name w:val="ArtigosOrdinais"/>
    <w:basedOn w:val="Normal"/>
    <w:rsid w:val="005859FB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Assunto">
    <w:name w:val="Assunto"/>
    <w:basedOn w:val="Normal"/>
    <w:rsid w:val="005859FB"/>
    <w:pPr>
      <w:keepNext/>
      <w:numPr>
        <w:numId w:val="1"/>
      </w:numPr>
      <w:spacing w:before="240" w:after="120" w:line="240" w:lineRule="auto"/>
    </w:pPr>
    <w:rPr>
      <w:rFonts w:ascii="Arial" w:eastAsia="Times New Roman" w:hAnsi="Arial" w:cs="Arial"/>
      <w:b/>
      <w:bCs/>
      <w:szCs w:val="24"/>
      <w:lang w:eastAsia="pt-BR"/>
    </w:rPr>
  </w:style>
  <w:style w:type="paragraph" w:styleId="NormalWeb">
    <w:name w:val="Normal (Web)"/>
    <w:basedOn w:val="Normal"/>
    <w:uiPriority w:val="99"/>
    <w:rsid w:val="00585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rsid w:val="005859FB"/>
    <w:rPr>
      <w:color w:val="0000FF"/>
      <w:u w:val="single"/>
    </w:rPr>
  </w:style>
  <w:style w:type="paragraph" w:customStyle="1" w:styleId="Default">
    <w:name w:val="Default"/>
    <w:rsid w:val="005859F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5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859FB"/>
    <w:rPr>
      <w:rFonts w:ascii="Segoe UI" w:hAnsi="Segoe UI" w:cs="Segoe UI"/>
      <w:sz w:val="18"/>
      <w:szCs w:val="18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5859FB"/>
    <w:pPr>
      <w:keepLines/>
      <w:numPr>
        <w:numId w:val="0"/>
      </w:numPr>
      <w:spacing w:before="240" w:line="259" w:lineRule="auto"/>
      <w:jc w:val="left"/>
      <w:outlineLvl w:val="9"/>
    </w:pPr>
    <w:rPr>
      <w:rFonts w:ascii="Calibri Light" w:hAnsi="Calibri Light"/>
      <w:smallCaps w:val="0"/>
      <w:color w:val="2F5496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5859FB"/>
  </w:style>
  <w:style w:type="paragraph" w:styleId="Sumrio2">
    <w:name w:val="toc 2"/>
    <w:basedOn w:val="Normal"/>
    <w:next w:val="Normal"/>
    <w:autoRedefine/>
    <w:uiPriority w:val="39"/>
    <w:unhideWhenUsed/>
    <w:rsid w:val="005859FB"/>
    <w:pPr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5859FB"/>
    <w:pPr>
      <w:ind w:left="440"/>
    </w:pPr>
  </w:style>
  <w:style w:type="paragraph" w:styleId="Textodenotaderodap">
    <w:name w:val="footnote text"/>
    <w:basedOn w:val="Normal"/>
    <w:link w:val="TextodenotaderodapChar"/>
    <w:unhideWhenUsed/>
    <w:rsid w:val="005859F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5859FB"/>
    <w:rPr>
      <w:lang w:eastAsia="en-US"/>
    </w:rPr>
  </w:style>
  <w:style w:type="character" w:styleId="Refdenotaderodap">
    <w:name w:val="footnote reference"/>
    <w:uiPriority w:val="99"/>
    <w:unhideWhenUsed/>
    <w:rsid w:val="005859FB"/>
    <w:rPr>
      <w:vertAlign w:val="superscript"/>
    </w:rPr>
  </w:style>
  <w:style w:type="paragraph" w:styleId="Corpodetexto">
    <w:name w:val="Body Text"/>
    <w:basedOn w:val="Normal"/>
    <w:link w:val="CorpodetextoChar"/>
    <w:rsid w:val="005859F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link w:val="Corpodetexto"/>
    <w:rsid w:val="005859FB"/>
    <w:rPr>
      <w:rFonts w:ascii="Times New Roman" w:eastAsia="Times New Roman" w:hAnsi="Times New Roman"/>
      <w:b/>
      <w:bCs/>
      <w:sz w:val="24"/>
      <w:szCs w:val="24"/>
    </w:rPr>
  </w:style>
  <w:style w:type="character" w:styleId="Refdecomentrio">
    <w:name w:val="annotation reference"/>
    <w:uiPriority w:val="99"/>
    <w:semiHidden/>
    <w:unhideWhenUsed/>
    <w:rsid w:val="00C834E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834E0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C834E0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34E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834E0"/>
    <w:rPr>
      <w:b/>
      <w:bCs/>
      <w:lang w:eastAsia="en-US"/>
    </w:rPr>
  </w:style>
  <w:style w:type="character" w:styleId="Forte">
    <w:name w:val="Strong"/>
    <w:uiPriority w:val="22"/>
    <w:qFormat/>
    <w:rsid w:val="0016612B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8F5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540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04812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0" w:color="3C587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7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6" w:color="D2D2D2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6312">
                              <w:marLeft w:val="240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0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3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1.tce.pr.gov.br/multimidia/2022/1/pdf/00363264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resolucao-n-91-de-13-de-janeiro-de-2022/339625/area/249" TargetMode="External"/><Relationship Id="rId2" Type="http://schemas.openxmlformats.org/officeDocument/2006/relationships/hyperlink" Target="https://www1.tce.pr.gov.br/conteudo/resolucao-n-1-de-24-de-janeiro-de-2006-regimento-interno/1403/area/10" TargetMode="External"/><Relationship Id="rId1" Type="http://schemas.openxmlformats.org/officeDocument/2006/relationships/hyperlink" Target="https://www1.tce.pr.gov.br/multimidia/2022/1/pdf/0036326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EE4E480CA315488CA3397CFAA4C97D" ma:contentTypeVersion="11" ma:contentTypeDescription="Crie um novo documento." ma:contentTypeScope="" ma:versionID="9eb41751ba951815d537b14bc2bf28b5">
  <xsd:schema xmlns:xsd="http://www.w3.org/2001/XMLSchema" xmlns:xs="http://www.w3.org/2001/XMLSchema" xmlns:p="http://schemas.microsoft.com/office/2006/metadata/properties" xmlns:ns3="9108f842-fb03-4c8d-8d71-23235de384e1" xmlns:ns4="1602c79e-0c0a-4aca-a46c-9ea08541ee77" targetNamespace="http://schemas.microsoft.com/office/2006/metadata/properties" ma:root="true" ma:fieldsID="f176e53e616fd44e6be211b3cc1dc559" ns3:_="" ns4:_="">
    <xsd:import namespace="9108f842-fb03-4c8d-8d71-23235de384e1"/>
    <xsd:import namespace="1602c79e-0c0a-4aca-a46c-9ea08541ee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8f842-fb03-4c8d-8d71-23235de38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2c79e-0c0a-4aca-a46c-9ea08541e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F9A1A3-2A20-47CB-863A-B32A5D1D9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08f842-fb03-4c8d-8d71-23235de384e1"/>
    <ds:schemaRef ds:uri="1602c79e-0c0a-4aca-a46c-9ea08541e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E5A295-3FCB-4438-AE18-A0AD5F9B72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382A33-0013-4E2F-86C7-741A6FC97B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111A8E-20A7-458F-91E2-A6157462B7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Vivianeli Araujo Prestes</dc:creator>
  <cp:keywords/>
  <dc:description/>
  <cp:lastModifiedBy>Yarusya Fonseca</cp:lastModifiedBy>
  <cp:revision>10</cp:revision>
  <dcterms:created xsi:type="dcterms:W3CDTF">2022-07-05T17:13:00Z</dcterms:created>
  <dcterms:modified xsi:type="dcterms:W3CDTF">2022-07-15T21:41:00Z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0x01010004EE4E480CA315488CA3397CFAA4C97D</vt:lpwstr>
  </property>
</Properties>
</file>