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466F" w14:textId="7375F335" w:rsidR="003546F5" w:rsidRDefault="003546F5" w:rsidP="000258EA">
      <w:pPr>
        <w:keepNext/>
        <w:spacing w:before="240" w:after="12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Toc10714170"/>
      <w:r w:rsidRPr="000258EA">
        <w:rPr>
          <w:rFonts w:ascii="Arial" w:hAnsi="Arial" w:cs="Arial"/>
          <w:b/>
          <w:bCs/>
          <w:kern w:val="32"/>
          <w:sz w:val="28"/>
          <w:szCs w:val="28"/>
        </w:rPr>
        <w:t>RESOLUÇÃO</w:t>
      </w:r>
      <w:bookmarkEnd w:id="0"/>
      <w:r w:rsidR="000258EA">
        <w:rPr>
          <w:rFonts w:ascii="Arial" w:hAnsi="Arial" w:cs="Arial"/>
          <w:b/>
          <w:bCs/>
          <w:kern w:val="32"/>
          <w:sz w:val="28"/>
          <w:szCs w:val="28"/>
        </w:rPr>
        <w:t xml:space="preserve"> </w:t>
      </w:r>
      <w:r w:rsidR="000258EA" w:rsidRPr="000258EA">
        <w:rPr>
          <w:rFonts w:ascii="Arial" w:hAnsi="Arial" w:cs="Arial"/>
          <w:b/>
          <w:sz w:val="28"/>
          <w:szCs w:val="28"/>
        </w:rPr>
        <w:t>Nº 7</w:t>
      </w:r>
      <w:r w:rsidR="00FE2DB3">
        <w:rPr>
          <w:rFonts w:ascii="Arial" w:hAnsi="Arial" w:cs="Arial"/>
          <w:b/>
          <w:sz w:val="28"/>
          <w:szCs w:val="28"/>
        </w:rPr>
        <w:t>2</w:t>
      </w:r>
      <w:r w:rsidR="000258EA" w:rsidRPr="000258EA">
        <w:rPr>
          <w:rFonts w:ascii="Arial" w:hAnsi="Arial" w:cs="Arial"/>
          <w:b/>
          <w:sz w:val="28"/>
          <w:szCs w:val="28"/>
        </w:rPr>
        <w:t>/2019</w:t>
      </w:r>
      <w:r w:rsidR="00FA6594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2181B975" w14:textId="419C5D0A" w:rsidR="001919BC" w:rsidRPr="001919BC" w:rsidRDefault="001919BC" w:rsidP="001919BC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00FF"/>
          <w:kern w:val="32"/>
          <w:sz w:val="26"/>
          <w:szCs w:val="26"/>
        </w:rPr>
      </w:pPr>
      <w:r w:rsidRPr="001919BC">
        <w:rPr>
          <w:rFonts w:ascii="Arial" w:hAnsi="Arial" w:cs="Arial"/>
          <w:b/>
          <w:color w:val="0000FF"/>
          <w:sz w:val="26"/>
          <w:szCs w:val="26"/>
        </w:rPr>
        <w:t>CO</w:t>
      </w:r>
      <w:r w:rsidR="001B4D81">
        <w:rPr>
          <w:rFonts w:ascii="Arial" w:hAnsi="Arial" w:cs="Arial"/>
          <w:b/>
          <w:color w:val="0000FF"/>
          <w:sz w:val="26"/>
          <w:szCs w:val="26"/>
        </w:rPr>
        <w:t>MPILADA</w:t>
      </w:r>
    </w:p>
    <w:p w14:paraId="31F24670" w14:textId="77777777" w:rsidR="003546F5" w:rsidRDefault="003546F5" w:rsidP="000A3060">
      <w:pPr>
        <w:spacing w:before="360" w:after="360" w:line="240" w:lineRule="auto"/>
        <w:ind w:left="4536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Dispõe sobre a Política de Gestão de Riscos do Tribunal de Contas do Estado do Paraná.</w:t>
      </w:r>
    </w:p>
    <w:p w14:paraId="31F24671" w14:textId="1FC54188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1" w:name="_Hlk520106632"/>
      <w:r w:rsidRPr="00E17FE3">
        <w:rPr>
          <w:rFonts w:ascii="Arial" w:hAnsi="Arial" w:cs="Arial"/>
          <w:sz w:val="24"/>
          <w:szCs w:val="24"/>
        </w:rPr>
        <w:t xml:space="preserve">O </w:t>
      </w:r>
      <w:r w:rsidRPr="00E17FE3">
        <w:rPr>
          <w:rFonts w:ascii="Arial" w:hAnsi="Arial" w:cs="Arial"/>
          <w:b/>
          <w:sz w:val="24"/>
          <w:szCs w:val="24"/>
        </w:rPr>
        <w:t>TRIBUNAL DE CONTAS DO ESTADO DO PARANÁ</w:t>
      </w:r>
      <w:r w:rsidRPr="00E17FE3">
        <w:rPr>
          <w:rFonts w:ascii="Arial" w:hAnsi="Arial" w:cs="Arial"/>
          <w:sz w:val="24"/>
          <w:szCs w:val="24"/>
        </w:rPr>
        <w:t xml:space="preserve">, no uso das atribuições institucionais estabelecidas nos </w:t>
      </w:r>
      <w:proofErr w:type="spellStart"/>
      <w:r w:rsidRPr="00E17FE3">
        <w:rPr>
          <w:rFonts w:ascii="Arial" w:hAnsi="Arial" w:cs="Arial"/>
          <w:sz w:val="24"/>
          <w:szCs w:val="24"/>
        </w:rPr>
        <w:t>arts</w:t>
      </w:r>
      <w:proofErr w:type="spellEnd"/>
      <w:r w:rsidRPr="00E17FE3">
        <w:rPr>
          <w:rFonts w:ascii="Arial" w:hAnsi="Arial" w:cs="Arial"/>
          <w:sz w:val="24"/>
          <w:szCs w:val="24"/>
        </w:rPr>
        <w:t>. 2º, I, e 116, XII, e parágrafo único, da Lei Complementar nº 113, de 15 de dezembro de 2005, e no art. 5º, XIII, do Regimento Interno, com base no art. 188, também do Regimento Interno,</w:t>
      </w:r>
      <w:bookmarkEnd w:id="1"/>
      <w:r w:rsidRPr="00E17FE3">
        <w:rPr>
          <w:rFonts w:ascii="Arial" w:hAnsi="Arial" w:cs="Arial"/>
          <w:sz w:val="24"/>
          <w:szCs w:val="24"/>
        </w:rPr>
        <w:t xml:space="preserve"> e no </w:t>
      </w:r>
      <w:hyperlink r:id="rId7" w:history="1">
        <w:r w:rsidRPr="00C02201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Acórdão nº </w:t>
        </w:r>
        <w:r w:rsidR="000258EA" w:rsidRPr="00C02201">
          <w:rPr>
            <w:rStyle w:val="Hyperlink"/>
            <w:rFonts w:ascii="Arial" w:hAnsi="Arial" w:cs="Arial"/>
            <w:sz w:val="24"/>
            <w:szCs w:val="24"/>
            <w:u w:val="none"/>
          </w:rPr>
          <w:t>1.777/2019</w:t>
        </w:r>
        <w:r w:rsidRPr="00C02201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- Tribunal Pleno</w:t>
        </w:r>
      </w:hyperlink>
      <w:r w:rsidRPr="00E17FE3">
        <w:rPr>
          <w:rFonts w:ascii="Arial" w:hAnsi="Arial" w:cs="Arial"/>
          <w:sz w:val="24"/>
          <w:szCs w:val="24"/>
        </w:rPr>
        <w:t xml:space="preserve">, Processo nº </w:t>
      </w:r>
      <w:r w:rsidR="000258EA" w:rsidRPr="00E17FE3">
        <w:rPr>
          <w:rFonts w:ascii="Arial" w:hAnsi="Arial" w:cs="Arial"/>
          <w:sz w:val="24"/>
          <w:szCs w:val="24"/>
        </w:rPr>
        <w:t>3553</w:t>
      </w:r>
      <w:r w:rsidR="00F96DFD" w:rsidRPr="00E17FE3">
        <w:rPr>
          <w:rFonts w:ascii="Arial" w:hAnsi="Arial" w:cs="Arial"/>
          <w:sz w:val="24"/>
          <w:szCs w:val="24"/>
        </w:rPr>
        <w:t>4</w:t>
      </w:r>
      <w:r w:rsidR="000258EA" w:rsidRPr="00E17FE3">
        <w:rPr>
          <w:rFonts w:ascii="Arial" w:hAnsi="Arial" w:cs="Arial"/>
          <w:sz w:val="24"/>
          <w:szCs w:val="24"/>
        </w:rPr>
        <w:t>3/19</w:t>
      </w:r>
      <w:r w:rsidRPr="00E17FE3">
        <w:rPr>
          <w:rFonts w:ascii="Arial" w:hAnsi="Arial" w:cs="Arial"/>
          <w:sz w:val="24"/>
          <w:szCs w:val="24"/>
        </w:rPr>
        <w:t>.</w:t>
      </w:r>
    </w:p>
    <w:p w14:paraId="31F24672" w14:textId="77777777" w:rsidR="003546F5" w:rsidRPr="00E17FE3" w:rsidRDefault="003546F5" w:rsidP="003546F5">
      <w:pPr>
        <w:spacing w:before="240"/>
        <w:ind w:firstLine="1134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normativa GOV 9.130/2017, aprovada no XIX Congresso Internacional da Organização Internacional de Entidades Fiscalizadoras Superiores - INTOSAI;</w:t>
      </w:r>
    </w:p>
    <w:p w14:paraId="31F24673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 xml:space="preserve">CONSIDERANDO </w:t>
      </w:r>
      <w:r w:rsidRPr="00E17FE3">
        <w:rPr>
          <w:rFonts w:ascii="Arial" w:hAnsi="Arial" w:cs="Arial"/>
          <w:sz w:val="24"/>
          <w:szCs w:val="24"/>
        </w:rPr>
        <w:t>a Declaração de Vitória, aprovada no XXVII Congresso dos Tribunais de Contas do Brasil;</w:t>
      </w:r>
    </w:p>
    <w:p w14:paraId="31F24674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Resolução nº 04/2014 da Associação dos Membros dos Tribunais de Contas do Brasil - ATRICON;</w:t>
      </w:r>
    </w:p>
    <w:p w14:paraId="31F24675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 xml:space="preserve">CONSIDERANDO </w:t>
      </w:r>
      <w:r w:rsidRPr="00E17FE3">
        <w:rPr>
          <w:rFonts w:ascii="Arial" w:hAnsi="Arial" w:cs="Arial"/>
          <w:sz w:val="24"/>
          <w:szCs w:val="24"/>
        </w:rPr>
        <w:t>o Marco de Medição do Desempenho – Qualidade e Agilidade dos Tribunais de Contas do Brasil (MMD-QATC) elaborado pela ATRICON;</w:t>
      </w:r>
    </w:p>
    <w:p w14:paraId="31F24676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Resolução nº 287/2017 do Plenário do egrégio Tribunal de Contas da União, a qual dispõe sobre a política de gestão de riscos do TCU;</w:t>
      </w:r>
    </w:p>
    <w:p w14:paraId="31F24677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que o Tribunal de Contas da União, assim como diversos Tribunais de Contas Estaduais, vem gradualmente implementando sistemas de Gestão de Riscos;</w:t>
      </w:r>
    </w:p>
    <w:p w14:paraId="31F24678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implementação de sistemas de Gestão de Riscos no Superior Tribunal de Justiça, no Tribunal Superior do Trabalho, no Conselho da Justiça Federal, na Secretária-geral de Administração da Advocacia-Geral da União e no Ministério Público da União;</w:t>
      </w:r>
    </w:p>
    <w:p w14:paraId="31F24679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Instrução Normativa Conjunta MP/CGU nº 01/2016, a qual dispõe sobre controles internos, gestão de riscos e governança no âmbito do Poder Executivo Federal;</w:t>
      </w:r>
    </w:p>
    <w:p w14:paraId="31F2467A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o Decreto Federal nº 9.203/2017, o qual dispõe sobre a política de governança da Administração Pública Federal direta, autárquica e fundacional;</w:t>
      </w:r>
    </w:p>
    <w:p w14:paraId="31F2467B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lastRenderedPageBreak/>
        <w:t>CONSIDERANDO</w:t>
      </w:r>
      <w:r w:rsidRPr="00E17FE3">
        <w:rPr>
          <w:rFonts w:ascii="Arial" w:hAnsi="Arial" w:cs="Arial"/>
          <w:sz w:val="24"/>
          <w:szCs w:val="24"/>
        </w:rPr>
        <w:t xml:space="preserve"> o capítulo de Gerenciamento dos Riscos do </w:t>
      </w:r>
      <w:r w:rsidRPr="00E17FE3">
        <w:rPr>
          <w:rFonts w:ascii="Arial" w:hAnsi="Arial" w:cs="Arial"/>
          <w:i/>
          <w:sz w:val="24"/>
          <w:szCs w:val="24"/>
        </w:rPr>
        <w:t xml:space="preserve">Project Management Body </w:t>
      </w:r>
      <w:proofErr w:type="spellStart"/>
      <w:r w:rsidRPr="00E17FE3">
        <w:rPr>
          <w:rFonts w:ascii="Arial" w:hAnsi="Arial" w:cs="Arial"/>
          <w:i/>
          <w:sz w:val="24"/>
          <w:szCs w:val="24"/>
        </w:rPr>
        <w:t>of</w:t>
      </w:r>
      <w:proofErr w:type="spellEnd"/>
      <w:r w:rsidRPr="00E17FE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17FE3">
        <w:rPr>
          <w:rFonts w:ascii="Arial" w:hAnsi="Arial" w:cs="Arial"/>
          <w:i/>
          <w:sz w:val="24"/>
          <w:szCs w:val="24"/>
        </w:rPr>
        <w:t>Knowledge</w:t>
      </w:r>
      <w:proofErr w:type="spellEnd"/>
      <w:r w:rsidRPr="00E17FE3">
        <w:rPr>
          <w:rFonts w:ascii="Arial" w:hAnsi="Arial" w:cs="Arial"/>
          <w:sz w:val="24"/>
          <w:szCs w:val="24"/>
        </w:rPr>
        <w:t xml:space="preserve"> - PMBOK;</w:t>
      </w:r>
    </w:p>
    <w:p w14:paraId="31F2467C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publicação “Gerenciamento de Riscos Corporativos – Estrutura Integrada” emitido pelo </w:t>
      </w:r>
      <w:proofErr w:type="spellStart"/>
      <w:r w:rsidRPr="00E17FE3">
        <w:rPr>
          <w:rFonts w:ascii="Arial" w:hAnsi="Arial" w:cs="Arial"/>
          <w:i/>
          <w:sz w:val="24"/>
          <w:szCs w:val="24"/>
        </w:rPr>
        <w:t>Committee</w:t>
      </w:r>
      <w:proofErr w:type="spellEnd"/>
      <w:r w:rsidRPr="00E17FE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17FE3">
        <w:rPr>
          <w:rFonts w:ascii="Arial" w:hAnsi="Arial" w:cs="Arial"/>
          <w:i/>
          <w:sz w:val="24"/>
          <w:szCs w:val="24"/>
        </w:rPr>
        <w:t>of</w:t>
      </w:r>
      <w:proofErr w:type="spellEnd"/>
      <w:r w:rsidRPr="00E17FE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17FE3">
        <w:rPr>
          <w:rFonts w:ascii="Arial" w:hAnsi="Arial" w:cs="Arial"/>
          <w:i/>
          <w:sz w:val="24"/>
          <w:szCs w:val="24"/>
        </w:rPr>
        <w:t>Sponsoring</w:t>
      </w:r>
      <w:proofErr w:type="spellEnd"/>
      <w:r w:rsidRPr="00E17FE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17FE3">
        <w:rPr>
          <w:rFonts w:ascii="Arial" w:hAnsi="Arial" w:cs="Arial"/>
          <w:i/>
          <w:sz w:val="24"/>
          <w:szCs w:val="24"/>
        </w:rPr>
        <w:t>Organization</w:t>
      </w:r>
      <w:proofErr w:type="spellEnd"/>
      <w:r w:rsidRPr="00E17FE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17FE3">
        <w:rPr>
          <w:rFonts w:ascii="Arial" w:hAnsi="Arial" w:cs="Arial"/>
          <w:i/>
          <w:sz w:val="24"/>
          <w:szCs w:val="24"/>
        </w:rPr>
        <w:t>of</w:t>
      </w:r>
      <w:proofErr w:type="spellEnd"/>
      <w:r w:rsidRPr="00E17FE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17FE3">
        <w:rPr>
          <w:rFonts w:ascii="Arial" w:hAnsi="Arial" w:cs="Arial"/>
          <w:i/>
          <w:sz w:val="24"/>
          <w:szCs w:val="24"/>
        </w:rPr>
        <w:t>the</w:t>
      </w:r>
      <w:proofErr w:type="spellEnd"/>
      <w:r w:rsidRPr="00E17FE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17FE3">
        <w:rPr>
          <w:rFonts w:ascii="Arial" w:hAnsi="Arial" w:cs="Arial"/>
          <w:i/>
          <w:sz w:val="24"/>
          <w:szCs w:val="24"/>
        </w:rPr>
        <w:t>Treadway</w:t>
      </w:r>
      <w:proofErr w:type="spellEnd"/>
      <w:r w:rsidRPr="00E17FE3">
        <w:rPr>
          <w:rFonts w:ascii="Arial" w:hAnsi="Arial" w:cs="Arial"/>
          <w:i/>
          <w:sz w:val="24"/>
          <w:szCs w:val="24"/>
        </w:rPr>
        <w:t xml:space="preserve"> Commission</w:t>
      </w:r>
      <w:r w:rsidRPr="00E17FE3">
        <w:rPr>
          <w:rFonts w:ascii="Arial" w:hAnsi="Arial" w:cs="Arial"/>
          <w:sz w:val="24"/>
          <w:szCs w:val="24"/>
        </w:rPr>
        <w:t xml:space="preserve"> - COSO;</w:t>
      </w:r>
    </w:p>
    <w:p w14:paraId="31F2467D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norma brasileira publicada pela Associação Brasileira de Normas Técnicas – ABNT - NBR ISO 31000:2018 - Gestão de Riscos – Princípios e Diretrizes;</w:t>
      </w:r>
    </w:p>
    <w:p w14:paraId="31F2467E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 xml:space="preserve">CONSIDERANDO </w:t>
      </w:r>
      <w:r w:rsidRPr="00E17FE3">
        <w:rPr>
          <w:rFonts w:ascii="Arial" w:hAnsi="Arial" w:cs="Arial"/>
          <w:sz w:val="24"/>
          <w:szCs w:val="24"/>
        </w:rPr>
        <w:t>que um eficiente sistema de Gestão de Riscos denota a imperiosa adoção de medidas com o condão de prevenir, transferir e/ou mitigar potenciais entraves na obtenção dos objetivos da instituição; e</w:t>
      </w:r>
    </w:p>
    <w:p w14:paraId="31F2467F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CONSIDERANDO</w:t>
      </w:r>
      <w:r w:rsidRPr="00E17FE3">
        <w:rPr>
          <w:rFonts w:ascii="Arial" w:hAnsi="Arial" w:cs="Arial"/>
          <w:sz w:val="24"/>
          <w:szCs w:val="24"/>
        </w:rPr>
        <w:t xml:space="preserve"> a necessidade de subsidiar a tomada de decisões a fim de assegurar o cumprimento dos objetivos estratégicos do TCE-PR, agregando valor à organização por meio da melhoria permanente dos processos,</w:t>
      </w:r>
    </w:p>
    <w:p w14:paraId="31F24680" w14:textId="6A4DCE05" w:rsidR="003546F5" w:rsidRPr="000258EA" w:rsidRDefault="003546F5" w:rsidP="003546F5">
      <w:pPr>
        <w:spacing w:before="480" w:after="120"/>
        <w:ind w:firstLine="1134"/>
        <w:rPr>
          <w:rFonts w:ascii="Arial" w:hAnsi="Arial" w:cs="Arial"/>
          <w:b/>
          <w:sz w:val="26"/>
          <w:szCs w:val="26"/>
        </w:rPr>
      </w:pPr>
      <w:r w:rsidRPr="000258EA">
        <w:rPr>
          <w:rFonts w:ascii="Arial" w:hAnsi="Arial" w:cs="Arial"/>
          <w:b/>
          <w:sz w:val="26"/>
          <w:szCs w:val="26"/>
        </w:rPr>
        <w:t>RESOLVE</w:t>
      </w:r>
      <w:r w:rsidR="00CA5349">
        <w:rPr>
          <w:rFonts w:ascii="Arial" w:hAnsi="Arial" w:cs="Arial"/>
          <w:b/>
          <w:sz w:val="26"/>
          <w:szCs w:val="26"/>
        </w:rPr>
        <w:t>:</w:t>
      </w:r>
    </w:p>
    <w:p w14:paraId="31F24681" w14:textId="77777777" w:rsidR="003546F5" w:rsidRPr="00E17FE3" w:rsidRDefault="003546F5" w:rsidP="003546F5">
      <w:pPr>
        <w:keepNext/>
        <w:tabs>
          <w:tab w:val="left" w:pos="3402"/>
        </w:tabs>
        <w:spacing w:before="240" w:after="240" w:line="252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bookmarkStart w:id="2" w:name="_Toc10714171"/>
      <w:r w:rsidRPr="00E17FE3">
        <w:rPr>
          <w:rFonts w:ascii="Arial" w:hAnsi="Arial" w:cs="Arial"/>
          <w:b/>
          <w:bCs/>
          <w:kern w:val="32"/>
          <w:sz w:val="24"/>
          <w:szCs w:val="24"/>
        </w:rPr>
        <w:t>CAPÍTULO I</w:t>
      </w:r>
      <w:r w:rsidRPr="00E17FE3">
        <w:rPr>
          <w:rFonts w:ascii="Arial" w:hAnsi="Arial" w:cs="Arial"/>
          <w:b/>
          <w:bCs/>
          <w:kern w:val="32"/>
          <w:sz w:val="24"/>
          <w:szCs w:val="24"/>
        </w:rPr>
        <w:br/>
        <w:t>DAS DISPOSIÇÕES GERAIS, OBJETIVOS, DIRETRIZES E PRINCÍPIOS</w:t>
      </w:r>
      <w:bookmarkEnd w:id="2"/>
    </w:p>
    <w:p w14:paraId="31F24682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1º</w:t>
      </w:r>
      <w:r w:rsidRPr="000258EA">
        <w:rPr>
          <w:rFonts w:ascii="Arial" w:hAnsi="Arial" w:cs="Arial"/>
          <w:sz w:val="24"/>
          <w:szCs w:val="24"/>
        </w:rPr>
        <w:t xml:space="preserve"> A política de Gestão de Riscos do Tribunal de Contas do Estado do Paraná observará o disposto nesta Resolução.</w:t>
      </w:r>
    </w:p>
    <w:p w14:paraId="31F24683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2º</w:t>
      </w:r>
      <w:r w:rsidRPr="000258EA">
        <w:rPr>
          <w:rFonts w:ascii="Arial" w:hAnsi="Arial" w:cs="Arial"/>
          <w:sz w:val="24"/>
          <w:szCs w:val="24"/>
        </w:rPr>
        <w:t xml:space="preserve"> </w:t>
      </w:r>
      <w:bookmarkStart w:id="3" w:name="_Hlk9335325"/>
      <w:r w:rsidRPr="000258EA">
        <w:rPr>
          <w:rFonts w:ascii="Arial" w:hAnsi="Arial" w:cs="Arial"/>
          <w:sz w:val="24"/>
          <w:szCs w:val="24"/>
        </w:rPr>
        <w:t>Será objeto da Gestão de Riscos qualquer processo de trabalho, atividade, projeto, unidade, iniciativa ou ação de plano institucional, assim como os recursos que dão suporte à realização de seus objetivos.</w:t>
      </w:r>
      <w:bookmarkEnd w:id="3"/>
    </w:p>
    <w:p w14:paraId="31F24684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Parágrafo Único. O Sistema de Gestão de Riscos – SGR – deverá ser gradualmente implementado nas atividades do Tribunal, por ciclos, sendo continuamente avaliado pela Alta Administração.</w:t>
      </w:r>
    </w:p>
    <w:p w14:paraId="31F24685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3º</w:t>
      </w:r>
      <w:r w:rsidRPr="000258EA">
        <w:rPr>
          <w:rFonts w:ascii="Arial" w:hAnsi="Arial" w:cs="Arial"/>
          <w:sz w:val="24"/>
          <w:szCs w:val="24"/>
        </w:rPr>
        <w:t xml:space="preserve"> A Gestão de Riscos no âmbito do Tribunal de Contas do Estado do Paraná tem por principais objetivos:</w:t>
      </w:r>
    </w:p>
    <w:p w14:paraId="31F24686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0258EA">
        <w:rPr>
          <w:rFonts w:ascii="Arial" w:hAnsi="Arial" w:cs="Arial"/>
          <w:sz w:val="24"/>
          <w:szCs w:val="24"/>
        </w:rPr>
        <w:t>aumentar</w:t>
      </w:r>
      <w:proofErr w:type="gramEnd"/>
      <w:r w:rsidRPr="000258EA">
        <w:rPr>
          <w:rFonts w:ascii="Arial" w:hAnsi="Arial" w:cs="Arial"/>
          <w:sz w:val="24"/>
          <w:szCs w:val="24"/>
        </w:rPr>
        <w:t xml:space="preserve"> a eficiência da Corte;</w:t>
      </w:r>
    </w:p>
    <w:p w14:paraId="31F24687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0258EA">
        <w:rPr>
          <w:rFonts w:ascii="Arial" w:hAnsi="Arial" w:cs="Arial"/>
          <w:sz w:val="24"/>
          <w:szCs w:val="24"/>
        </w:rPr>
        <w:t>subsidiar</w:t>
      </w:r>
      <w:proofErr w:type="gramEnd"/>
      <w:r w:rsidRPr="000258EA">
        <w:rPr>
          <w:rFonts w:ascii="Arial" w:hAnsi="Arial" w:cs="Arial"/>
          <w:sz w:val="24"/>
          <w:szCs w:val="24"/>
        </w:rPr>
        <w:t xml:space="preserve"> a tomada de decisões com vistas a prover razoável segurança no cumprimento da missão institucional;</w:t>
      </w:r>
    </w:p>
    <w:p w14:paraId="31F24688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III - desenvolver um sistema inteligente que, além de reduzir a possibilidade de danos e retrabalho, facilite a rotina dos servidores e contribua para a prestação de serviços públicos de qualidade para toda a população paranaense;</w:t>
      </w:r>
    </w:p>
    <w:p w14:paraId="31F24689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0258EA">
        <w:rPr>
          <w:rFonts w:ascii="Arial" w:hAnsi="Arial" w:cs="Arial"/>
          <w:sz w:val="24"/>
          <w:szCs w:val="24"/>
        </w:rPr>
        <w:t>aperfeiçoar</w:t>
      </w:r>
      <w:proofErr w:type="gramEnd"/>
      <w:r w:rsidRPr="000258EA">
        <w:rPr>
          <w:rFonts w:ascii="Arial" w:hAnsi="Arial" w:cs="Arial"/>
          <w:sz w:val="24"/>
          <w:szCs w:val="24"/>
        </w:rPr>
        <w:t xml:space="preserve"> continuamente os métodos e processos de trabalho;</w:t>
      </w:r>
    </w:p>
    <w:p w14:paraId="31F2468A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0258EA">
        <w:rPr>
          <w:rFonts w:ascii="Arial" w:hAnsi="Arial" w:cs="Arial"/>
          <w:sz w:val="24"/>
          <w:szCs w:val="24"/>
        </w:rPr>
        <w:t>potencializar</w:t>
      </w:r>
      <w:proofErr w:type="gramEnd"/>
      <w:r w:rsidRPr="000258EA">
        <w:rPr>
          <w:rFonts w:ascii="Arial" w:hAnsi="Arial" w:cs="Arial"/>
          <w:sz w:val="24"/>
          <w:szCs w:val="24"/>
        </w:rPr>
        <w:t xml:space="preserve"> o alcance dos objetivos estratégicos;</w:t>
      </w:r>
    </w:p>
    <w:p w14:paraId="31F2468B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VI - </w:t>
      </w:r>
      <w:proofErr w:type="gramStart"/>
      <w:r w:rsidRPr="000258EA">
        <w:rPr>
          <w:rFonts w:ascii="Arial" w:hAnsi="Arial" w:cs="Arial"/>
          <w:sz w:val="24"/>
          <w:szCs w:val="24"/>
        </w:rPr>
        <w:t>valorizar</w:t>
      </w:r>
      <w:proofErr w:type="gramEnd"/>
      <w:r w:rsidRPr="000258EA">
        <w:rPr>
          <w:rFonts w:ascii="Arial" w:hAnsi="Arial" w:cs="Arial"/>
          <w:sz w:val="24"/>
          <w:szCs w:val="24"/>
        </w:rPr>
        <w:t xml:space="preserve"> a instituição;</w:t>
      </w:r>
    </w:p>
    <w:p w14:paraId="31F2468C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VII - identificar vulnerabilidades e oportunidades atinentes ao desempenho do TCE/PR;</w:t>
      </w:r>
    </w:p>
    <w:p w14:paraId="31F2468D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VIII - sistematizar, integrar e padronizar tarefas, processos e atividades;</w:t>
      </w:r>
    </w:p>
    <w:p w14:paraId="31F2468E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lastRenderedPageBreak/>
        <w:t xml:space="preserve">IX - </w:t>
      </w:r>
      <w:proofErr w:type="gramStart"/>
      <w:r w:rsidRPr="000258EA">
        <w:rPr>
          <w:rFonts w:ascii="Arial" w:hAnsi="Arial" w:cs="Arial"/>
          <w:sz w:val="24"/>
          <w:szCs w:val="24"/>
        </w:rPr>
        <w:t>proporcionar</w:t>
      </w:r>
      <w:proofErr w:type="gramEnd"/>
      <w:r w:rsidRPr="000258EA">
        <w:rPr>
          <w:rFonts w:ascii="Arial" w:hAnsi="Arial" w:cs="Arial"/>
          <w:sz w:val="24"/>
          <w:szCs w:val="24"/>
        </w:rPr>
        <w:t xml:space="preserve"> a melhoria constante do ambiente organizacional.</w:t>
      </w:r>
    </w:p>
    <w:p w14:paraId="31F2468F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4º</w:t>
      </w:r>
      <w:r w:rsidRPr="000258EA">
        <w:rPr>
          <w:rFonts w:ascii="Arial" w:hAnsi="Arial" w:cs="Arial"/>
          <w:sz w:val="24"/>
          <w:szCs w:val="24"/>
        </w:rPr>
        <w:t xml:space="preserve"> Devem ser avaliados prioritariamente riscos operacionais, legais, financeiros e de integridade relacionados às atividades do TCE/PR, observando os objetivos estratégicos, táticos e operacionais da instituição.</w:t>
      </w:r>
    </w:p>
    <w:p w14:paraId="24CF0CD5" w14:textId="77777777" w:rsidR="00CA2EC8" w:rsidRPr="000258EA" w:rsidRDefault="00CA2EC8" w:rsidP="00CA2EC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471A7">
        <w:rPr>
          <w:rFonts w:ascii="Arial" w:hAnsi="Arial" w:cs="Arial"/>
          <w:sz w:val="24"/>
          <w:szCs w:val="24"/>
        </w:rPr>
        <w:t>Parágrafo único. Nas atividades de planejamento do Tribunal, incluindo-se o planejamento estratégico, devem ser considerados, sempre que couber, riscos e oportunidades como critérios para seleção e priorização de objetivos, indicadores, metas e iniciativas</w:t>
      </w:r>
      <w:r>
        <w:rPr>
          <w:rFonts w:ascii="Arial" w:hAnsi="Arial" w:cs="Arial"/>
          <w:sz w:val="24"/>
          <w:szCs w:val="24"/>
        </w:rPr>
        <w:t xml:space="preserve">. </w:t>
      </w:r>
      <w:r w:rsidRPr="00D471A7">
        <w:rPr>
          <w:rFonts w:ascii="Arial" w:hAnsi="Arial" w:cs="Arial"/>
          <w:color w:val="0000FF"/>
          <w:sz w:val="24"/>
          <w:szCs w:val="24"/>
        </w:rPr>
        <w:t xml:space="preserve">(Redação dada pela </w:t>
      </w:r>
      <w:hyperlink r:id="rId8" w:history="1">
        <w:r w:rsidRPr="00C02201">
          <w:rPr>
            <w:rStyle w:val="Hyperlink"/>
            <w:rFonts w:ascii="Arial" w:hAnsi="Arial" w:cs="Arial"/>
            <w:sz w:val="24"/>
            <w:szCs w:val="24"/>
            <w:u w:val="none"/>
          </w:rPr>
          <w:t>Resolução n. 84/2021</w:t>
        </w:r>
      </w:hyperlink>
      <w:r w:rsidRPr="00C02201">
        <w:rPr>
          <w:rFonts w:ascii="Arial" w:hAnsi="Arial" w:cs="Arial"/>
          <w:color w:val="0000FF"/>
          <w:sz w:val="24"/>
          <w:szCs w:val="24"/>
        </w:rPr>
        <w:t>)</w:t>
      </w:r>
    </w:p>
    <w:p w14:paraId="31F24691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5º</w:t>
      </w:r>
      <w:r w:rsidRPr="000258EA">
        <w:rPr>
          <w:rFonts w:ascii="Arial" w:hAnsi="Arial" w:cs="Arial"/>
          <w:sz w:val="24"/>
          <w:szCs w:val="24"/>
        </w:rPr>
        <w:t xml:space="preserve"> O Sistema de Gestão de Riscos demandará:</w:t>
      </w:r>
    </w:p>
    <w:p w14:paraId="31F24692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0258EA">
        <w:rPr>
          <w:rFonts w:ascii="Arial" w:hAnsi="Arial" w:cs="Arial"/>
          <w:sz w:val="24"/>
          <w:szCs w:val="24"/>
        </w:rPr>
        <w:t>o</w:t>
      </w:r>
      <w:proofErr w:type="gramEnd"/>
      <w:r w:rsidRPr="000258EA">
        <w:rPr>
          <w:rFonts w:ascii="Arial" w:hAnsi="Arial" w:cs="Arial"/>
          <w:sz w:val="24"/>
          <w:szCs w:val="24"/>
        </w:rPr>
        <w:t xml:space="preserve"> emprego de metodologias e boas práticas nacional e internacionalmente reconhecidas que melhor se ajustem ao funcionamento do TCE/PR;</w:t>
      </w:r>
    </w:p>
    <w:p w14:paraId="31F24693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0258EA">
        <w:rPr>
          <w:rFonts w:ascii="Arial" w:hAnsi="Arial" w:cs="Arial"/>
          <w:sz w:val="24"/>
          <w:szCs w:val="24"/>
        </w:rPr>
        <w:t>a</w:t>
      </w:r>
      <w:proofErr w:type="gramEnd"/>
      <w:r w:rsidRPr="000258EA">
        <w:rPr>
          <w:rFonts w:ascii="Arial" w:hAnsi="Arial" w:cs="Arial"/>
          <w:sz w:val="24"/>
          <w:szCs w:val="24"/>
        </w:rPr>
        <w:t xml:space="preserve"> aderência a exigências legais e regulatórias;</w:t>
      </w:r>
    </w:p>
    <w:p w14:paraId="31F24694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III - o estabelecimento de níveis de risco adequados;</w:t>
      </w:r>
    </w:p>
    <w:p w14:paraId="31F24695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0258EA">
        <w:rPr>
          <w:rFonts w:ascii="Arial" w:hAnsi="Arial" w:cs="Arial"/>
          <w:sz w:val="24"/>
          <w:szCs w:val="24"/>
        </w:rPr>
        <w:t>qualificação e tempestividade</w:t>
      </w:r>
      <w:proofErr w:type="gramEnd"/>
      <w:r w:rsidRPr="000258EA">
        <w:rPr>
          <w:rFonts w:ascii="Arial" w:hAnsi="Arial" w:cs="Arial"/>
          <w:sz w:val="24"/>
          <w:szCs w:val="24"/>
        </w:rPr>
        <w:t xml:space="preserve"> das informações disponíveis;</w:t>
      </w:r>
    </w:p>
    <w:p w14:paraId="31F24696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0258EA">
        <w:rPr>
          <w:rFonts w:ascii="Arial" w:hAnsi="Arial" w:cs="Arial"/>
          <w:sz w:val="24"/>
          <w:szCs w:val="24"/>
        </w:rPr>
        <w:t>capacitação</w:t>
      </w:r>
      <w:proofErr w:type="gramEnd"/>
      <w:r w:rsidRPr="000258EA">
        <w:rPr>
          <w:rFonts w:ascii="Arial" w:hAnsi="Arial" w:cs="Arial"/>
          <w:sz w:val="24"/>
          <w:szCs w:val="24"/>
        </w:rPr>
        <w:t xml:space="preserve"> de membros, servidores e demais interessados.</w:t>
      </w:r>
    </w:p>
    <w:p w14:paraId="31F24697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6º</w:t>
      </w:r>
      <w:r w:rsidRPr="000258EA">
        <w:rPr>
          <w:rFonts w:ascii="Arial" w:hAnsi="Arial" w:cs="Arial"/>
          <w:sz w:val="24"/>
          <w:szCs w:val="24"/>
        </w:rPr>
        <w:t xml:space="preserve"> Constituem princípios da Gestão de Riscos no TCE/PR:</w:t>
      </w:r>
    </w:p>
    <w:p w14:paraId="31F24698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I - </w:t>
      </w:r>
      <w:proofErr w:type="spellStart"/>
      <w:proofErr w:type="gramStart"/>
      <w:r w:rsidRPr="000258EA">
        <w:rPr>
          <w:rFonts w:ascii="Arial" w:hAnsi="Arial" w:cs="Arial"/>
          <w:sz w:val="24"/>
          <w:szCs w:val="24"/>
        </w:rPr>
        <w:t>a</w:t>
      </w:r>
      <w:r w:rsidRPr="000258EA">
        <w:rPr>
          <w:rFonts w:ascii="Arial" w:hAnsi="Arial" w:cs="Arial"/>
          <w:i/>
          <w:sz w:val="24"/>
          <w:szCs w:val="24"/>
        </w:rPr>
        <w:t>ccountability</w:t>
      </w:r>
      <w:proofErr w:type="spellEnd"/>
      <w:proofErr w:type="gramEnd"/>
      <w:r w:rsidRPr="000258EA">
        <w:rPr>
          <w:rFonts w:ascii="Arial" w:hAnsi="Arial" w:cs="Arial"/>
          <w:i/>
          <w:sz w:val="24"/>
          <w:szCs w:val="24"/>
        </w:rPr>
        <w:t>;</w:t>
      </w:r>
    </w:p>
    <w:p w14:paraId="31F24699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0258EA">
        <w:rPr>
          <w:rFonts w:ascii="Arial" w:hAnsi="Arial" w:cs="Arial"/>
          <w:sz w:val="24"/>
          <w:szCs w:val="24"/>
        </w:rPr>
        <w:t>dinamismo</w:t>
      </w:r>
      <w:proofErr w:type="gramEnd"/>
      <w:r w:rsidRPr="000258EA">
        <w:rPr>
          <w:rFonts w:ascii="Arial" w:hAnsi="Arial" w:cs="Arial"/>
          <w:sz w:val="24"/>
          <w:szCs w:val="24"/>
        </w:rPr>
        <w:t>;</w:t>
      </w:r>
    </w:p>
    <w:p w14:paraId="31F2469A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III - economicidade;</w:t>
      </w:r>
    </w:p>
    <w:p w14:paraId="31F2469B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0258EA">
        <w:rPr>
          <w:rFonts w:ascii="Arial" w:hAnsi="Arial" w:cs="Arial"/>
          <w:sz w:val="24"/>
          <w:szCs w:val="24"/>
        </w:rPr>
        <w:t>eficiência</w:t>
      </w:r>
      <w:proofErr w:type="gramEnd"/>
      <w:r w:rsidRPr="000258EA">
        <w:rPr>
          <w:rFonts w:ascii="Arial" w:hAnsi="Arial" w:cs="Arial"/>
          <w:sz w:val="24"/>
          <w:szCs w:val="24"/>
        </w:rPr>
        <w:t>;</w:t>
      </w:r>
    </w:p>
    <w:p w14:paraId="31F2469C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0258EA">
        <w:rPr>
          <w:rFonts w:ascii="Arial" w:hAnsi="Arial" w:cs="Arial"/>
          <w:sz w:val="24"/>
          <w:szCs w:val="24"/>
        </w:rPr>
        <w:t>incerteza</w:t>
      </w:r>
      <w:proofErr w:type="gramEnd"/>
      <w:r w:rsidRPr="000258EA">
        <w:rPr>
          <w:rFonts w:ascii="Arial" w:hAnsi="Arial" w:cs="Arial"/>
          <w:sz w:val="24"/>
          <w:szCs w:val="24"/>
        </w:rPr>
        <w:t>;</w:t>
      </w:r>
    </w:p>
    <w:p w14:paraId="31F2469D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VI - </w:t>
      </w:r>
      <w:proofErr w:type="gramStart"/>
      <w:r w:rsidRPr="000258EA">
        <w:rPr>
          <w:rFonts w:ascii="Arial" w:hAnsi="Arial" w:cs="Arial"/>
          <w:sz w:val="24"/>
          <w:szCs w:val="24"/>
        </w:rPr>
        <w:t>legalidade</w:t>
      </w:r>
      <w:proofErr w:type="gramEnd"/>
      <w:r w:rsidRPr="000258EA">
        <w:rPr>
          <w:rFonts w:ascii="Arial" w:hAnsi="Arial" w:cs="Arial"/>
          <w:sz w:val="24"/>
          <w:szCs w:val="24"/>
        </w:rPr>
        <w:t>;</w:t>
      </w:r>
    </w:p>
    <w:p w14:paraId="31F2469E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VII - moralidade;</w:t>
      </w:r>
    </w:p>
    <w:p w14:paraId="31F2469F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VIII - proatividade;</w:t>
      </w:r>
    </w:p>
    <w:p w14:paraId="31F246A0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IX - </w:t>
      </w:r>
      <w:proofErr w:type="gramStart"/>
      <w:r w:rsidRPr="000258EA">
        <w:rPr>
          <w:rFonts w:ascii="Arial" w:hAnsi="Arial" w:cs="Arial"/>
          <w:sz w:val="24"/>
          <w:szCs w:val="24"/>
        </w:rPr>
        <w:t>qualidade</w:t>
      </w:r>
      <w:proofErr w:type="gramEnd"/>
      <w:r w:rsidRPr="000258EA">
        <w:rPr>
          <w:rFonts w:ascii="Arial" w:hAnsi="Arial" w:cs="Arial"/>
          <w:sz w:val="24"/>
          <w:szCs w:val="24"/>
        </w:rPr>
        <w:t>;</w:t>
      </w:r>
    </w:p>
    <w:p w14:paraId="31F246A1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X - </w:t>
      </w:r>
      <w:proofErr w:type="gramStart"/>
      <w:r w:rsidRPr="000258EA">
        <w:rPr>
          <w:rFonts w:ascii="Arial" w:hAnsi="Arial" w:cs="Arial"/>
          <w:sz w:val="24"/>
          <w:szCs w:val="24"/>
        </w:rPr>
        <w:t>tempestividade</w:t>
      </w:r>
      <w:proofErr w:type="gramEnd"/>
      <w:r w:rsidRPr="000258EA">
        <w:rPr>
          <w:rFonts w:ascii="Arial" w:hAnsi="Arial" w:cs="Arial"/>
          <w:sz w:val="24"/>
          <w:szCs w:val="24"/>
        </w:rPr>
        <w:t>;</w:t>
      </w:r>
    </w:p>
    <w:p w14:paraId="31F246A2" w14:textId="77777777" w:rsidR="003546F5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258EA">
        <w:rPr>
          <w:rFonts w:ascii="Arial" w:hAnsi="Arial" w:cs="Arial"/>
          <w:sz w:val="24"/>
          <w:szCs w:val="24"/>
        </w:rPr>
        <w:t>XI - transparência.</w:t>
      </w:r>
    </w:p>
    <w:p w14:paraId="31F246A3" w14:textId="77777777" w:rsidR="003546F5" w:rsidRPr="00E17FE3" w:rsidRDefault="003546F5" w:rsidP="003546F5">
      <w:pPr>
        <w:keepNext/>
        <w:spacing w:before="240" w:after="120" w:line="252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bookmarkStart w:id="4" w:name="_Toc10714172"/>
      <w:r w:rsidRPr="00E17FE3">
        <w:rPr>
          <w:rFonts w:ascii="Arial" w:hAnsi="Arial" w:cs="Arial"/>
          <w:b/>
          <w:bCs/>
          <w:kern w:val="32"/>
          <w:sz w:val="24"/>
          <w:szCs w:val="24"/>
        </w:rPr>
        <w:t>CAPÍTULO II</w:t>
      </w:r>
      <w:r w:rsidRPr="00E17FE3">
        <w:rPr>
          <w:rFonts w:ascii="Arial" w:hAnsi="Arial" w:cs="Arial"/>
          <w:b/>
          <w:bCs/>
          <w:kern w:val="32"/>
          <w:sz w:val="24"/>
          <w:szCs w:val="24"/>
        </w:rPr>
        <w:br/>
        <w:t>DOS CONCEITOS</w:t>
      </w:r>
      <w:bookmarkEnd w:id="4"/>
    </w:p>
    <w:p w14:paraId="31F246A4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7º</w:t>
      </w:r>
      <w:r w:rsidRPr="000258EA">
        <w:rPr>
          <w:rFonts w:ascii="Arial" w:hAnsi="Arial" w:cs="Arial"/>
          <w:sz w:val="24"/>
          <w:szCs w:val="24"/>
        </w:rPr>
        <w:t xml:space="preserve"> Para os efeitos desta Resolução, entende-se por:</w:t>
      </w:r>
    </w:p>
    <w:p w14:paraId="31F246A5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 - “</w:t>
      </w:r>
      <w:proofErr w:type="spellStart"/>
      <w:r w:rsidRPr="000258EA">
        <w:rPr>
          <w:rFonts w:ascii="Arial" w:hAnsi="Arial" w:cs="Arial"/>
          <w:i/>
          <w:sz w:val="24"/>
          <w:szCs w:val="24"/>
        </w:rPr>
        <w:t>Accountability</w:t>
      </w:r>
      <w:proofErr w:type="spellEnd"/>
      <w:r w:rsidRPr="000258EA">
        <w:rPr>
          <w:rFonts w:ascii="Arial" w:hAnsi="Arial" w:cs="Arial"/>
          <w:sz w:val="24"/>
          <w:szCs w:val="24"/>
        </w:rPr>
        <w:t>”: conjunto de procedimentos adotados por organizações e pelos indivíduos que as integram, os quais evidenciam sua obrigação de prestar contas acerca dos resultados alcançados, das ações implementadas e da salvaguarda de recursos;</w:t>
      </w:r>
    </w:p>
    <w:p w14:paraId="31F246A6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 - “Agregar valor”: ampliar a qualidade dos serviços no que se refere às suas características essenciais mais relevantes para a sociedade;</w:t>
      </w:r>
    </w:p>
    <w:p w14:paraId="31F246A7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III - “Causa de risco”: razão que pode promover a ocorrência do risco;</w:t>
      </w:r>
    </w:p>
    <w:p w14:paraId="31F246A8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lastRenderedPageBreak/>
        <w:t>IV - “Consequência”: efeitos da ocorrência de um evento de risco sobre objetos distintos do objetivo e/ou resultado em análise;</w:t>
      </w:r>
    </w:p>
    <w:p w14:paraId="31F246A9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 - “Controles internos da gestão”: conjunto de regras, procedimentos, diretrizes e protocolos praticados de maneira integrada pelos gestores e servidores, destinados a enfrentar riscos e propiciar segurança operacional, visando o alcance da missão institucional;</w:t>
      </w:r>
    </w:p>
    <w:p w14:paraId="31F246AA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 - “Evento”: episódio proveniente de fontes internas ou externas com potencial para causar impacto negativo, positivo ou ambos, sobre os resultados e/ou objetivos;</w:t>
      </w:r>
    </w:p>
    <w:p w14:paraId="31F246AB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VII - “Fonte de risco": elemento que, individualmente ou combinado, tem potencial para dar origem a um risco específico, podendo ou não estar sob controle do TCE/PR;</w:t>
      </w:r>
    </w:p>
    <w:p w14:paraId="31F246AC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VIII - “Gestor de risco”: responsável por qualquer processo de trabalho, atividade, projeto, unidade, iniciativa ou ação de plano institucional do TCE/PR;</w:t>
      </w:r>
    </w:p>
    <w:p w14:paraId="31F246AD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IX - “Governança no Setor Público”: capacidade de formular e implantar políticas públicas efetivas, viabilizada por meio de estruturas e processos, utilizando ferramentas gerenciais, estratégia e controle, postas em prática para avaliar, direcionar e monitorar a gestão com vistas à prestação de serviços de interesse da sociedade;</w:t>
      </w:r>
    </w:p>
    <w:p w14:paraId="31F246AE" w14:textId="77777777" w:rsidR="003546F5" w:rsidRPr="000258EA" w:rsidRDefault="003546F5" w:rsidP="000258EA">
      <w:pPr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  <w:r w:rsidRPr="000258EA">
        <w:rPr>
          <w:rFonts w:ascii="Arial" w:hAnsi="Arial" w:cs="Arial"/>
          <w:sz w:val="24"/>
          <w:szCs w:val="24"/>
        </w:rPr>
        <w:t>X - “Impacto”: efeito resultante da ocorrência do evento de risco sobre os resultados e/ou objetivos analisados;</w:t>
      </w:r>
    </w:p>
    <w:p w14:paraId="31F246AF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XI - “Incerteza”: é o estado, mesmo que parcial, da deficiência das informações relacionadas a um evento, sua compreensão, seu conhecimento, sua consequência ou sua probabilidade de ocorrência no atingimento de objetivos e/ou resultados;</w:t>
      </w:r>
    </w:p>
    <w:p w14:paraId="31F246B0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XII - “Mapa de riscos”: representação formal na qual são registrados os riscos identificados, considerando as probabilidades e os impactos, de forma a permitir a definição das ações necessárias ao seu gerenciamento;</w:t>
      </w:r>
    </w:p>
    <w:p w14:paraId="31F246B1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XIII - “Nível de risco”: expressão combinada do impacto do risco e sua possibilidade de ocorrência;</w:t>
      </w:r>
    </w:p>
    <w:p w14:paraId="31F246B2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XIV - “Objetivos”: finalidade para qual o negócio, processo ou projeto fora criado, sendo uma declaração do que se pretende alcançar;</w:t>
      </w:r>
    </w:p>
    <w:p w14:paraId="31F246B3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XV - “Oportunidade”: possibilidade de que um evento afete positivamente o alcance de objetivos;</w:t>
      </w:r>
    </w:p>
    <w:p w14:paraId="31F246B4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XVI - “Parâmetros de medição de riscos”: informações quantitativas ou qualitativas, obtidas direta ou indiretamente, que permitam avaliar as dimensões dos riscos identificados a partir da probabilidade de sua ocorrência e das consequências possíveis;</w:t>
      </w:r>
    </w:p>
    <w:p w14:paraId="31F246B5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XVII - “Parte interessada”: pessoa ou organização que pode afetar, ser afetada, ou perceber-se afetada por uma decisão ou atividade;</w:t>
      </w:r>
    </w:p>
    <w:p w14:paraId="31F246B6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XVIII - “Probabilidade”: chance de o evento acontecer, estabelecida a partir de uma escala predefinida de perspectivas;</w:t>
      </w:r>
    </w:p>
    <w:p w14:paraId="31F246B7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lastRenderedPageBreak/>
        <w:t>XIX - “Processo de Gerenciamento de riscos”: processo operacional que consiste no desenvolvimento de um conjunto de ações destinadas a identificar, analisar, avaliar, tratar e monitorar eventos de riscos, comunicando em todas as etapas as partes interessadas;</w:t>
      </w:r>
    </w:p>
    <w:p w14:paraId="31F246B8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XX - “Processo de Gestão de Riscos”: conjunto de atividades de âmbito tático ou estratégico destinadas a estabelecer e revisar periodicamente o sistema de gestão de riscos, a fim de fazer eventuais adequações;</w:t>
      </w:r>
    </w:p>
    <w:p w14:paraId="31F246B9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XXI - “Resposta a risco”: qualquer ação adotada para lidar com risco, podendo consistir em:</w:t>
      </w:r>
    </w:p>
    <w:p w14:paraId="31F246BA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i/>
          <w:sz w:val="24"/>
          <w:szCs w:val="24"/>
        </w:rPr>
        <w:t>a)</w:t>
      </w:r>
      <w:r w:rsidRPr="000258EA">
        <w:rPr>
          <w:rFonts w:ascii="Arial" w:hAnsi="Arial" w:cs="Arial"/>
          <w:sz w:val="24"/>
          <w:szCs w:val="24"/>
        </w:rPr>
        <w:t xml:space="preserve"> aceitar o risco por uma escolha consciente;</w:t>
      </w:r>
    </w:p>
    <w:p w14:paraId="31F246BB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i/>
          <w:sz w:val="24"/>
          <w:szCs w:val="24"/>
        </w:rPr>
        <w:t>b)</w:t>
      </w:r>
      <w:r w:rsidRPr="000258EA">
        <w:rPr>
          <w:rFonts w:ascii="Arial" w:hAnsi="Arial" w:cs="Arial"/>
          <w:sz w:val="24"/>
          <w:szCs w:val="24"/>
        </w:rPr>
        <w:t xml:space="preserve"> transferir ou compartilhar o risco a outra parte;</w:t>
      </w:r>
    </w:p>
    <w:p w14:paraId="31F246BC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i/>
          <w:sz w:val="24"/>
          <w:szCs w:val="24"/>
        </w:rPr>
        <w:t>c)</w:t>
      </w:r>
      <w:r w:rsidRPr="000258EA">
        <w:rPr>
          <w:rFonts w:ascii="Arial" w:hAnsi="Arial" w:cs="Arial"/>
          <w:sz w:val="24"/>
          <w:szCs w:val="24"/>
        </w:rPr>
        <w:t xml:space="preserve"> evitar o risco pela decisão de não iniciar ou descontinuar a atividade que dá origem ao risco; ou</w:t>
      </w:r>
    </w:p>
    <w:p w14:paraId="31F246BD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i/>
          <w:sz w:val="24"/>
          <w:szCs w:val="24"/>
        </w:rPr>
        <w:t>d)</w:t>
      </w:r>
      <w:r w:rsidRPr="000258EA">
        <w:rPr>
          <w:rFonts w:ascii="Arial" w:hAnsi="Arial" w:cs="Arial"/>
          <w:sz w:val="24"/>
          <w:szCs w:val="24"/>
        </w:rPr>
        <w:t xml:space="preserve"> mitigar/reduzir o nível de risco diminuindo sua probabilidade de ocorrência ou minimizando seus impactos e suas consequências.</w:t>
      </w:r>
    </w:p>
    <w:p w14:paraId="31F246BE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XXII - “Risco”: evento ou condição incerta que, se ocorrer, provocará um efeito negativo em um ou mais objetivos, processos de trabalho ou projetos institucionais;</w:t>
      </w:r>
    </w:p>
    <w:p w14:paraId="31F246BF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XXIII - “Risco-chave”: risco que, em função de seu impacto potencial, deve ser conhecido pela alta cúpula do Tribunal e necessariamente tratado;</w:t>
      </w:r>
    </w:p>
    <w:p w14:paraId="31F246C0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XXIV - “Risco inerente”: é aquele ao qual a organização está exposta quando não são estabelecidas nem adotadas medidas para alterar a probabilidade ou o impacto dos eventos;</w:t>
      </w:r>
    </w:p>
    <w:p w14:paraId="31F246C1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XXV - “Risco residual”: risco remanescente após o tratamento;</w:t>
      </w:r>
    </w:p>
    <w:p w14:paraId="31F246C2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XXVI - “Tolerância ao risco”: disposição do TCE/PR em suportar determinado nível de risco;</w:t>
      </w:r>
    </w:p>
    <w:p w14:paraId="31F246C3" w14:textId="77777777" w:rsidR="003546F5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258EA">
        <w:rPr>
          <w:rFonts w:ascii="Arial" w:hAnsi="Arial" w:cs="Arial"/>
          <w:sz w:val="24"/>
          <w:szCs w:val="24"/>
        </w:rPr>
        <w:t>XXVII - “Vulnerabilidade”: suscetibilidade a uma fonte de risco.</w:t>
      </w:r>
    </w:p>
    <w:p w14:paraId="31F246C4" w14:textId="77777777" w:rsidR="003546F5" w:rsidRPr="00E17FE3" w:rsidRDefault="003546F5" w:rsidP="003546F5">
      <w:pPr>
        <w:keepNext/>
        <w:spacing w:before="240" w:after="120" w:line="252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bookmarkStart w:id="5" w:name="_Toc10714173"/>
      <w:r w:rsidRPr="00E17FE3">
        <w:rPr>
          <w:rFonts w:ascii="Arial" w:hAnsi="Arial" w:cs="Arial"/>
          <w:b/>
          <w:bCs/>
          <w:kern w:val="32"/>
          <w:sz w:val="24"/>
          <w:szCs w:val="24"/>
        </w:rPr>
        <w:t>CAPÍTULO III</w:t>
      </w:r>
      <w:r w:rsidRPr="00E17FE3">
        <w:rPr>
          <w:rFonts w:ascii="Arial" w:hAnsi="Arial" w:cs="Arial"/>
          <w:b/>
          <w:bCs/>
          <w:kern w:val="32"/>
          <w:sz w:val="24"/>
          <w:szCs w:val="24"/>
        </w:rPr>
        <w:br/>
        <w:t>DAS INSTÂNCIAS RESPONSÁVEIS PELO SISTEMA DE GESTÃO DE RISCOS</w:t>
      </w:r>
      <w:bookmarkEnd w:id="5"/>
    </w:p>
    <w:p w14:paraId="31F246C5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6" w:name="_Hlk6823378"/>
      <w:r w:rsidRPr="00E17FE3">
        <w:rPr>
          <w:rFonts w:ascii="Arial" w:hAnsi="Arial" w:cs="Arial"/>
          <w:b/>
          <w:sz w:val="24"/>
          <w:szCs w:val="24"/>
        </w:rPr>
        <w:t>Art. 8º</w:t>
      </w:r>
      <w:r w:rsidRPr="00E17FE3">
        <w:rPr>
          <w:rFonts w:ascii="Arial" w:hAnsi="Arial" w:cs="Arial"/>
          <w:sz w:val="24"/>
          <w:szCs w:val="24"/>
        </w:rPr>
        <w:t xml:space="preserve"> São instâncias responsáveis pelo Sistema de Gestão de Riscos do Tribunal de Contas do Estado do Paraná:</w:t>
      </w:r>
    </w:p>
    <w:p w14:paraId="31F246C6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I - Tribunal Pleno;</w:t>
      </w:r>
    </w:p>
    <w:p w14:paraId="31F246C7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II - Presidência;</w:t>
      </w:r>
    </w:p>
    <w:p w14:paraId="31F246C8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III - Comissão de Gestão de Riscos;</w:t>
      </w:r>
    </w:p>
    <w:p w14:paraId="31F246C9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 xml:space="preserve">IV - </w:t>
      </w:r>
      <w:bookmarkStart w:id="7" w:name="_Hlk6825510"/>
      <w:r w:rsidRPr="00E17FE3">
        <w:rPr>
          <w:rFonts w:ascii="Arial" w:hAnsi="Arial" w:cs="Arial"/>
          <w:sz w:val="24"/>
          <w:szCs w:val="24"/>
        </w:rPr>
        <w:t>Núcleo de Gestão de Riscos</w:t>
      </w:r>
      <w:bookmarkEnd w:id="7"/>
      <w:r w:rsidRPr="00E17FE3">
        <w:rPr>
          <w:rFonts w:ascii="Arial" w:hAnsi="Arial" w:cs="Arial"/>
          <w:sz w:val="24"/>
          <w:szCs w:val="24"/>
        </w:rPr>
        <w:t>;</w:t>
      </w:r>
    </w:p>
    <w:p w14:paraId="31F246CA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V - Gestores de risco; e</w:t>
      </w:r>
    </w:p>
    <w:p w14:paraId="31F246CB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VI - Controladoria Interna.</w:t>
      </w:r>
    </w:p>
    <w:p w14:paraId="31F246CC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8" w:name="_Hlk6823906"/>
      <w:bookmarkEnd w:id="6"/>
      <w:r w:rsidRPr="00E17FE3">
        <w:rPr>
          <w:rFonts w:ascii="Arial" w:hAnsi="Arial" w:cs="Arial"/>
          <w:sz w:val="24"/>
          <w:szCs w:val="24"/>
        </w:rPr>
        <w:t xml:space="preserve">§ 1º O Tribunal Pleno, nos termos dos </w:t>
      </w:r>
      <w:proofErr w:type="spellStart"/>
      <w:r w:rsidRPr="00E17FE3">
        <w:rPr>
          <w:rFonts w:ascii="Arial" w:hAnsi="Arial" w:cs="Arial"/>
          <w:sz w:val="24"/>
          <w:szCs w:val="24"/>
        </w:rPr>
        <w:t>arts</w:t>
      </w:r>
      <w:proofErr w:type="spellEnd"/>
      <w:r w:rsidRPr="00E17FE3">
        <w:rPr>
          <w:rFonts w:ascii="Arial" w:hAnsi="Arial" w:cs="Arial"/>
          <w:sz w:val="24"/>
          <w:szCs w:val="24"/>
        </w:rPr>
        <w:t>. 3º e 5º, XXXVIII, do Regimento Interno, é a instância máxima de deliberação do SGR.</w:t>
      </w:r>
    </w:p>
    <w:p w14:paraId="31F246CD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lastRenderedPageBreak/>
        <w:t>§ 2º Compete à Presidência do TCE/PR definir os limites de exposição a riscos de abrangência institucional, aprovar planos de resposta preventivos e/ou contingenciais a riscos-chave, dar ciência dos resultados do SGR ao Tribunal Pleno e determinar, sempre que necessário, ações corretivas visando à melhoria contínua do sistema.</w:t>
      </w:r>
    </w:p>
    <w:p w14:paraId="31F246CE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§ 3º Compete à Comissão de Gestão de Riscos, assessorada pelo Núcleo de Gestão de Riscos, apreciar propostas de mudança no SGR, propor eventuais ações corretivas e acompanhar os resultados do Núcleo de Gestão de Riscos.</w:t>
      </w:r>
    </w:p>
    <w:bookmarkEnd w:id="8"/>
    <w:p w14:paraId="4528B8A0" w14:textId="6D8E58B2" w:rsidR="002765BC" w:rsidRPr="003A2964" w:rsidRDefault="002765BC" w:rsidP="002765BC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193D79">
        <w:rPr>
          <w:rFonts w:cs="Arial"/>
          <w:bCs w:val="0"/>
          <w:sz w:val="24"/>
        </w:rPr>
        <w:t xml:space="preserve">§ 4º </w:t>
      </w:r>
      <w:r w:rsidR="003A2964" w:rsidRPr="00814DFC">
        <w:rPr>
          <w:rFonts w:cs="Arial"/>
          <w:sz w:val="24"/>
        </w:rPr>
        <w:t>O Núcleo de Gestão de Riscos do Tribunal, subordinado à Secretaria de Governança, Planejamento e Gestão Estratégica, desempenha o papel de unidade central de coordenação, supervisão e suporte do Processo e Gerenciamento de Riscos, cabendo-lhe:</w:t>
      </w:r>
      <w:r w:rsidR="003A2964">
        <w:rPr>
          <w:rFonts w:cs="Arial"/>
          <w:sz w:val="24"/>
        </w:rPr>
        <w:t xml:space="preserve"> </w:t>
      </w:r>
      <w:hyperlink r:id="rId9" w:history="1">
        <w:r w:rsidR="003A2964" w:rsidRPr="003A2964">
          <w:rPr>
            <w:rStyle w:val="Hyperlink"/>
            <w:rFonts w:cs="Arial"/>
            <w:sz w:val="24"/>
            <w:u w:val="none"/>
          </w:rPr>
          <w:t>(Redação dada pela Resolução n° 125/2025)</w:t>
        </w:r>
      </w:hyperlink>
    </w:p>
    <w:p w14:paraId="463F9E7A" w14:textId="77777777" w:rsidR="002765BC" w:rsidRPr="00193D79" w:rsidRDefault="002765BC" w:rsidP="002765BC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193D79">
        <w:rPr>
          <w:rFonts w:cs="Arial"/>
          <w:sz w:val="24"/>
        </w:rPr>
        <w:t>I - avaliar e propor mudanças no Sistema de Gestão de Riscos do Tribunal;</w:t>
      </w:r>
      <w:r>
        <w:rPr>
          <w:rFonts w:cs="Arial"/>
          <w:sz w:val="24"/>
        </w:rPr>
        <w:t xml:space="preserve"> </w:t>
      </w:r>
      <w:r w:rsidRPr="00D471A7">
        <w:rPr>
          <w:rFonts w:cs="Arial"/>
          <w:color w:val="0000FF"/>
          <w:sz w:val="24"/>
        </w:rPr>
        <w:t>(</w:t>
      </w:r>
      <w:r>
        <w:rPr>
          <w:rFonts w:cs="Arial"/>
          <w:color w:val="0000FF"/>
          <w:sz w:val="24"/>
        </w:rPr>
        <w:t>Incluído</w:t>
      </w:r>
      <w:r w:rsidRPr="00D471A7">
        <w:rPr>
          <w:rFonts w:cs="Arial"/>
          <w:color w:val="0000FF"/>
          <w:sz w:val="24"/>
        </w:rPr>
        <w:t xml:space="preserve"> pela </w:t>
      </w:r>
      <w:hyperlink r:id="rId10" w:history="1">
        <w:r w:rsidRPr="00C02201">
          <w:rPr>
            <w:rStyle w:val="Hyperlink"/>
            <w:rFonts w:cs="Arial"/>
            <w:sz w:val="24"/>
            <w:u w:val="none"/>
          </w:rPr>
          <w:t>Resolução n. 84/2021</w:t>
        </w:r>
      </w:hyperlink>
      <w:r w:rsidRPr="00C02201">
        <w:rPr>
          <w:rFonts w:cs="Arial"/>
          <w:color w:val="0000FF"/>
          <w:sz w:val="24"/>
        </w:rPr>
        <w:t>)</w:t>
      </w:r>
    </w:p>
    <w:p w14:paraId="11AF8BAF" w14:textId="77777777" w:rsidR="002765BC" w:rsidRPr="00C02201" w:rsidRDefault="002765BC" w:rsidP="002765BC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193D79">
        <w:rPr>
          <w:rFonts w:cs="Arial"/>
          <w:sz w:val="24"/>
        </w:rPr>
        <w:t xml:space="preserve">II - </w:t>
      </w:r>
      <w:proofErr w:type="gramStart"/>
      <w:r w:rsidRPr="00193D79">
        <w:rPr>
          <w:rFonts w:cs="Arial"/>
          <w:sz w:val="24"/>
        </w:rPr>
        <w:t>monitorar</w:t>
      </w:r>
      <w:proofErr w:type="gramEnd"/>
      <w:r w:rsidRPr="00193D79">
        <w:rPr>
          <w:rFonts w:cs="Arial"/>
          <w:sz w:val="24"/>
        </w:rPr>
        <w:t xml:space="preserve"> riscos-chaves e oportunidades;</w:t>
      </w:r>
      <w:r>
        <w:rPr>
          <w:rFonts w:cs="Arial"/>
          <w:sz w:val="24"/>
        </w:rPr>
        <w:t xml:space="preserve"> </w:t>
      </w:r>
      <w:r w:rsidRPr="00D471A7">
        <w:rPr>
          <w:rFonts w:cs="Arial"/>
          <w:color w:val="0000FF"/>
          <w:sz w:val="24"/>
        </w:rPr>
        <w:t>(</w:t>
      </w:r>
      <w:r>
        <w:rPr>
          <w:rFonts w:cs="Arial"/>
          <w:color w:val="0000FF"/>
          <w:sz w:val="24"/>
        </w:rPr>
        <w:t>Incluído</w:t>
      </w:r>
      <w:r w:rsidRPr="00D471A7">
        <w:rPr>
          <w:rFonts w:cs="Arial"/>
          <w:color w:val="0000FF"/>
          <w:sz w:val="24"/>
        </w:rPr>
        <w:t xml:space="preserve"> pela </w:t>
      </w:r>
      <w:hyperlink r:id="rId11" w:history="1">
        <w:r w:rsidRPr="00C02201">
          <w:rPr>
            <w:rStyle w:val="Hyperlink"/>
            <w:rFonts w:cs="Arial"/>
            <w:sz w:val="24"/>
            <w:u w:val="none"/>
          </w:rPr>
          <w:t>Resolução n. 84/2021</w:t>
        </w:r>
      </w:hyperlink>
      <w:r w:rsidRPr="00C02201">
        <w:rPr>
          <w:rFonts w:cs="Arial"/>
          <w:color w:val="0000FF"/>
          <w:sz w:val="24"/>
        </w:rPr>
        <w:t>)</w:t>
      </w:r>
    </w:p>
    <w:p w14:paraId="168E787E" w14:textId="77777777" w:rsidR="002765BC" w:rsidRPr="00193D79" w:rsidRDefault="002765BC" w:rsidP="002765BC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193D79">
        <w:rPr>
          <w:rFonts w:cs="Arial"/>
          <w:sz w:val="24"/>
        </w:rPr>
        <w:t>III - propor limites de exposição a riscos de abrangência institucional;</w:t>
      </w:r>
      <w:r>
        <w:rPr>
          <w:rFonts w:cs="Arial"/>
          <w:sz w:val="24"/>
        </w:rPr>
        <w:t xml:space="preserve"> </w:t>
      </w:r>
      <w:r w:rsidRPr="00D471A7">
        <w:rPr>
          <w:rFonts w:cs="Arial"/>
          <w:color w:val="0000FF"/>
          <w:sz w:val="24"/>
        </w:rPr>
        <w:t>(</w:t>
      </w:r>
      <w:r>
        <w:rPr>
          <w:rFonts w:cs="Arial"/>
          <w:color w:val="0000FF"/>
          <w:sz w:val="24"/>
        </w:rPr>
        <w:t>Incluído</w:t>
      </w:r>
      <w:r w:rsidRPr="00D471A7">
        <w:rPr>
          <w:rFonts w:cs="Arial"/>
          <w:color w:val="0000FF"/>
          <w:sz w:val="24"/>
        </w:rPr>
        <w:t xml:space="preserve"> pela </w:t>
      </w:r>
      <w:hyperlink r:id="rId12" w:history="1">
        <w:r w:rsidRPr="00C02201">
          <w:rPr>
            <w:rStyle w:val="Hyperlink"/>
            <w:rFonts w:cs="Arial"/>
            <w:sz w:val="24"/>
            <w:u w:val="none"/>
          </w:rPr>
          <w:t>Resolução n. 84/2021</w:t>
        </w:r>
      </w:hyperlink>
      <w:r w:rsidRPr="00C02201">
        <w:rPr>
          <w:rFonts w:cs="Arial"/>
          <w:color w:val="0000FF"/>
          <w:sz w:val="24"/>
        </w:rPr>
        <w:t>)</w:t>
      </w:r>
    </w:p>
    <w:p w14:paraId="72B12AEC" w14:textId="77777777" w:rsidR="002765BC" w:rsidRPr="00193D79" w:rsidRDefault="002765BC" w:rsidP="002765BC">
      <w:pPr>
        <w:pStyle w:val="ArtigosOrdinais"/>
        <w:tabs>
          <w:tab w:val="left" w:pos="708"/>
        </w:tabs>
        <w:ind w:firstLine="1134"/>
        <w:rPr>
          <w:rFonts w:cs="Arial"/>
          <w:sz w:val="24"/>
        </w:rPr>
      </w:pPr>
      <w:r w:rsidRPr="00193D79">
        <w:rPr>
          <w:rFonts w:cs="Arial"/>
          <w:sz w:val="24"/>
        </w:rPr>
        <w:t>IV - apreciar planos de resposta preventivos e/ou contingenciais elaborados pelos gestores de risco; e</w:t>
      </w:r>
      <w:r>
        <w:rPr>
          <w:rFonts w:cs="Arial"/>
          <w:sz w:val="24"/>
        </w:rPr>
        <w:t xml:space="preserve"> </w:t>
      </w:r>
      <w:r w:rsidRPr="00D471A7">
        <w:rPr>
          <w:rFonts w:cs="Arial"/>
          <w:color w:val="0000FF"/>
          <w:sz w:val="24"/>
        </w:rPr>
        <w:t>(</w:t>
      </w:r>
      <w:r>
        <w:rPr>
          <w:rFonts w:cs="Arial"/>
          <w:color w:val="0000FF"/>
          <w:sz w:val="24"/>
        </w:rPr>
        <w:t>Incluído</w:t>
      </w:r>
      <w:r w:rsidRPr="00D471A7">
        <w:rPr>
          <w:rFonts w:cs="Arial"/>
          <w:color w:val="0000FF"/>
          <w:sz w:val="24"/>
        </w:rPr>
        <w:t xml:space="preserve"> pela </w:t>
      </w:r>
      <w:hyperlink r:id="rId13" w:history="1">
        <w:r w:rsidRPr="00C02201">
          <w:rPr>
            <w:rStyle w:val="Hyperlink"/>
            <w:rFonts w:cs="Arial"/>
            <w:sz w:val="24"/>
            <w:u w:val="none"/>
          </w:rPr>
          <w:t>Resolução n. 84/2021</w:t>
        </w:r>
      </w:hyperlink>
      <w:r w:rsidRPr="00C02201">
        <w:rPr>
          <w:rFonts w:cs="Arial"/>
          <w:color w:val="0000FF"/>
          <w:sz w:val="24"/>
        </w:rPr>
        <w:t>)</w:t>
      </w:r>
    </w:p>
    <w:p w14:paraId="11C8A5EF" w14:textId="18861B53" w:rsidR="002765BC" w:rsidRPr="00193D79" w:rsidRDefault="002765BC" w:rsidP="002765BC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93D79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193D79">
        <w:rPr>
          <w:rFonts w:ascii="Arial" w:hAnsi="Arial" w:cs="Arial"/>
          <w:sz w:val="24"/>
          <w:szCs w:val="24"/>
        </w:rPr>
        <w:t>assessorar</w:t>
      </w:r>
      <w:proofErr w:type="gramEnd"/>
      <w:r w:rsidRPr="00193D79">
        <w:rPr>
          <w:rFonts w:ascii="Arial" w:hAnsi="Arial" w:cs="Arial"/>
          <w:sz w:val="24"/>
          <w:szCs w:val="24"/>
        </w:rPr>
        <w:t xml:space="preserve"> a Presidência e a Comissão de Riscos do Tribunal.</w:t>
      </w:r>
      <w:r>
        <w:rPr>
          <w:rFonts w:ascii="Arial" w:hAnsi="Arial" w:cs="Arial"/>
          <w:sz w:val="24"/>
          <w:szCs w:val="24"/>
        </w:rPr>
        <w:t xml:space="preserve"> </w:t>
      </w:r>
      <w:r w:rsidRPr="0000205E">
        <w:rPr>
          <w:rFonts w:ascii="Arial" w:hAnsi="Arial" w:cs="Arial"/>
          <w:color w:val="0000FF"/>
          <w:sz w:val="24"/>
          <w:szCs w:val="24"/>
        </w:rPr>
        <w:t>(</w:t>
      </w:r>
      <w:r w:rsidRPr="0000205E">
        <w:rPr>
          <w:rFonts w:ascii="Arial" w:hAnsi="Arial" w:cs="Arial"/>
          <w:color w:val="0000FF"/>
          <w:sz w:val="24"/>
        </w:rPr>
        <w:t>Incluído</w:t>
      </w:r>
      <w:r w:rsidRPr="0000205E">
        <w:rPr>
          <w:rFonts w:ascii="Arial" w:hAnsi="Arial" w:cs="Arial"/>
          <w:color w:val="0000FF"/>
          <w:sz w:val="24"/>
          <w:szCs w:val="24"/>
        </w:rPr>
        <w:t xml:space="preserve"> </w:t>
      </w:r>
      <w:r w:rsidRPr="00D471A7">
        <w:rPr>
          <w:rFonts w:ascii="Arial" w:hAnsi="Arial" w:cs="Arial"/>
          <w:color w:val="0000FF"/>
          <w:sz w:val="24"/>
          <w:szCs w:val="24"/>
        </w:rPr>
        <w:t xml:space="preserve">pela </w:t>
      </w:r>
      <w:hyperlink r:id="rId14" w:history="1">
        <w:r w:rsidRPr="00C02201">
          <w:rPr>
            <w:rStyle w:val="Hyperlink"/>
            <w:rFonts w:ascii="Arial" w:hAnsi="Arial" w:cs="Arial"/>
            <w:sz w:val="24"/>
            <w:szCs w:val="24"/>
            <w:u w:val="none"/>
          </w:rPr>
          <w:t>Resolução n. 84/2021</w:t>
        </w:r>
      </w:hyperlink>
      <w:r w:rsidRPr="00C02201">
        <w:rPr>
          <w:rFonts w:ascii="Arial" w:hAnsi="Arial" w:cs="Arial"/>
          <w:color w:val="0000FF"/>
          <w:sz w:val="24"/>
          <w:szCs w:val="24"/>
        </w:rPr>
        <w:t>)</w:t>
      </w:r>
    </w:p>
    <w:p w14:paraId="31F246D0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§ 5º Compete aos gestores de risco executar as atividades do Processo de Gerenciamento de Riscos para os objetos sob sua responsabilidade, propor alterações no SGR relacionados à sua área de atuação e prover informações ao Núcleo de Gestão de Riscos.</w:t>
      </w:r>
    </w:p>
    <w:p w14:paraId="31F246D1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>§ 6º Compete à Controladoria Interna do TCE/PR, nos termos do art.</w:t>
      </w:r>
      <w:r w:rsidR="006907DC" w:rsidRPr="00E17FE3">
        <w:rPr>
          <w:rFonts w:ascii="Arial" w:hAnsi="Arial" w:cs="Arial"/>
          <w:sz w:val="24"/>
          <w:szCs w:val="24"/>
        </w:rPr>
        <w:t xml:space="preserve"> </w:t>
      </w:r>
      <w:r w:rsidRPr="00E17FE3">
        <w:rPr>
          <w:rFonts w:ascii="Arial" w:hAnsi="Arial" w:cs="Arial"/>
          <w:sz w:val="24"/>
          <w:szCs w:val="24"/>
        </w:rPr>
        <w:t>175-B do Regimento Interno, avaliar o Sistema de Gestão de Riscos quanto à adequação e suficiência dos mecanismos e controles estabelecidos, eficácia da gestão de oportunidades, riscos-chave, e conformidade das atividades executadas à política de Gestão de Riscos, assim como realizar a auditoria interna no Sistema de Gestão de Riscos.</w:t>
      </w:r>
    </w:p>
    <w:p w14:paraId="31F246D2" w14:textId="77777777" w:rsidR="003546F5" w:rsidRPr="00E17FE3" w:rsidRDefault="003546F5" w:rsidP="003546F5">
      <w:pPr>
        <w:keepNext/>
        <w:spacing w:before="240" w:after="120" w:line="252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bookmarkStart w:id="9" w:name="_Toc10714174"/>
      <w:r w:rsidRPr="00E17FE3">
        <w:rPr>
          <w:rFonts w:ascii="Arial" w:hAnsi="Arial" w:cs="Arial"/>
          <w:b/>
          <w:bCs/>
          <w:kern w:val="32"/>
          <w:sz w:val="24"/>
          <w:szCs w:val="24"/>
        </w:rPr>
        <w:t>CAPÍTULO IV</w:t>
      </w:r>
      <w:r w:rsidRPr="00E17FE3">
        <w:rPr>
          <w:rFonts w:ascii="Arial" w:hAnsi="Arial" w:cs="Arial"/>
          <w:b/>
          <w:bCs/>
          <w:kern w:val="32"/>
          <w:sz w:val="24"/>
          <w:szCs w:val="24"/>
        </w:rPr>
        <w:br/>
        <w:t>DO PROCESSO DE GERENCIAMENTO DE RISCOS E OPORTUNIDADES</w:t>
      </w:r>
      <w:bookmarkEnd w:id="9"/>
    </w:p>
    <w:p w14:paraId="31F246D3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9º</w:t>
      </w:r>
      <w:r w:rsidRPr="000258EA">
        <w:rPr>
          <w:rFonts w:ascii="Arial" w:hAnsi="Arial" w:cs="Arial"/>
          <w:sz w:val="24"/>
          <w:szCs w:val="24"/>
        </w:rPr>
        <w:t xml:space="preserve"> O processo de Gerenciamento de Riscos e Oportunidades contempla o estabelecimento do contexto, a identificação, a análise, a avaliação, o tratamento, a comunicação e o monitoramento.</w:t>
      </w:r>
    </w:p>
    <w:p w14:paraId="31F246D4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1º O estabelecimento do contexto consiste em compreender o ambiente externo e interno no qual o objeto encontra-se inserido, levantando seus objetivos, resultados, partes interessadas, ambiente organizacional, sistemas, normativos, critérios e parâmetros a serem empregados.</w:t>
      </w:r>
    </w:p>
    <w:p w14:paraId="31F246D5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2º A identificação abrange o reconhecimento e descrição de riscos e oportunidades relacionadas a um objeto de gestão, possíveis fontes, eventos, causas e consequências.</w:t>
      </w:r>
    </w:p>
    <w:p w14:paraId="31F246D6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lastRenderedPageBreak/>
        <w:t>§ 3º A análise compreende a estimativa de probabilidade e impacto e seu nível de risco resultante.</w:t>
      </w:r>
    </w:p>
    <w:p w14:paraId="31F246D7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4º A avaliação enseja a comparação do nível do risco com critérios de tolerância preestabelecidos, a fim de determinar a estratégia de resposta.</w:t>
      </w:r>
    </w:p>
    <w:p w14:paraId="31F246D8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5º O tratamento contempla o planejamento e a realização de ações para modificar o nível do risco, incluindo planos preventivos e/ou contingenciais.</w:t>
      </w:r>
    </w:p>
    <w:p w14:paraId="31F246D9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6º O monitoramento compreende a reanálise e a reavaliação periódica dos riscos e oportunidades identificados e a eventual adequação dos planos de resposta.</w:t>
      </w:r>
    </w:p>
    <w:p w14:paraId="31F246DA" w14:textId="77777777" w:rsidR="003546F5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258EA">
        <w:rPr>
          <w:rFonts w:ascii="Arial" w:hAnsi="Arial" w:cs="Arial"/>
          <w:sz w:val="24"/>
          <w:szCs w:val="24"/>
        </w:rPr>
        <w:t>§ 7º A comunicação refere-se ao permanente reporte de informações relativas ao gerenciamento de riscos e oportunidades.</w:t>
      </w:r>
    </w:p>
    <w:p w14:paraId="31F246DB" w14:textId="77777777" w:rsidR="003546F5" w:rsidRPr="00E17FE3" w:rsidRDefault="003546F5" w:rsidP="003546F5">
      <w:pPr>
        <w:keepNext/>
        <w:spacing w:before="240" w:after="120" w:line="252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bookmarkStart w:id="10" w:name="_Toc10714175"/>
      <w:r w:rsidRPr="00E17FE3">
        <w:rPr>
          <w:rFonts w:ascii="Arial" w:hAnsi="Arial" w:cs="Arial"/>
          <w:b/>
          <w:bCs/>
          <w:kern w:val="32"/>
          <w:sz w:val="24"/>
          <w:szCs w:val="24"/>
        </w:rPr>
        <w:t>CAPÍTULO V</w:t>
      </w:r>
      <w:r w:rsidRPr="00E17FE3">
        <w:rPr>
          <w:rFonts w:ascii="Arial" w:hAnsi="Arial" w:cs="Arial"/>
          <w:b/>
          <w:bCs/>
          <w:kern w:val="32"/>
          <w:sz w:val="24"/>
          <w:szCs w:val="24"/>
        </w:rPr>
        <w:br/>
        <w:t>DA IMPLANTAÇÃO DO SISTEMA DE GESTÃO DE RISCOS</w:t>
      </w:r>
      <w:bookmarkEnd w:id="10"/>
    </w:p>
    <w:p w14:paraId="31F246DC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10</w:t>
      </w:r>
      <w:r w:rsidRPr="000258EA">
        <w:rPr>
          <w:rFonts w:ascii="Arial" w:hAnsi="Arial" w:cs="Arial"/>
          <w:sz w:val="24"/>
          <w:szCs w:val="24"/>
        </w:rPr>
        <w:t>. O Programa de Implantação do Sistema de Gestão de Riscos no Tribunal de Contas do Estado do Paraná – PROGERI, constituído por meio de Portaria da Presidência do TCE/PR, terá por escopo a implantação de sistema estruturado com vista à identificação, a avaliação e o gerenciamento de potenciais eventos que possam afetar o alcance dos objetivos institucionais do Tribunal.</w:t>
      </w:r>
    </w:p>
    <w:p w14:paraId="31F246DD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11" w:name="_Hlk6823475"/>
      <w:r w:rsidRPr="000258EA">
        <w:rPr>
          <w:rFonts w:ascii="Arial" w:hAnsi="Arial" w:cs="Arial"/>
          <w:sz w:val="24"/>
          <w:szCs w:val="24"/>
        </w:rPr>
        <w:t xml:space="preserve">§ 1º </w:t>
      </w:r>
      <w:bookmarkEnd w:id="11"/>
      <w:r w:rsidRPr="000258EA">
        <w:rPr>
          <w:rFonts w:ascii="Arial" w:hAnsi="Arial" w:cs="Arial"/>
          <w:sz w:val="24"/>
          <w:szCs w:val="24"/>
        </w:rPr>
        <w:t>O PROGERI terá como previsão inicial de duração o prazo de 18 (dezoito) meses, podendo este prazo ser modificado consoante as necessidades do TCE/PR.</w:t>
      </w:r>
    </w:p>
    <w:p w14:paraId="31F246DE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2º O Presidente poderá designar através de Portaria um servidor que exercerá a função de Consultor Técnico do PROGERI.</w:t>
      </w:r>
    </w:p>
    <w:p w14:paraId="31F246DF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b/>
          <w:sz w:val="24"/>
          <w:szCs w:val="24"/>
        </w:rPr>
        <w:t>Art. 11</w:t>
      </w:r>
      <w:r w:rsidRPr="000258EA">
        <w:rPr>
          <w:rFonts w:ascii="Arial" w:hAnsi="Arial" w:cs="Arial"/>
          <w:sz w:val="24"/>
          <w:szCs w:val="24"/>
        </w:rPr>
        <w:t>. São instâncias responsáveis pelo PROGERI:</w:t>
      </w:r>
    </w:p>
    <w:p w14:paraId="31F246E0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 - Tribunal Pleno;</w:t>
      </w:r>
    </w:p>
    <w:p w14:paraId="31F246E1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 - Presidência;</w:t>
      </w:r>
    </w:p>
    <w:p w14:paraId="31F246E2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III - Comissão de Gestão de Riscos;</w:t>
      </w:r>
    </w:p>
    <w:p w14:paraId="31F246E3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IV - Comitê Consultivo; e</w:t>
      </w:r>
    </w:p>
    <w:p w14:paraId="31F246E4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V - Grupo técnico de trabalho.</w:t>
      </w:r>
    </w:p>
    <w:p w14:paraId="31F246E5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12" w:name="_Hlk6833406"/>
      <w:r w:rsidRPr="000258EA">
        <w:rPr>
          <w:rFonts w:ascii="Arial" w:hAnsi="Arial" w:cs="Arial"/>
          <w:sz w:val="24"/>
          <w:szCs w:val="24"/>
        </w:rPr>
        <w:t xml:space="preserve">§ 1º O Tribunal Pleno do TCE, nos termos dos </w:t>
      </w:r>
      <w:proofErr w:type="spellStart"/>
      <w:r w:rsidRPr="000258EA">
        <w:rPr>
          <w:rFonts w:ascii="Arial" w:hAnsi="Arial" w:cs="Arial"/>
          <w:sz w:val="24"/>
          <w:szCs w:val="24"/>
        </w:rPr>
        <w:t>arts</w:t>
      </w:r>
      <w:proofErr w:type="spellEnd"/>
      <w:r w:rsidRPr="000258EA">
        <w:rPr>
          <w:rFonts w:ascii="Arial" w:hAnsi="Arial" w:cs="Arial"/>
          <w:sz w:val="24"/>
          <w:szCs w:val="24"/>
        </w:rPr>
        <w:t>. 3º e 5º, XXXVIII, do Regimento Interno, é a instância máxima de deliberação acerca dos resultados do Programa.</w:t>
      </w:r>
    </w:p>
    <w:bookmarkEnd w:id="12"/>
    <w:p w14:paraId="31F246E6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2º Compete à Presidência do TCE/PR supervisionar os resultados do PROGERI e comunicar seus resultados ao Tribunal Pleno.</w:t>
      </w:r>
    </w:p>
    <w:p w14:paraId="31F246E7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13" w:name="_Hlk6823598"/>
      <w:r w:rsidRPr="000258EA">
        <w:rPr>
          <w:rFonts w:ascii="Arial" w:hAnsi="Arial" w:cs="Arial"/>
          <w:sz w:val="24"/>
          <w:szCs w:val="24"/>
        </w:rPr>
        <w:t>§ 3º A Comissão de Gestão de Riscos do TCE/PR, constituída, nos termos do art. 178 do Regimento Interno, será presidida pelo Diretor-Geral do TCE/PR e composta por servidores indicados pelos Conselheiros, tendo por missão a avaliação dos resultados obtidos pelo Programa.</w:t>
      </w:r>
    </w:p>
    <w:p w14:paraId="31F246E8" w14:textId="255D2F6D" w:rsidR="003546F5" w:rsidRPr="00C02201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 xml:space="preserve">§ 4º </w:t>
      </w:r>
      <w:bookmarkStart w:id="14" w:name="_Hlk6823486"/>
      <w:bookmarkEnd w:id="13"/>
      <w:r w:rsidR="003A2964" w:rsidRPr="000258EA">
        <w:rPr>
          <w:rFonts w:ascii="Arial" w:hAnsi="Arial" w:cs="Arial"/>
          <w:sz w:val="24"/>
          <w:szCs w:val="24"/>
        </w:rPr>
        <w:t xml:space="preserve">O Comitê Consultivo do Programa de Implantação do Sistema de Gestão de Riscos no Tribunal de Contas do Estado do Paraná será formado pelos titulares da Diretoria-Geral, </w:t>
      </w:r>
      <w:r w:rsidR="003A2964" w:rsidRPr="002C7BC4">
        <w:rPr>
          <w:rFonts w:ascii="Arial" w:hAnsi="Arial" w:cs="Arial"/>
          <w:sz w:val="24"/>
          <w:szCs w:val="24"/>
        </w:rPr>
        <w:t xml:space="preserve">da Secretaria de Governança, Planejamento e Gestão </w:t>
      </w:r>
      <w:r w:rsidR="003A2964" w:rsidRPr="002C7BC4">
        <w:rPr>
          <w:rFonts w:ascii="Arial" w:hAnsi="Arial" w:cs="Arial"/>
          <w:sz w:val="24"/>
          <w:szCs w:val="24"/>
        </w:rPr>
        <w:lastRenderedPageBreak/>
        <w:t>Estratégica</w:t>
      </w:r>
      <w:r w:rsidR="003A2964" w:rsidRPr="000258EA">
        <w:rPr>
          <w:rFonts w:ascii="Arial" w:hAnsi="Arial" w:cs="Arial"/>
          <w:sz w:val="24"/>
          <w:szCs w:val="24"/>
        </w:rPr>
        <w:t>, da Escola de Gestão Pública e do Controle Interno, sendo encarregado da aferição do cumprimento dos objetivos e atividades do Programa</w:t>
      </w:r>
      <w:r w:rsidR="003A2964" w:rsidRPr="00C02201">
        <w:rPr>
          <w:rFonts w:ascii="Arial" w:hAnsi="Arial" w:cs="Arial"/>
          <w:sz w:val="24"/>
          <w:szCs w:val="24"/>
        </w:rPr>
        <w:t xml:space="preserve">. </w:t>
      </w:r>
      <w:hyperlink r:id="rId15" w:history="1">
        <w:r w:rsidR="003A2964" w:rsidRPr="00C02201">
          <w:rPr>
            <w:rStyle w:val="Hyperlink"/>
            <w:rFonts w:ascii="Arial" w:hAnsi="Arial" w:cs="Arial"/>
            <w:sz w:val="24"/>
            <w:szCs w:val="24"/>
            <w:u w:val="none"/>
          </w:rPr>
          <w:t>(Redação dada pela Resolução n° 125/2025)</w:t>
        </w:r>
      </w:hyperlink>
      <w:r w:rsidRPr="00C02201">
        <w:rPr>
          <w:rFonts w:ascii="Arial" w:hAnsi="Arial" w:cs="Arial"/>
          <w:sz w:val="24"/>
          <w:szCs w:val="24"/>
        </w:rPr>
        <w:t>.</w:t>
      </w:r>
    </w:p>
    <w:bookmarkEnd w:id="14"/>
    <w:p w14:paraId="31F246E9" w14:textId="77777777" w:rsidR="003546F5" w:rsidRPr="000258EA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0258EA">
        <w:rPr>
          <w:rFonts w:ascii="Arial" w:hAnsi="Arial" w:cs="Arial"/>
          <w:sz w:val="24"/>
          <w:szCs w:val="24"/>
        </w:rPr>
        <w:t>§ 5º O Grupo de Trabalho, composto por servidores designados pela Diretoria-Geral, terá por função estruturar o Sistema de Gestão de Riscos do TCE/PR.</w:t>
      </w:r>
    </w:p>
    <w:p w14:paraId="31F246EA" w14:textId="77777777" w:rsidR="003546F5" w:rsidRPr="00E17FE3" w:rsidRDefault="003546F5" w:rsidP="003546F5">
      <w:pPr>
        <w:keepNext/>
        <w:spacing w:before="240" w:after="120" w:line="252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bookmarkStart w:id="15" w:name="_Toc10714176"/>
      <w:r w:rsidRPr="00E17FE3">
        <w:rPr>
          <w:rFonts w:ascii="Arial" w:hAnsi="Arial" w:cs="Arial"/>
          <w:b/>
          <w:bCs/>
          <w:kern w:val="32"/>
          <w:sz w:val="24"/>
          <w:szCs w:val="24"/>
        </w:rPr>
        <w:t>CAPÍTULO VI</w:t>
      </w:r>
      <w:r w:rsidRPr="00E17FE3">
        <w:rPr>
          <w:rFonts w:ascii="Arial" w:hAnsi="Arial" w:cs="Arial"/>
          <w:b/>
          <w:bCs/>
          <w:kern w:val="32"/>
          <w:sz w:val="24"/>
          <w:szCs w:val="24"/>
        </w:rPr>
        <w:br/>
        <w:t>DAS DISPOSIÇÕES FINAIS</w:t>
      </w:r>
      <w:bookmarkEnd w:id="15"/>
    </w:p>
    <w:p w14:paraId="31F246EB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Art. 12</w:t>
      </w:r>
      <w:r w:rsidRPr="00E17FE3">
        <w:rPr>
          <w:rFonts w:ascii="Arial" w:hAnsi="Arial" w:cs="Arial"/>
          <w:sz w:val="24"/>
          <w:szCs w:val="24"/>
        </w:rPr>
        <w:t>. A política de Gestão de Riscos do TCE/PR será revista a cada 2 (dois) anos ou sempre que necessário, no intuito de mantê-la atualizada diante de mudanças no ambiente interno ou externo, a partir de proposta elaborada pela Diretoria-Geral do Tribunal ou por quaisquer de seus membros.</w:t>
      </w:r>
    </w:p>
    <w:p w14:paraId="31F246EC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Art. 13</w:t>
      </w:r>
      <w:r w:rsidRPr="00E17FE3">
        <w:rPr>
          <w:rFonts w:ascii="Arial" w:hAnsi="Arial" w:cs="Arial"/>
          <w:sz w:val="24"/>
          <w:szCs w:val="24"/>
        </w:rPr>
        <w:t>. Fica a Presidência do Tribunal autorizada a expedir os atos necessários à regulamentação desta Resolução e dirimir os casos omissos.</w:t>
      </w:r>
    </w:p>
    <w:p w14:paraId="31F246ED" w14:textId="77777777" w:rsidR="003546F5" w:rsidRPr="00E17FE3" w:rsidRDefault="003546F5" w:rsidP="000258EA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b/>
          <w:sz w:val="24"/>
          <w:szCs w:val="24"/>
        </w:rPr>
        <w:t>Art. 14</w:t>
      </w:r>
      <w:r w:rsidRPr="00E17FE3">
        <w:rPr>
          <w:rFonts w:ascii="Arial" w:hAnsi="Arial" w:cs="Arial"/>
          <w:sz w:val="24"/>
          <w:szCs w:val="24"/>
        </w:rPr>
        <w:t>. Esta Resolução entra em vigor na data de sua publicação.</w:t>
      </w:r>
    </w:p>
    <w:p w14:paraId="31F246EE" w14:textId="77777777" w:rsidR="003546F5" w:rsidRPr="00E17FE3" w:rsidRDefault="003546F5" w:rsidP="001F2CCF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  <w:r w:rsidRPr="00E17FE3">
        <w:rPr>
          <w:rFonts w:ascii="Arial" w:hAnsi="Arial" w:cs="Arial"/>
          <w:sz w:val="24"/>
          <w:szCs w:val="24"/>
        </w:rPr>
        <w:t xml:space="preserve">Curitiba, </w:t>
      </w:r>
      <w:r w:rsidR="009B7426" w:rsidRPr="00E17FE3">
        <w:rPr>
          <w:rFonts w:ascii="Arial" w:hAnsi="Arial" w:cs="Arial"/>
          <w:sz w:val="24"/>
          <w:szCs w:val="24"/>
        </w:rPr>
        <w:t>3 de julho de 2019</w:t>
      </w:r>
      <w:r w:rsidRPr="00E17FE3">
        <w:rPr>
          <w:rFonts w:ascii="Arial" w:hAnsi="Arial" w:cs="Arial"/>
          <w:sz w:val="24"/>
          <w:szCs w:val="24"/>
        </w:rPr>
        <w:t>.</w:t>
      </w:r>
    </w:p>
    <w:p w14:paraId="31F246EF" w14:textId="77777777" w:rsidR="009B7426" w:rsidRPr="00E17FE3" w:rsidRDefault="009B7426" w:rsidP="009B7426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  <w:szCs w:val="24"/>
        </w:rPr>
      </w:pPr>
      <w:r w:rsidRPr="00E17FE3">
        <w:rPr>
          <w:rFonts w:ascii="Arial" w:hAnsi="Arial" w:cs="Arial"/>
          <w:color w:val="808080"/>
          <w:sz w:val="24"/>
          <w:szCs w:val="24"/>
        </w:rPr>
        <w:t xml:space="preserve">- </w:t>
      </w:r>
      <w:proofErr w:type="gramStart"/>
      <w:r w:rsidRPr="00E17FE3">
        <w:rPr>
          <w:rFonts w:ascii="Arial" w:hAnsi="Arial" w:cs="Arial"/>
          <w:color w:val="808080"/>
          <w:sz w:val="24"/>
          <w:szCs w:val="24"/>
        </w:rPr>
        <w:t>assinatura</w:t>
      </w:r>
      <w:proofErr w:type="gramEnd"/>
      <w:r w:rsidRPr="00E17FE3">
        <w:rPr>
          <w:rFonts w:ascii="Arial" w:hAnsi="Arial" w:cs="Arial"/>
          <w:color w:val="808080"/>
          <w:sz w:val="24"/>
          <w:szCs w:val="24"/>
        </w:rPr>
        <w:t xml:space="preserve"> digital -</w:t>
      </w:r>
    </w:p>
    <w:p w14:paraId="31F246F0" w14:textId="77777777" w:rsidR="009B7426" w:rsidRPr="00E17FE3" w:rsidRDefault="009B7426" w:rsidP="009B74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6" w:name="_Hlk536444639"/>
      <w:r w:rsidRPr="00E17FE3">
        <w:rPr>
          <w:rFonts w:ascii="Arial" w:hAnsi="Arial" w:cs="Arial"/>
          <w:sz w:val="24"/>
          <w:szCs w:val="24"/>
        </w:rPr>
        <w:t>Conselheiro</w:t>
      </w:r>
      <w:r w:rsidRPr="00E17FE3">
        <w:rPr>
          <w:rFonts w:ascii="Arial" w:hAnsi="Arial" w:cs="Arial"/>
          <w:b/>
          <w:sz w:val="24"/>
          <w:szCs w:val="24"/>
        </w:rPr>
        <w:t xml:space="preserve"> NESTOR BAPTISTA</w:t>
      </w:r>
      <w:bookmarkEnd w:id="16"/>
    </w:p>
    <w:p w14:paraId="31F246F1" w14:textId="77777777" w:rsidR="001907D7" w:rsidRPr="00E17FE3" w:rsidRDefault="009B7426" w:rsidP="009B7426">
      <w:pPr>
        <w:pStyle w:val="Assina"/>
        <w:spacing w:before="0" w:after="0" w:line="240" w:lineRule="auto"/>
        <w:rPr>
          <w:szCs w:val="24"/>
        </w:rPr>
      </w:pPr>
      <w:r w:rsidRPr="00E17FE3">
        <w:rPr>
          <w:rFonts w:ascii="Arial" w:hAnsi="Arial" w:cs="Arial"/>
          <w:szCs w:val="24"/>
        </w:rPr>
        <w:t>Presidente</w:t>
      </w:r>
    </w:p>
    <w:sectPr w:rsidR="001907D7" w:rsidRPr="00E17FE3" w:rsidSect="009B7426">
      <w:headerReference w:type="default" r:id="rId16"/>
      <w:footnotePr>
        <w:numFmt w:val="chicago"/>
      </w:footnotePr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9CEE" w14:textId="77777777" w:rsidR="008C15A6" w:rsidRDefault="008C15A6" w:rsidP="003546F5">
      <w:pPr>
        <w:spacing w:after="0" w:line="240" w:lineRule="auto"/>
      </w:pPr>
      <w:r>
        <w:separator/>
      </w:r>
    </w:p>
  </w:endnote>
  <w:endnote w:type="continuationSeparator" w:id="0">
    <w:p w14:paraId="513B120E" w14:textId="77777777" w:rsidR="008C15A6" w:rsidRDefault="008C15A6" w:rsidP="0035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EA89" w14:textId="77777777" w:rsidR="008C15A6" w:rsidRDefault="008C15A6" w:rsidP="003546F5">
      <w:pPr>
        <w:spacing w:after="0" w:line="240" w:lineRule="auto"/>
      </w:pPr>
      <w:r>
        <w:separator/>
      </w:r>
    </w:p>
  </w:footnote>
  <w:footnote w:type="continuationSeparator" w:id="0">
    <w:p w14:paraId="1E4E0709" w14:textId="77777777" w:rsidR="008C15A6" w:rsidRDefault="008C15A6" w:rsidP="003546F5">
      <w:pPr>
        <w:spacing w:after="0" w:line="240" w:lineRule="auto"/>
      </w:pPr>
      <w:r>
        <w:continuationSeparator/>
      </w:r>
    </w:p>
  </w:footnote>
  <w:footnote w:id="1">
    <w:p w14:paraId="2D714BA8" w14:textId="77777777" w:rsidR="00FA6594" w:rsidRPr="00D96012" w:rsidRDefault="00FA6594" w:rsidP="00FA6594">
      <w:pPr>
        <w:pStyle w:val="Textodenotaderodap"/>
        <w:spacing w:after="0" w:line="240" w:lineRule="auto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D96012">
        <w:rPr>
          <w:rFonts w:ascii="Arial" w:hAnsi="Arial" w:cs="Arial"/>
          <w:b/>
        </w:rPr>
        <w:t>Notas da Biblioteca:</w:t>
      </w:r>
    </w:p>
    <w:p w14:paraId="6E70383B" w14:textId="5F223A0E" w:rsidR="00FA6594" w:rsidRPr="00D96012" w:rsidRDefault="00FA6594" w:rsidP="00FA6594">
      <w:pPr>
        <w:pStyle w:val="Textodenotaderodap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D96012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D96012" w:rsidRPr="00D96012">
          <w:rPr>
            <w:rStyle w:val="Hyperlink"/>
            <w:rFonts w:ascii="Arial" w:hAnsi="Arial" w:cs="Arial"/>
          </w:rPr>
          <w:t>Diário Eletrônico do Tribunal de Contas do Estado do Paraná, Curitiba, PR, n. 2098, 12 jul. 2019, p. 14-15</w:t>
        </w:r>
      </w:hyperlink>
      <w:r w:rsidR="00D96012" w:rsidRPr="00D96012">
        <w:rPr>
          <w:rFonts w:ascii="Arial" w:hAnsi="Arial" w:cs="Arial"/>
        </w:rPr>
        <w:t>.</w:t>
      </w:r>
    </w:p>
    <w:p w14:paraId="4E57ED3B" w14:textId="77777777" w:rsidR="003154D3" w:rsidRPr="00CE075A" w:rsidRDefault="003154D3" w:rsidP="003154D3">
      <w:pPr>
        <w:pStyle w:val="Textodenotaderodap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CE075A">
        <w:rPr>
          <w:rFonts w:ascii="Arial" w:hAnsi="Arial" w:cs="Arial"/>
        </w:rPr>
        <w:t>Origem: Processo n. 35534-3/2019</w:t>
      </w:r>
      <w:r w:rsidRPr="00CE075A">
        <w:rPr>
          <w:rFonts w:ascii="Arial" w:hAnsi="Arial" w:cs="Arial"/>
          <w:color w:val="000000"/>
        </w:rPr>
        <w:t xml:space="preserve"> </w:t>
      </w:r>
      <w:r w:rsidRPr="00CE075A">
        <w:rPr>
          <w:rFonts w:ascii="Arial" w:hAnsi="Arial" w:cs="Arial"/>
        </w:rPr>
        <w:t xml:space="preserve">– </w:t>
      </w:r>
      <w:hyperlink r:id="rId2" w:history="1">
        <w:r w:rsidRPr="00CE075A">
          <w:rPr>
            <w:rStyle w:val="Hyperlink"/>
            <w:rFonts w:ascii="Arial" w:hAnsi="Arial" w:cs="Arial"/>
          </w:rPr>
          <w:t>Acórdão n.</w:t>
        </w:r>
        <w:r w:rsidRPr="00CE075A">
          <w:rPr>
            <w:rStyle w:val="Hyperlink"/>
            <w:rFonts w:ascii="Arial" w:eastAsia="Times New Roman" w:hAnsi="Arial" w:cs="Arial"/>
          </w:rPr>
          <w:t xml:space="preserve"> 1777/2019 </w:t>
        </w:r>
        <w:r w:rsidRPr="00CE075A">
          <w:rPr>
            <w:rStyle w:val="Hyperlink"/>
            <w:rFonts w:ascii="Arial" w:hAnsi="Arial" w:cs="Arial"/>
          </w:rPr>
          <w:t>- Tribunal Pleno</w:t>
        </w:r>
      </w:hyperlink>
      <w:r w:rsidRPr="00CE075A">
        <w:rPr>
          <w:rFonts w:ascii="Arial" w:hAnsi="Arial" w:cs="Arial"/>
        </w:rPr>
        <w:t>.</w:t>
      </w:r>
    </w:p>
    <w:p w14:paraId="0F0037A3" w14:textId="1E34BF43" w:rsidR="00FA6594" w:rsidRPr="00927E9E" w:rsidRDefault="003154D3" w:rsidP="003154D3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0" w:line="240" w:lineRule="auto"/>
        <w:ind w:left="284" w:hanging="142"/>
        <w:textAlignment w:val="top"/>
        <w:rPr>
          <w:rFonts w:ascii="Arial" w:hAnsi="Arial" w:cs="Arial"/>
          <w:sz w:val="18"/>
          <w:szCs w:val="18"/>
        </w:rPr>
      </w:pPr>
      <w:r w:rsidRPr="00CE075A">
        <w:rPr>
          <w:rStyle w:val="Forte"/>
          <w:rFonts w:ascii="Arial" w:hAnsi="Arial" w:cs="Arial"/>
          <w:color w:val="0000FF"/>
          <w:sz w:val="20"/>
          <w:szCs w:val="20"/>
        </w:rPr>
        <w:t xml:space="preserve">Alterada </w:t>
      </w:r>
      <w:r w:rsidRPr="00CE075A">
        <w:rPr>
          <w:rFonts w:ascii="Arial" w:hAnsi="Arial" w:cs="Arial"/>
          <w:sz w:val="20"/>
          <w:szCs w:val="20"/>
        </w:rPr>
        <w:t xml:space="preserve">por: </w:t>
      </w:r>
      <w:hyperlink r:id="rId3" w:history="1">
        <w:r w:rsidRPr="00CE075A">
          <w:rPr>
            <w:rStyle w:val="Hyperlink"/>
            <w:rFonts w:ascii="Arial" w:hAnsi="Arial" w:cs="Arial"/>
            <w:sz w:val="20"/>
            <w:szCs w:val="20"/>
          </w:rPr>
          <w:t>Resolução n. 84, de 26 de fevereiro de 2021</w:t>
        </w:r>
      </w:hyperlink>
      <w:r w:rsidRPr="00CE075A">
        <w:rPr>
          <w:rFonts w:ascii="Arial" w:hAnsi="Arial" w:cs="Arial"/>
          <w:sz w:val="20"/>
          <w:szCs w:val="20"/>
        </w:rPr>
        <w:t>.</w:t>
      </w:r>
    </w:p>
    <w:p w14:paraId="10576782" w14:textId="430FF85A" w:rsidR="00927E9E" w:rsidRPr="001C052F" w:rsidRDefault="00927E9E" w:rsidP="00927E9E">
      <w:pPr>
        <w:pStyle w:val="NormalWeb"/>
        <w:tabs>
          <w:tab w:val="left" w:pos="426"/>
        </w:tabs>
        <w:spacing w:before="0" w:beforeAutospacing="0" w:after="0" w:line="240" w:lineRule="auto"/>
        <w:ind w:left="284"/>
        <w:textAlignment w:val="top"/>
        <w:rPr>
          <w:rFonts w:ascii="Arial" w:hAnsi="Arial" w:cs="Arial"/>
          <w:sz w:val="18"/>
          <w:szCs w:val="18"/>
        </w:rPr>
      </w:pPr>
      <w:r>
        <w:rPr>
          <w:rStyle w:val="Forte"/>
          <w:rFonts w:ascii="Arial" w:hAnsi="Arial" w:cs="Arial"/>
          <w:color w:val="0000FF"/>
          <w:sz w:val="20"/>
          <w:szCs w:val="20"/>
        </w:rPr>
        <w:t xml:space="preserve">   Alterada </w:t>
      </w:r>
      <w:r w:rsidRPr="00CE075A">
        <w:rPr>
          <w:rFonts w:ascii="Arial" w:hAnsi="Arial" w:cs="Arial"/>
          <w:sz w:val="20"/>
          <w:szCs w:val="20"/>
        </w:rPr>
        <w:t>por:</w:t>
      </w:r>
      <w:r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Pr="00927E9E">
          <w:rPr>
            <w:rStyle w:val="Hyperlink"/>
            <w:rFonts w:ascii="Arial" w:hAnsi="Arial" w:cs="Arial"/>
            <w:sz w:val="20"/>
            <w:szCs w:val="20"/>
          </w:rPr>
          <w:t>Resolução n. 125, de 29 de janeiro de 2025.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46F6" w14:textId="05FEA9DB" w:rsidR="003546F5" w:rsidRDefault="00825305" w:rsidP="003546F5">
    <w:pPr>
      <w:pStyle w:val="Cabealho"/>
      <w:spacing w:before="240" w:after="0" w:line="240" w:lineRule="auto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1F246FA" wp14:editId="32EB3FE3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6F5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1734876F" w14:textId="77777777" w:rsidR="000A3060" w:rsidRDefault="000A3060" w:rsidP="000A3060">
    <w:pPr>
      <w:pStyle w:val="Cabealho"/>
      <w:spacing w:before="120" w:after="120" w:line="240" w:lineRule="auto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C1D"/>
    <w:multiLevelType w:val="hybridMultilevel"/>
    <w:tmpl w:val="B6C675FA"/>
    <w:lvl w:ilvl="0" w:tplc="444807DA">
      <w:start w:val="1"/>
      <w:numFmt w:val="lowerLetter"/>
      <w:lvlText w:val="%1)"/>
      <w:lvlJc w:val="left"/>
      <w:pPr>
        <w:ind w:left="2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67" w:hanging="360"/>
      </w:pPr>
    </w:lvl>
    <w:lvl w:ilvl="2" w:tplc="0416001B" w:tentative="1">
      <w:start w:val="1"/>
      <w:numFmt w:val="lowerRoman"/>
      <w:lvlText w:val="%3."/>
      <w:lvlJc w:val="right"/>
      <w:pPr>
        <w:ind w:left="1687" w:hanging="180"/>
      </w:pPr>
    </w:lvl>
    <w:lvl w:ilvl="3" w:tplc="0416000F" w:tentative="1">
      <w:start w:val="1"/>
      <w:numFmt w:val="decimal"/>
      <w:lvlText w:val="%4."/>
      <w:lvlJc w:val="left"/>
      <w:pPr>
        <w:ind w:left="2407" w:hanging="360"/>
      </w:pPr>
    </w:lvl>
    <w:lvl w:ilvl="4" w:tplc="04160019" w:tentative="1">
      <w:start w:val="1"/>
      <w:numFmt w:val="lowerLetter"/>
      <w:lvlText w:val="%5."/>
      <w:lvlJc w:val="left"/>
      <w:pPr>
        <w:ind w:left="3127" w:hanging="360"/>
      </w:pPr>
    </w:lvl>
    <w:lvl w:ilvl="5" w:tplc="0416001B" w:tentative="1">
      <w:start w:val="1"/>
      <w:numFmt w:val="lowerRoman"/>
      <w:lvlText w:val="%6."/>
      <w:lvlJc w:val="right"/>
      <w:pPr>
        <w:ind w:left="3847" w:hanging="180"/>
      </w:pPr>
    </w:lvl>
    <w:lvl w:ilvl="6" w:tplc="0416000F" w:tentative="1">
      <w:start w:val="1"/>
      <w:numFmt w:val="decimal"/>
      <w:lvlText w:val="%7."/>
      <w:lvlJc w:val="left"/>
      <w:pPr>
        <w:ind w:left="4567" w:hanging="360"/>
      </w:pPr>
    </w:lvl>
    <w:lvl w:ilvl="7" w:tplc="04160019" w:tentative="1">
      <w:start w:val="1"/>
      <w:numFmt w:val="lowerLetter"/>
      <w:lvlText w:val="%8."/>
      <w:lvlJc w:val="left"/>
      <w:pPr>
        <w:ind w:left="5287" w:hanging="360"/>
      </w:pPr>
    </w:lvl>
    <w:lvl w:ilvl="8" w:tplc="0416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CEE4155"/>
    <w:multiLevelType w:val="hybridMultilevel"/>
    <w:tmpl w:val="E1D412E6"/>
    <w:lvl w:ilvl="0" w:tplc="7F02F7B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F4041"/>
    <w:multiLevelType w:val="hybridMultilevel"/>
    <w:tmpl w:val="CF326600"/>
    <w:lvl w:ilvl="0" w:tplc="0416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7806">
    <w:abstractNumId w:val="0"/>
  </w:num>
  <w:num w:numId="2" w16cid:durableId="806245162">
    <w:abstractNumId w:val="1"/>
  </w:num>
  <w:num w:numId="3" w16cid:durableId="1553270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F5"/>
    <w:rsid w:val="000258EA"/>
    <w:rsid w:val="000A3060"/>
    <w:rsid w:val="000C7A48"/>
    <w:rsid w:val="001907D7"/>
    <w:rsid w:val="001919BC"/>
    <w:rsid w:val="001B4D81"/>
    <w:rsid w:val="001C052F"/>
    <w:rsid w:val="001E10F6"/>
    <w:rsid w:val="001F2CCF"/>
    <w:rsid w:val="002657EF"/>
    <w:rsid w:val="002765BC"/>
    <w:rsid w:val="003154D3"/>
    <w:rsid w:val="003546F5"/>
    <w:rsid w:val="003A2964"/>
    <w:rsid w:val="0040634A"/>
    <w:rsid w:val="00477AD6"/>
    <w:rsid w:val="004C0C0B"/>
    <w:rsid w:val="004F2C9A"/>
    <w:rsid w:val="005524C8"/>
    <w:rsid w:val="005C7568"/>
    <w:rsid w:val="00612CC7"/>
    <w:rsid w:val="00640B0C"/>
    <w:rsid w:val="006907DC"/>
    <w:rsid w:val="0070611B"/>
    <w:rsid w:val="0078671C"/>
    <w:rsid w:val="00825305"/>
    <w:rsid w:val="0085289F"/>
    <w:rsid w:val="0085398A"/>
    <w:rsid w:val="008C15A6"/>
    <w:rsid w:val="00927E9E"/>
    <w:rsid w:val="009B7426"/>
    <w:rsid w:val="00A5059D"/>
    <w:rsid w:val="00A734D0"/>
    <w:rsid w:val="00BE73C8"/>
    <w:rsid w:val="00C02201"/>
    <w:rsid w:val="00CA2EC8"/>
    <w:rsid w:val="00CA5349"/>
    <w:rsid w:val="00CE075A"/>
    <w:rsid w:val="00D26967"/>
    <w:rsid w:val="00D96012"/>
    <w:rsid w:val="00DA2C48"/>
    <w:rsid w:val="00DB03D9"/>
    <w:rsid w:val="00E031D4"/>
    <w:rsid w:val="00E17FE3"/>
    <w:rsid w:val="00F706DD"/>
    <w:rsid w:val="00F96DFD"/>
    <w:rsid w:val="00FA6594"/>
    <w:rsid w:val="00FE2DB3"/>
    <w:rsid w:val="00FE4E12"/>
    <w:rsid w:val="00FF19A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24665"/>
  <w15:chartTrackingRefBased/>
  <w15:docId w15:val="{963C1CE7-E872-4CCB-A119-ACDF3E77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ssina">
    <w:name w:val="Assina"/>
    <w:basedOn w:val="Normal"/>
    <w:rsid w:val="003546F5"/>
    <w:pPr>
      <w:autoSpaceDE w:val="0"/>
      <w:autoSpaceDN w:val="0"/>
      <w:spacing w:before="60" w:after="6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3546F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3546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546F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546F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546F5"/>
    <w:rPr>
      <w:sz w:val="22"/>
      <w:szCs w:val="22"/>
      <w:lang w:eastAsia="en-US"/>
    </w:rPr>
  </w:style>
  <w:style w:type="paragraph" w:customStyle="1" w:styleId="Default">
    <w:name w:val="Default"/>
    <w:rsid w:val="009B7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9B7426"/>
  </w:style>
  <w:style w:type="paragraph" w:styleId="Textodenotaderodap">
    <w:name w:val="footnote text"/>
    <w:basedOn w:val="Normal"/>
    <w:link w:val="TextodenotaderodapChar"/>
    <w:unhideWhenUsed/>
    <w:rsid w:val="000C7A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0C7A48"/>
    <w:rPr>
      <w:lang w:eastAsia="en-US"/>
    </w:rPr>
  </w:style>
  <w:style w:type="character" w:styleId="Refdenotaderodap">
    <w:name w:val="footnote reference"/>
    <w:uiPriority w:val="99"/>
    <w:semiHidden/>
    <w:unhideWhenUsed/>
    <w:rsid w:val="000C7A48"/>
    <w:rPr>
      <w:vertAlign w:val="superscript"/>
    </w:rPr>
  </w:style>
  <w:style w:type="character" w:styleId="Forte">
    <w:name w:val="Strong"/>
    <w:uiPriority w:val="22"/>
    <w:qFormat/>
    <w:rsid w:val="004C0C0B"/>
    <w:rPr>
      <w:b/>
      <w:bCs/>
    </w:rPr>
  </w:style>
  <w:style w:type="paragraph" w:styleId="NormalWeb">
    <w:name w:val="Normal (Web)"/>
    <w:basedOn w:val="Normal"/>
    <w:uiPriority w:val="99"/>
    <w:unhideWhenUsed/>
    <w:rsid w:val="004C0C0B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70611B"/>
    <w:rPr>
      <w:color w:val="605E5C"/>
      <w:shd w:val="clear" w:color="auto" w:fill="E1DFDD"/>
    </w:rPr>
  </w:style>
  <w:style w:type="paragraph" w:customStyle="1" w:styleId="ArtigosOrdinais">
    <w:name w:val="ArtigosOrdinais"/>
    <w:basedOn w:val="Normal"/>
    <w:rsid w:val="002765BC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resolucao-n-84-de-26-de-fevereiro-de-2021/334179/area/249" TargetMode="External"/><Relationship Id="rId13" Type="http://schemas.openxmlformats.org/officeDocument/2006/relationships/hyperlink" Target="https://www1.tce.pr.gov.br/conteudo/resolucao-n-84-de-26-de-fevereiro-de-2021/334179/area/24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19/7/pdf/00337777.pdf" TargetMode="External"/><Relationship Id="rId12" Type="http://schemas.openxmlformats.org/officeDocument/2006/relationships/hyperlink" Target="https://www1.tce.pr.gov.br/conteudo/resolucao-n-84-de-26-de-fevereiro-de-2021/334179/area/24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1.tce.pr.gov.br/conteudo/resolucao-n-84-de-26-de-fevereiro-de-2021/334179/area/2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1.tce.pr.gov.br/conteudo/resolucao-n-125-de-29-de-janeiro-de-2025/360531/area/249" TargetMode="External"/><Relationship Id="rId10" Type="http://schemas.openxmlformats.org/officeDocument/2006/relationships/hyperlink" Target="https://www1.tce.pr.gov.br/conteudo/resolucao-n-84-de-26-de-fevereiro-de-2021/334179/area/2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tce.pr.gov.br/conteudo/resolucao-n-125-de-29-de-janeiro-de-2025/360531/area/249" TargetMode="External"/><Relationship Id="rId14" Type="http://schemas.openxmlformats.org/officeDocument/2006/relationships/hyperlink" Target="https://www1.tce.pr.gov.br/conteudo/resolucao-n-84-de-26-de-fevereiro-de-2021/334179/area/24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72-de-3-de-julho-de-2019/322903/area/249" TargetMode="External"/><Relationship Id="rId2" Type="http://schemas.openxmlformats.org/officeDocument/2006/relationships/hyperlink" Target="https://www1.tce.pr.gov.br/multimidia/2019/7/pdf/00337777.pdf" TargetMode="External"/><Relationship Id="rId1" Type="http://schemas.openxmlformats.org/officeDocument/2006/relationships/hyperlink" Target="http://www1.tce.pr.gov.br/multimidia/2019/7/pdf/00337988.pdf" TargetMode="External"/><Relationship Id="rId4" Type="http://schemas.openxmlformats.org/officeDocument/2006/relationships/hyperlink" Target="https://www1.tce.pr.gov.br/conteudo/resolucao-n-125-de-29-de-janeiro-de-2025/360531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2757</Words>
  <Characters>14888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Links>
    <vt:vector size="36" baseType="variant">
      <vt:variant>
        <vt:i4>13893834</vt:i4>
      </vt:variant>
      <vt:variant>
        <vt:i4>32</vt:i4>
      </vt:variant>
      <vt:variant>
        <vt:i4>0</vt:i4>
      </vt:variant>
      <vt:variant>
        <vt:i4>5</vt:i4>
      </vt:variant>
      <vt:variant>
        <vt:lpwstr>\\beta\GCIZL\2019\ATOS NORMATIVOS\RESOLUÇÕES\Resolução nº ... - dispõe sobre a Política de Gestão de Riscos do Tribunal.doc</vt:lpwstr>
      </vt:variant>
      <vt:variant>
        <vt:lpwstr>_Toc10714176</vt:lpwstr>
      </vt:variant>
      <vt:variant>
        <vt:i4>14090442</vt:i4>
      </vt:variant>
      <vt:variant>
        <vt:i4>26</vt:i4>
      </vt:variant>
      <vt:variant>
        <vt:i4>0</vt:i4>
      </vt:variant>
      <vt:variant>
        <vt:i4>5</vt:i4>
      </vt:variant>
      <vt:variant>
        <vt:lpwstr>\\beta\GCIZL\2019\ATOS NORMATIVOS\RESOLUÇÕES\Resolução nº ... - dispõe sobre a Política de Gestão de Riscos do Tribunal.doc</vt:lpwstr>
      </vt:variant>
      <vt:variant>
        <vt:lpwstr>_Toc10714175</vt:lpwstr>
      </vt:variant>
      <vt:variant>
        <vt:i4>14024906</vt:i4>
      </vt:variant>
      <vt:variant>
        <vt:i4>20</vt:i4>
      </vt:variant>
      <vt:variant>
        <vt:i4>0</vt:i4>
      </vt:variant>
      <vt:variant>
        <vt:i4>5</vt:i4>
      </vt:variant>
      <vt:variant>
        <vt:lpwstr>\\beta\GCIZL\2019\ATOS NORMATIVOS\RESOLUÇÕES\Resolução nº ... - dispõe sobre a Política de Gestão de Riscos do Tribunal.doc</vt:lpwstr>
      </vt:variant>
      <vt:variant>
        <vt:lpwstr>_Toc10714174</vt:lpwstr>
      </vt:variant>
      <vt:variant>
        <vt:i4>13697226</vt:i4>
      </vt:variant>
      <vt:variant>
        <vt:i4>14</vt:i4>
      </vt:variant>
      <vt:variant>
        <vt:i4>0</vt:i4>
      </vt:variant>
      <vt:variant>
        <vt:i4>5</vt:i4>
      </vt:variant>
      <vt:variant>
        <vt:lpwstr>\\beta\GCIZL\2019\ATOS NORMATIVOS\RESOLUÇÕES\Resolução nº ... - dispõe sobre a Política de Gestão de Riscos do Tribunal.doc</vt:lpwstr>
      </vt:variant>
      <vt:variant>
        <vt:lpwstr>_Toc10714173</vt:lpwstr>
      </vt:variant>
      <vt:variant>
        <vt:i4>13631690</vt:i4>
      </vt:variant>
      <vt:variant>
        <vt:i4>8</vt:i4>
      </vt:variant>
      <vt:variant>
        <vt:i4>0</vt:i4>
      </vt:variant>
      <vt:variant>
        <vt:i4>5</vt:i4>
      </vt:variant>
      <vt:variant>
        <vt:lpwstr>\\beta\GCIZL\2019\ATOS NORMATIVOS\RESOLUÇÕES\Resolução nº ... - dispõe sobre a Política de Gestão de Riscos do Tribunal.doc</vt:lpwstr>
      </vt:variant>
      <vt:variant>
        <vt:lpwstr>_Toc10714172</vt:lpwstr>
      </vt:variant>
      <vt:variant>
        <vt:i4>13828298</vt:i4>
      </vt:variant>
      <vt:variant>
        <vt:i4>2</vt:i4>
      </vt:variant>
      <vt:variant>
        <vt:i4>0</vt:i4>
      </vt:variant>
      <vt:variant>
        <vt:i4>5</vt:i4>
      </vt:variant>
      <vt:variant>
        <vt:lpwstr>\\beta\GCIZL\2019\ATOS NORMATIVOS\RESOLUÇÕES\Resolução nº ... - dispõe sobre a Política de Gestão de Riscos do Tribunal.doc</vt:lpwstr>
      </vt:variant>
      <vt:variant>
        <vt:lpwstr>_Toc10714171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Milena Caroline Antunes dos Santos da Luz</cp:lastModifiedBy>
  <cp:revision>3</cp:revision>
  <dcterms:created xsi:type="dcterms:W3CDTF">2025-02-14T16:03:00Z</dcterms:created>
  <dcterms:modified xsi:type="dcterms:W3CDTF">2025-02-18T13:08:00Z</dcterms:modified>
</cp:coreProperties>
</file>