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5546" w14:textId="43ADB75A" w:rsidR="006F1BEA" w:rsidRPr="006F1BEA" w:rsidRDefault="006F1BEA" w:rsidP="006F1BEA">
      <w:pPr>
        <w:jc w:val="center"/>
        <w:rPr>
          <w:rFonts w:ascii="Arial" w:hAnsi="Arial" w:cs="Arial"/>
          <w:b/>
          <w:sz w:val="28"/>
          <w:szCs w:val="28"/>
        </w:rPr>
      </w:pPr>
      <w:r w:rsidRPr="006F1BEA">
        <w:rPr>
          <w:rFonts w:ascii="Arial" w:hAnsi="Arial" w:cs="Arial"/>
          <w:b/>
          <w:sz w:val="28"/>
          <w:szCs w:val="28"/>
        </w:rPr>
        <w:t>RESOLUÇÃO Nº</w:t>
      </w:r>
      <w:r w:rsidR="005B2595">
        <w:rPr>
          <w:rFonts w:ascii="Arial" w:hAnsi="Arial" w:cs="Arial"/>
          <w:b/>
          <w:sz w:val="28"/>
          <w:szCs w:val="28"/>
        </w:rPr>
        <w:t xml:space="preserve"> 27/2011</w:t>
      </w:r>
      <w:r w:rsidR="006B02CA">
        <w:rPr>
          <w:rStyle w:val="Refdenotaderodap"/>
          <w:rFonts w:ascii="Arial" w:hAnsi="Arial" w:cs="Arial"/>
          <w:b/>
          <w:sz w:val="28"/>
          <w:szCs w:val="28"/>
        </w:rPr>
        <w:footnoteReference w:id="1"/>
      </w:r>
    </w:p>
    <w:p w14:paraId="2A144613" w14:textId="77777777" w:rsidR="006F1BEA" w:rsidRPr="001E2666" w:rsidRDefault="006F1BEA" w:rsidP="00436C47">
      <w:pPr>
        <w:spacing w:before="360" w:after="360"/>
        <w:ind w:left="4536"/>
        <w:jc w:val="both"/>
        <w:rPr>
          <w:rFonts w:ascii="Arial" w:hAnsi="Arial" w:cs="Arial"/>
          <w:i/>
          <w:sz w:val="22"/>
          <w:szCs w:val="22"/>
        </w:rPr>
      </w:pPr>
      <w:r w:rsidRPr="001E2666">
        <w:rPr>
          <w:rFonts w:ascii="Arial" w:hAnsi="Arial" w:cs="Arial"/>
          <w:i/>
          <w:sz w:val="22"/>
          <w:szCs w:val="22"/>
        </w:rPr>
        <w:t xml:space="preserve">Estabelece normas acerca do controle exercido pelo Tribunal de Contas do Estado sobre os recursos geridos pelo Estado do Paraná e Município de Curitiba, destinados à organização e à realização da Copa do Mundo de 2014 no âmbito de sua competência. </w:t>
      </w:r>
    </w:p>
    <w:p w14:paraId="7F271319" w14:textId="77777777" w:rsidR="00880A37" w:rsidRPr="007F75C5" w:rsidRDefault="006F1BEA" w:rsidP="007F75C5">
      <w:pPr>
        <w:spacing w:before="120"/>
        <w:ind w:firstLine="1134"/>
        <w:jc w:val="both"/>
        <w:rPr>
          <w:rFonts w:ascii="Arial" w:hAnsi="Arial" w:cs="Arial"/>
          <w:sz w:val="23"/>
          <w:szCs w:val="23"/>
        </w:rPr>
      </w:pPr>
      <w:r w:rsidRPr="007F75C5">
        <w:rPr>
          <w:rFonts w:ascii="Arial" w:hAnsi="Arial" w:cs="Arial"/>
          <w:sz w:val="23"/>
          <w:szCs w:val="23"/>
        </w:rPr>
        <w:t xml:space="preserve">O </w:t>
      </w:r>
      <w:r w:rsidRPr="007F75C5">
        <w:rPr>
          <w:rFonts w:ascii="Arial" w:hAnsi="Arial" w:cs="Arial"/>
          <w:b/>
          <w:bCs/>
          <w:sz w:val="23"/>
          <w:szCs w:val="23"/>
        </w:rPr>
        <w:t>TRIBUNAL DE CONTAS DO ESTADO DO PARANÁ</w:t>
      </w:r>
      <w:r w:rsidRPr="007F75C5">
        <w:rPr>
          <w:rFonts w:ascii="Arial" w:hAnsi="Arial" w:cs="Arial"/>
          <w:sz w:val="23"/>
          <w:szCs w:val="23"/>
        </w:rPr>
        <w:t xml:space="preserve">, no uso de suas atribuições constitucionais, legais e regimentais e no exercício do poder regulamentar, conferido pelo art. 188 do Regimento Interno, para expedir normas complementares sobre matéria de suas atribuições e sobre a organização dos processos que lhe devam ser submetidos, </w:t>
      </w:r>
      <w:r w:rsidR="00880A37" w:rsidRPr="007F75C5">
        <w:rPr>
          <w:rFonts w:ascii="Arial" w:hAnsi="Arial" w:cs="Arial"/>
          <w:sz w:val="23"/>
          <w:szCs w:val="23"/>
        </w:rPr>
        <w:t>e</w:t>
      </w:r>
    </w:p>
    <w:p w14:paraId="1914A52A" w14:textId="77777777" w:rsidR="00880A37" w:rsidRPr="007F75C5" w:rsidRDefault="00880A37" w:rsidP="007F75C5">
      <w:pPr>
        <w:spacing w:before="120"/>
        <w:ind w:firstLine="1134"/>
        <w:jc w:val="both"/>
        <w:rPr>
          <w:rFonts w:ascii="Arial" w:hAnsi="Arial" w:cs="Arial"/>
          <w:sz w:val="23"/>
          <w:szCs w:val="23"/>
        </w:rPr>
      </w:pPr>
      <w:r w:rsidRPr="007F75C5">
        <w:rPr>
          <w:rFonts w:ascii="Arial" w:hAnsi="Arial" w:cs="Arial"/>
          <w:sz w:val="23"/>
          <w:szCs w:val="23"/>
        </w:rPr>
        <w:t>C</w:t>
      </w:r>
      <w:r w:rsidR="006F1BEA" w:rsidRPr="007F75C5">
        <w:rPr>
          <w:rFonts w:ascii="Arial" w:hAnsi="Arial" w:cs="Arial"/>
          <w:sz w:val="23"/>
          <w:szCs w:val="23"/>
        </w:rPr>
        <w:t xml:space="preserve">onsiderando que a jurisdição própria e privativa do Tribunal abrange qualquer pessoa física ou jurídica, pública ou privada, que utilize, arrecade, guarde, gerencie ou administre dinheiros, bens e valores públicos ou pelos quais o Estado do Paraná e o Município de Curitiba respondam, ou que, em nome destes, assumam obrigações de natureza pecuniária; </w:t>
      </w:r>
    </w:p>
    <w:p w14:paraId="4810F222" w14:textId="77777777" w:rsidR="00880A37" w:rsidRPr="007F75C5" w:rsidRDefault="00880A37" w:rsidP="007F75C5">
      <w:pPr>
        <w:spacing w:before="120"/>
        <w:ind w:firstLine="1134"/>
        <w:jc w:val="both"/>
        <w:rPr>
          <w:rFonts w:ascii="Arial" w:hAnsi="Arial" w:cs="Arial"/>
          <w:sz w:val="23"/>
          <w:szCs w:val="23"/>
        </w:rPr>
      </w:pPr>
      <w:r w:rsidRPr="007F75C5">
        <w:rPr>
          <w:rFonts w:ascii="Arial" w:hAnsi="Arial" w:cs="Arial"/>
          <w:sz w:val="23"/>
          <w:szCs w:val="23"/>
        </w:rPr>
        <w:t>C</w:t>
      </w:r>
      <w:r w:rsidR="006F1BEA" w:rsidRPr="007F75C5">
        <w:rPr>
          <w:rFonts w:ascii="Arial" w:hAnsi="Arial" w:cs="Arial"/>
          <w:sz w:val="23"/>
          <w:szCs w:val="23"/>
        </w:rPr>
        <w:t>onsiderando também a necessidade de celeridade e padronização em todos os processos que versem sobre a aplicação de recursos públicos nas obras da Copa de 2014 e q</w:t>
      </w:r>
      <w:r w:rsidRPr="007F75C5">
        <w:rPr>
          <w:rFonts w:ascii="Arial" w:hAnsi="Arial" w:cs="Arial"/>
          <w:sz w:val="23"/>
          <w:szCs w:val="23"/>
        </w:rPr>
        <w:t>ue terão tramitação nesta Casa;</w:t>
      </w:r>
      <w:r w:rsidR="006F1BEA" w:rsidRPr="007F75C5">
        <w:rPr>
          <w:rFonts w:ascii="Arial" w:hAnsi="Arial" w:cs="Arial"/>
          <w:sz w:val="23"/>
          <w:szCs w:val="23"/>
        </w:rPr>
        <w:t xml:space="preserve"> </w:t>
      </w:r>
    </w:p>
    <w:p w14:paraId="4D25CCD4" w14:textId="77777777" w:rsidR="00880A37" w:rsidRPr="007F75C5" w:rsidRDefault="00880A37" w:rsidP="007F75C5">
      <w:pPr>
        <w:spacing w:before="120"/>
        <w:ind w:firstLine="1134"/>
        <w:jc w:val="both"/>
        <w:rPr>
          <w:rFonts w:ascii="Arial" w:hAnsi="Arial" w:cs="Arial"/>
          <w:sz w:val="23"/>
          <w:szCs w:val="23"/>
        </w:rPr>
      </w:pPr>
      <w:r w:rsidRPr="007F75C5">
        <w:rPr>
          <w:rFonts w:ascii="Arial" w:hAnsi="Arial" w:cs="Arial"/>
          <w:sz w:val="23"/>
          <w:szCs w:val="23"/>
        </w:rPr>
        <w:t>C</w:t>
      </w:r>
      <w:r w:rsidR="006F1BEA" w:rsidRPr="007F75C5">
        <w:rPr>
          <w:rFonts w:ascii="Arial" w:hAnsi="Arial" w:cs="Arial"/>
          <w:sz w:val="23"/>
          <w:szCs w:val="23"/>
        </w:rPr>
        <w:t>onsiderando a Rede de Informações para Fiscalização e Controle dos Gastos Públicos na Organização da Copa do Mundo de 2014 e a Rede de Controle da Gestão Pública, instituídas por meio de protocolo de intenções e acordos de cooperação celebrados entre diversos órgãos e entidades públicos, e das quais o Tribunal faz parte,</w:t>
      </w:r>
    </w:p>
    <w:p w14:paraId="4B4AD0C3" w14:textId="77777777" w:rsidR="006F1BEA" w:rsidRPr="007F75C5" w:rsidRDefault="00880A37" w:rsidP="00436C47">
      <w:pPr>
        <w:spacing w:before="240" w:after="240"/>
        <w:ind w:firstLine="1134"/>
        <w:jc w:val="both"/>
        <w:rPr>
          <w:rFonts w:ascii="Arial" w:hAnsi="Arial" w:cs="Arial"/>
          <w:b/>
          <w:sz w:val="23"/>
          <w:szCs w:val="23"/>
        </w:rPr>
      </w:pPr>
      <w:r w:rsidRPr="007F75C5">
        <w:rPr>
          <w:rFonts w:ascii="Arial" w:hAnsi="Arial" w:cs="Arial"/>
          <w:b/>
          <w:sz w:val="23"/>
          <w:szCs w:val="23"/>
        </w:rPr>
        <w:t xml:space="preserve"> RESOLVE</w:t>
      </w:r>
    </w:p>
    <w:p w14:paraId="3FA8530F"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1º</w:t>
      </w:r>
      <w:r w:rsidRPr="007F75C5">
        <w:rPr>
          <w:rFonts w:ascii="Arial" w:hAnsi="Arial" w:cs="Arial"/>
          <w:sz w:val="23"/>
          <w:szCs w:val="23"/>
        </w:rPr>
        <w:t xml:space="preserve"> O acompanhamento e o controle, por parte do Tribunal de Contas do Estado do Paraná, da aplicação dos recursos públicos destinados à organização e à realização da Copa do Mundo de Futebol de 2014, doravante denominada Copa do Mundo de 2014, serão realizados de acordo com as disposições desta Resolução.</w:t>
      </w:r>
    </w:p>
    <w:p w14:paraId="3787368C"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 1º O acompanhamento e o controle de que trata o </w:t>
      </w:r>
      <w:r w:rsidRPr="007F75C5">
        <w:rPr>
          <w:rFonts w:ascii="Arial" w:hAnsi="Arial" w:cs="Arial"/>
          <w:i/>
          <w:sz w:val="23"/>
          <w:szCs w:val="23"/>
        </w:rPr>
        <w:t>caput</w:t>
      </w:r>
      <w:r w:rsidRPr="007F75C5">
        <w:rPr>
          <w:rFonts w:ascii="Arial" w:hAnsi="Arial" w:cs="Arial"/>
          <w:sz w:val="23"/>
          <w:szCs w:val="23"/>
        </w:rPr>
        <w:t xml:space="preserve"> serão promovidos também mediante ações conjuntas com os outros partícipes da Rede de Controle, em especial com Tribunal de Contas da União, por meio de auditorias integradas e adoção de ações coordenadas, tempestivas, preventivas e proativas que evitem a ocorrência de irregularidades e garantam a realização da Copa do Mundo de 2014. </w:t>
      </w:r>
    </w:p>
    <w:p w14:paraId="5944795E"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 2º O Tribunal poderá firmar parcerias com outros órgãos e entidades de fiscalização e controle, a fim de favorecer o intercâmbio de informações e </w:t>
      </w:r>
      <w:r w:rsidRPr="007F75C5">
        <w:rPr>
          <w:rFonts w:ascii="Arial" w:hAnsi="Arial" w:cs="Arial"/>
          <w:sz w:val="23"/>
          <w:szCs w:val="23"/>
        </w:rPr>
        <w:lastRenderedPageBreak/>
        <w:t xml:space="preserve">estabelecer sistemática de atuação conjunta, visando a aumentar a efetividade das ações de controle dos gastos públicos envolvidos no evento. </w:t>
      </w:r>
    </w:p>
    <w:p w14:paraId="32F0E331"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 3º As ações que forem, no todo ou em parte, custeadas com recursos federais estarão também sujeitas à atuação complementar do Tribunal de Contas do Estado do Paraná, sem prejuízo do controle e à fiscalização pelo Tribunal de Contas da União, nos moldes do que determina o Protocolo de Intenções firmado com aquela Corte. </w:t>
      </w:r>
    </w:p>
    <w:p w14:paraId="21303325"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2º</w:t>
      </w:r>
      <w:r w:rsidRPr="007F75C5">
        <w:rPr>
          <w:rFonts w:ascii="Arial" w:hAnsi="Arial" w:cs="Arial"/>
          <w:sz w:val="23"/>
          <w:szCs w:val="23"/>
        </w:rPr>
        <w:t xml:space="preserve"> O IPPUC, a SEDU/COMEC e o(s) Comitê(s) nomeado(s) para as ações da Copa deverão encaminhar</w:t>
      </w:r>
      <w:r w:rsidRPr="007F75C5">
        <w:rPr>
          <w:rFonts w:ascii="Arial" w:hAnsi="Arial" w:cs="Arial"/>
          <w:color w:val="7030A0"/>
          <w:sz w:val="23"/>
          <w:szCs w:val="23"/>
        </w:rPr>
        <w:t xml:space="preserve"> </w:t>
      </w:r>
      <w:r w:rsidRPr="007F75C5">
        <w:rPr>
          <w:rFonts w:ascii="Arial" w:hAnsi="Arial" w:cs="Arial"/>
          <w:sz w:val="23"/>
          <w:szCs w:val="23"/>
        </w:rPr>
        <w:t>ao Tribunal as matrizes de responsabilidades, que deverão contemplar todos os compromissos assumidos no caderno de encargos da Copa do Mundo de 2014 e conter a definição das atribuições do Estado e do Município de Curitiba, bem como os prazos, recursos envolvidos e respectivas fontes.</w:t>
      </w:r>
    </w:p>
    <w:p w14:paraId="5126D7AD" w14:textId="77777777" w:rsidR="006F1BEA" w:rsidRPr="007F75C5" w:rsidRDefault="006F1BEA" w:rsidP="006F1BEA">
      <w:pPr>
        <w:spacing w:before="120" w:after="120"/>
        <w:ind w:firstLine="1134"/>
        <w:jc w:val="both"/>
        <w:rPr>
          <w:rFonts w:ascii="Arial" w:hAnsi="Arial" w:cs="Arial"/>
          <w:color w:val="7030A0"/>
          <w:sz w:val="23"/>
          <w:szCs w:val="23"/>
        </w:rPr>
      </w:pPr>
      <w:r w:rsidRPr="007F75C5">
        <w:rPr>
          <w:rFonts w:ascii="Arial" w:hAnsi="Arial" w:cs="Arial"/>
          <w:sz w:val="23"/>
          <w:szCs w:val="23"/>
        </w:rPr>
        <w:t xml:space="preserve">Parágrafo único. As alterações nas matrizes de que trata o </w:t>
      </w:r>
      <w:r w:rsidRPr="007F75C5">
        <w:rPr>
          <w:rFonts w:ascii="Arial" w:hAnsi="Arial" w:cs="Arial"/>
          <w:i/>
          <w:sz w:val="23"/>
          <w:szCs w:val="23"/>
        </w:rPr>
        <w:t>caput</w:t>
      </w:r>
      <w:r w:rsidRPr="007F75C5">
        <w:rPr>
          <w:rFonts w:ascii="Arial" w:hAnsi="Arial" w:cs="Arial"/>
          <w:sz w:val="23"/>
          <w:szCs w:val="23"/>
        </w:rPr>
        <w:t xml:space="preserve"> deverão ser comunicadas pelos responsáveis ao Tribunal no prazo de até 10 (dez) dias após a data da modificação, sob pena de aplicação de multa prevista no artigo 87, inciso I, alínea </w:t>
      </w:r>
      <w:r w:rsidRPr="007F75C5">
        <w:rPr>
          <w:rFonts w:ascii="Arial" w:hAnsi="Arial" w:cs="Arial"/>
          <w:i/>
          <w:sz w:val="23"/>
          <w:szCs w:val="23"/>
        </w:rPr>
        <w:t>“b”</w:t>
      </w:r>
      <w:r w:rsidRPr="007F75C5">
        <w:rPr>
          <w:rFonts w:ascii="Arial" w:hAnsi="Arial" w:cs="Arial"/>
          <w:sz w:val="23"/>
          <w:szCs w:val="23"/>
        </w:rPr>
        <w:t xml:space="preserve"> da Lei Orgânica do Tribunal.</w:t>
      </w:r>
      <w:r w:rsidRPr="007F75C5">
        <w:rPr>
          <w:rFonts w:ascii="Arial" w:hAnsi="Arial" w:cs="Arial"/>
          <w:color w:val="7030A0"/>
          <w:sz w:val="23"/>
          <w:szCs w:val="23"/>
        </w:rPr>
        <w:t xml:space="preserve"> </w:t>
      </w:r>
    </w:p>
    <w:p w14:paraId="5A2CDB64"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3º</w:t>
      </w:r>
      <w:r w:rsidRPr="007F75C5">
        <w:rPr>
          <w:rFonts w:ascii="Arial" w:hAnsi="Arial" w:cs="Arial"/>
          <w:sz w:val="23"/>
          <w:szCs w:val="23"/>
        </w:rPr>
        <w:t xml:space="preserve"> Todos os atos que gerem despesas deverão ser comunicados a este Tribunal, através de protocolo próprio e dirigido ao Presidente da Comissão para efeitos de controle externo, no prazo de até 5 (cinco) dias da sua efetivação, sob pena de aplicação da multa prevista no artigo 87, III, </w:t>
      </w:r>
      <w:r w:rsidRPr="007F75C5">
        <w:rPr>
          <w:rFonts w:ascii="Arial" w:hAnsi="Arial" w:cs="Arial"/>
          <w:i/>
          <w:sz w:val="23"/>
          <w:szCs w:val="23"/>
        </w:rPr>
        <w:t>“f”,</w:t>
      </w:r>
      <w:r w:rsidRPr="007F75C5">
        <w:rPr>
          <w:rFonts w:ascii="Arial" w:hAnsi="Arial" w:cs="Arial"/>
          <w:sz w:val="23"/>
          <w:szCs w:val="23"/>
        </w:rPr>
        <w:t xml:space="preserve"> da lei Complementar nº 113/2005. </w:t>
      </w:r>
    </w:p>
    <w:p w14:paraId="05E9797A" w14:textId="77777777" w:rsidR="006F1BEA" w:rsidRPr="007F75C5" w:rsidRDefault="006F1BEA" w:rsidP="006F1BEA">
      <w:pPr>
        <w:spacing w:before="120" w:after="120"/>
        <w:ind w:firstLine="1134"/>
        <w:jc w:val="both"/>
        <w:rPr>
          <w:rFonts w:ascii="Arial" w:hAnsi="Arial" w:cs="Arial"/>
          <w:color w:val="FF0000"/>
          <w:sz w:val="23"/>
          <w:szCs w:val="23"/>
        </w:rPr>
      </w:pPr>
      <w:r w:rsidRPr="007F75C5">
        <w:rPr>
          <w:rFonts w:ascii="Arial" w:hAnsi="Arial" w:cs="Arial"/>
          <w:sz w:val="23"/>
          <w:szCs w:val="23"/>
        </w:rPr>
        <w:t>Parágrafo Único: As obras e/ou serviços de engenharia, executados por entes privados que receberem recursos públicos, seja através de empréstimos oriundos diretamente do governo em seus diversos níveis ou por meio de empréstimos de bancos estatais, conforme o previsto em Termos de Compromissos e na legislação pertinente serão acompanhadas e fiscalizadas por este Tribunal, sendo avaliadas do ponto de vista econômico, financeiro, técnico e de pertinência.</w:t>
      </w:r>
    </w:p>
    <w:p w14:paraId="68E5F13E"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4º</w:t>
      </w:r>
      <w:r w:rsidRPr="007F75C5">
        <w:rPr>
          <w:rFonts w:ascii="Arial" w:hAnsi="Arial" w:cs="Arial"/>
          <w:sz w:val="23"/>
          <w:szCs w:val="23"/>
        </w:rPr>
        <w:t xml:space="preserve"> Os órgãos executores das ações previstas nas matrizes de que trata o art. 2º e art. 3º designarão um responsável para que responda junto ao Tribunal de Contas as solicitações e informações requeridas.</w:t>
      </w:r>
    </w:p>
    <w:p w14:paraId="5864D301"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 1º Sem prejuízo de outras atribuições, caberá ao responsável: </w:t>
      </w:r>
    </w:p>
    <w:p w14:paraId="2EFFB464"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I – servir de interlocutor com o Tribunal; </w:t>
      </w:r>
    </w:p>
    <w:p w14:paraId="22B830CE"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II – manter atualizadas as informações referentes à organização e realização das obras da Copa 2014 perante esta Corte;</w:t>
      </w:r>
    </w:p>
    <w:p w14:paraId="0F350576"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III – manter de forma organizada os documentos referentes à organização e realização das obras da Copa 2014 a fim de possibilitar a análise da consistência das informações sobre as obras e serviços de engenharia contratadas ou em processo de licitação, bem como racionalizar as atividades de fiscalização deste Tribunal no seu regular exercício do controle externo; </w:t>
      </w:r>
    </w:p>
    <w:p w14:paraId="001F434F"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IV – manter disponíveis os extratos bancários referentes às contas específicas vinculadas a cada contrato de empréstimo.</w:t>
      </w:r>
    </w:p>
    <w:p w14:paraId="4A65CD18"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lastRenderedPageBreak/>
        <w:t>§ 2º Os órgãos estaduais e municipais executores, repassadores ou financiadores de ações da Copa do Mundo de 2014 disponibilizarão o acesso aos dados e documentos de que trata a Resolução 04/2006 deste Tribunal, referentes aos contratos celebrados e às despesas efetuadas, inclusive as anteriores à vigência desta Norma, no prazo de até 30 (trinta) dias a contar da publicação desta Resolução.</w:t>
      </w:r>
    </w:p>
    <w:p w14:paraId="66ECC5E4"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5°</w:t>
      </w:r>
      <w:r w:rsidRPr="007F75C5">
        <w:rPr>
          <w:rFonts w:ascii="Arial" w:hAnsi="Arial" w:cs="Arial"/>
          <w:sz w:val="23"/>
          <w:szCs w:val="23"/>
        </w:rPr>
        <w:t xml:space="preserve"> Será concedido acesso irrestrito aos servidores do Tribunal de Contas do Estado do Paraná nomeados através de Portaria para atuarem nos trabalhos de fiscalização das obras da Copa de 2014 e devidamente identificados: </w:t>
      </w:r>
    </w:p>
    <w:p w14:paraId="2470BA4F"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I – ao conjunto de documentos especificados no artigo 5º da Resolução n.º 04/2006, a fim de possibilitar a análise da consistência das informações;</w:t>
      </w:r>
    </w:p>
    <w:p w14:paraId="13A8338E"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 xml:space="preserve">II – aos canteiros de obras e ambientes de realização dos eventos/atividades; </w:t>
      </w:r>
    </w:p>
    <w:p w14:paraId="36CE93AC"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sz w:val="23"/>
          <w:szCs w:val="23"/>
        </w:rPr>
        <w:t>III – aos sistemas informatizados dos entes públicos, nos níveis necessários à obtenção nas informações necessárias às ações de Controle.</w:t>
      </w:r>
    </w:p>
    <w:p w14:paraId="2E03F318"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6º</w:t>
      </w:r>
      <w:r w:rsidRPr="007F75C5">
        <w:rPr>
          <w:rFonts w:ascii="Arial" w:hAnsi="Arial" w:cs="Arial"/>
          <w:sz w:val="23"/>
          <w:szCs w:val="23"/>
        </w:rPr>
        <w:t xml:space="preserve"> Os processos que venham a ser constituídos no Tribunal referentes à organização e à realização da Copa 2014 serão distribuídos ao Conselheiro Presidente da Comissão responsável pela execução das ações de fiscalização dos recursos públicos aplicados para a realização da Copa do Mundo de Futebol de 2014, até que se esgote a entrada de documentos no TCE/PR relativos à matéria, com compensação para o gabinete do Relator. </w:t>
      </w:r>
    </w:p>
    <w:p w14:paraId="6891AFBD" w14:textId="77777777" w:rsidR="006F1BEA" w:rsidRPr="007F75C5" w:rsidRDefault="006F1BEA" w:rsidP="006F1BEA">
      <w:pPr>
        <w:spacing w:before="120" w:after="120"/>
        <w:ind w:firstLine="1134"/>
        <w:jc w:val="both"/>
        <w:rPr>
          <w:rFonts w:ascii="Arial" w:hAnsi="Arial" w:cs="Arial"/>
          <w:sz w:val="23"/>
          <w:szCs w:val="23"/>
        </w:rPr>
      </w:pPr>
      <w:proofErr w:type="spellStart"/>
      <w:r w:rsidRPr="007F75C5">
        <w:rPr>
          <w:rFonts w:ascii="Arial" w:hAnsi="Arial" w:cs="Arial"/>
          <w:b/>
          <w:sz w:val="23"/>
          <w:szCs w:val="23"/>
        </w:rPr>
        <w:t>Art</w:t>
      </w:r>
      <w:proofErr w:type="spellEnd"/>
      <w:r w:rsidRPr="007F75C5">
        <w:rPr>
          <w:rFonts w:ascii="Arial" w:hAnsi="Arial" w:cs="Arial"/>
          <w:b/>
          <w:sz w:val="23"/>
          <w:szCs w:val="23"/>
        </w:rPr>
        <w:t xml:space="preserve"> 7º</w:t>
      </w:r>
      <w:r w:rsidRPr="007F75C5">
        <w:rPr>
          <w:rFonts w:ascii="Arial" w:hAnsi="Arial" w:cs="Arial"/>
          <w:sz w:val="23"/>
          <w:szCs w:val="23"/>
        </w:rPr>
        <w:t xml:space="preserve"> No curso da fiscalização, se verificado ato ou procedimento de que possa resultar dano ao erário ou que configure ilegalidade ou irregularidade, os técnicos que compõem a Comissão designada por Portaria comunicarão ao Presidente da mesma que exercerá o juízo de admissibilidade nos termos do artigo 32, X, determinando sua autuação, aplicando-se no que couberem, as disposições dos artigos 262 e 268, todos do Regimento Interno desta Corte.</w:t>
      </w:r>
    </w:p>
    <w:p w14:paraId="380FE590" w14:textId="56E31039" w:rsidR="006F1BEA" w:rsidRPr="007F75C5" w:rsidRDefault="006F1BEA" w:rsidP="006F1BEA">
      <w:pPr>
        <w:spacing w:before="120" w:after="120"/>
        <w:ind w:firstLine="1134"/>
        <w:jc w:val="both"/>
        <w:rPr>
          <w:rFonts w:ascii="Arial" w:hAnsi="Arial" w:cs="Arial"/>
          <w:sz w:val="23"/>
          <w:szCs w:val="23"/>
        </w:rPr>
      </w:pPr>
      <w:proofErr w:type="spellStart"/>
      <w:r w:rsidRPr="007F75C5">
        <w:rPr>
          <w:rFonts w:ascii="Arial" w:hAnsi="Arial" w:cs="Arial"/>
          <w:b/>
          <w:sz w:val="23"/>
          <w:szCs w:val="23"/>
        </w:rPr>
        <w:t>Art</w:t>
      </w:r>
      <w:proofErr w:type="spellEnd"/>
      <w:r w:rsidRPr="007F75C5">
        <w:rPr>
          <w:rFonts w:ascii="Arial" w:hAnsi="Arial" w:cs="Arial"/>
          <w:b/>
          <w:sz w:val="23"/>
          <w:szCs w:val="23"/>
        </w:rPr>
        <w:t xml:space="preserve"> 8º</w:t>
      </w:r>
      <w:r w:rsidRPr="007F75C5">
        <w:rPr>
          <w:rFonts w:ascii="Arial" w:hAnsi="Arial" w:cs="Arial"/>
          <w:sz w:val="23"/>
          <w:szCs w:val="23"/>
        </w:rPr>
        <w:t xml:space="preserve"> O descumprimento desta Resolução sujeita o responsável à multa prevista no Artigo 87, III, </w:t>
      </w:r>
      <w:r w:rsidRPr="007F75C5">
        <w:rPr>
          <w:rFonts w:ascii="Arial" w:hAnsi="Arial" w:cs="Arial"/>
          <w:i/>
          <w:sz w:val="23"/>
          <w:szCs w:val="23"/>
        </w:rPr>
        <w:t>“f”</w:t>
      </w:r>
      <w:r w:rsidRPr="007F75C5">
        <w:rPr>
          <w:rFonts w:ascii="Arial" w:hAnsi="Arial" w:cs="Arial"/>
          <w:sz w:val="23"/>
          <w:szCs w:val="23"/>
        </w:rPr>
        <w:t>, da LC 113/05.</w:t>
      </w:r>
    </w:p>
    <w:p w14:paraId="54E6A179" w14:textId="77777777" w:rsidR="006F1BEA" w:rsidRPr="007F75C5" w:rsidRDefault="006F1BEA" w:rsidP="006F1BEA">
      <w:pPr>
        <w:spacing w:before="120" w:after="120"/>
        <w:ind w:firstLine="1134"/>
        <w:jc w:val="both"/>
        <w:rPr>
          <w:rFonts w:ascii="Arial" w:hAnsi="Arial" w:cs="Arial"/>
          <w:sz w:val="23"/>
          <w:szCs w:val="23"/>
        </w:rPr>
      </w:pPr>
      <w:r w:rsidRPr="007F75C5">
        <w:rPr>
          <w:rFonts w:ascii="Arial" w:hAnsi="Arial" w:cs="Arial"/>
          <w:b/>
          <w:sz w:val="23"/>
          <w:szCs w:val="23"/>
        </w:rPr>
        <w:t>Art. 9°</w:t>
      </w:r>
      <w:r w:rsidRPr="007F75C5">
        <w:rPr>
          <w:rFonts w:ascii="Arial" w:hAnsi="Arial" w:cs="Arial"/>
          <w:sz w:val="23"/>
          <w:szCs w:val="23"/>
        </w:rPr>
        <w:t xml:space="preserve"> Esta Resolução entra em vigor na data de sua publicação. </w:t>
      </w:r>
    </w:p>
    <w:p w14:paraId="126785A7" w14:textId="77777777" w:rsidR="006F1BEA" w:rsidRPr="007F75C5" w:rsidRDefault="006F1BEA" w:rsidP="006F1BEA">
      <w:pPr>
        <w:jc w:val="center"/>
        <w:rPr>
          <w:sz w:val="23"/>
          <w:szCs w:val="23"/>
        </w:rPr>
      </w:pPr>
    </w:p>
    <w:p w14:paraId="287F02FA" w14:textId="419A9E18" w:rsidR="006F1BEA" w:rsidRPr="007F75C5" w:rsidRDefault="006F1BEA" w:rsidP="006F1BEA">
      <w:pPr>
        <w:jc w:val="center"/>
        <w:rPr>
          <w:rFonts w:ascii="Arial" w:hAnsi="Arial" w:cs="Arial"/>
          <w:sz w:val="23"/>
          <w:szCs w:val="23"/>
        </w:rPr>
      </w:pPr>
      <w:r w:rsidRPr="007F75C5">
        <w:rPr>
          <w:rFonts w:ascii="Arial" w:hAnsi="Arial" w:cs="Arial"/>
          <w:sz w:val="23"/>
          <w:szCs w:val="23"/>
        </w:rPr>
        <w:t>Sala das Sessões, em 2 de junho de 2011.</w:t>
      </w:r>
    </w:p>
    <w:p w14:paraId="2BA20A36" w14:textId="77777777" w:rsidR="006F1BEA" w:rsidRDefault="006F1BEA" w:rsidP="006F1BEA">
      <w:pPr>
        <w:jc w:val="center"/>
        <w:rPr>
          <w:rFonts w:ascii="Arial" w:hAnsi="Arial" w:cs="Arial"/>
          <w:sz w:val="24"/>
          <w:szCs w:val="24"/>
        </w:rPr>
      </w:pPr>
    </w:p>
    <w:p w14:paraId="026E87D9" w14:textId="77777777" w:rsidR="006F1BEA" w:rsidRDefault="006F1BEA" w:rsidP="006F1BEA">
      <w:pPr>
        <w:jc w:val="center"/>
        <w:rPr>
          <w:rFonts w:ascii="Arial" w:hAnsi="Arial" w:cs="Arial"/>
          <w:sz w:val="24"/>
          <w:szCs w:val="24"/>
        </w:rPr>
      </w:pPr>
    </w:p>
    <w:p w14:paraId="655E3538" w14:textId="77777777" w:rsidR="006F1BEA" w:rsidRDefault="006F1BEA" w:rsidP="006F1BEA">
      <w:pPr>
        <w:jc w:val="center"/>
        <w:rPr>
          <w:rFonts w:ascii="Arial" w:hAnsi="Arial" w:cs="Arial"/>
          <w:b/>
          <w:sz w:val="24"/>
          <w:szCs w:val="24"/>
        </w:rPr>
      </w:pPr>
    </w:p>
    <w:p w14:paraId="6A2C97AF" w14:textId="77777777" w:rsidR="006F1BEA" w:rsidRDefault="006F1BEA" w:rsidP="006F1BEA">
      <w:pPr>
        <w:jc w:val="center"/>
        <w:rPr>
          <w:rFonts w:ascii="Arial" w:hAnsi="Arial" w:cs="Arial"/>
          <w:b/>
          <w:sz w:val="24"/>
          <w:szCs w:val="24"/>
        </w:rPr>
      </w:pPr>
      <w:r>
        <w:rPr>
          <w:rFonts w:ascii="Arial" w:hAnsi="Arial" w:cs="Arial"/>
          <w:b/>
          <w:sz w:val="24"/>
          <w:szCs w:val="24"/>
        </w:rPr>
        <w:t>FERNANDO AUGUSTO MELLO GUIMARÃES</w:t>
      </w:r>
    </w:p>
    <w:p w14:paraId="4BC40C76" w14:textId="77777777" w:rsidR="006F1BEA" w:rsidRPr="00302C8B" w:rsidRDefault="006F1BEA" w:rsidP="00880A37">
      <w:pPr>
        <w:jc w:val="center"/>
        <w:rPr>
          <w:rFonts w:ascii="Arial" w:hAnsi="Arial" w:cs="Arial"/>
          <w:sz w:val="24"/>
          <w:szCs w:val="24"/>
        </w:rPr>
      </w:pPr>
      <w:r>
        <w:rPr>
          <w:rFonts w:ascii="Arial" w:hAnsi="Arial" w:cs="Arial"/>
          <w:b/>
          <w:sz w:val="24"/>
          <w:szCs w:val="24"/>
        </w:rPr>
        <w:t>Presidente</w:t>
      </w:r>
    </w:p>
    <w:p w14:paraId="3B1ED652" w14:textId="77777777" w:rsidR="002B3DA6" w:rsidRDefault="002B3DA6"/>
    <w:sectPr w:rsidR="002B3DA6" w:rsidSect="001E2666">
      <w:headerReference w:type="default" r:id="rId7"/>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3103" w14:textId="77777777" w:rsidR="008750B5" w:rsidRDefault="008750B5" w:rsidP="006F1BEA">
      <w:r>
        <w:separator/>
      </w:r>
    </w:p>
  </w:endnote>
  <w:endnote w:type="continuationSeparator" w:id="0">
    <w:p w14:paraId="3005A9F7" w14:textId="77777777" w:rsidR="008750B5" w:rsidRDefault="008750B5" w:rsidP="006F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A632" w14:textId="77777777" w:rsidR="008750B5" w:rsidRDefault="008750B5" w:rsidP="006F1BEA">
      <w:r>
        <w:separator/>
      </w:r>
    </w:p>
  </w:footnote>
  <w:footnote w:type="continuationSeparator" w:id="0">
    <w:p w14:paraId="46CC77DE" w14:textId="77777777" w:rsidR="008750B5" w:rsidRDefault="008750B5" w:rsidP="006F1BEA">
      <w:r>
        <w:continuationSeparator/>
      </w:r>
    </w:p>
  </w:footnote>
  <w:footnote w:id="1">
    <w:p w14:paraId="2738AAA7" w14:textId="2B5BB871" w:rsidR="006B02CA" w:rsidRPr="00B57EB2" w:rsidRDefault="006B02CA" w:rsidP="006B02CA">
      <w:pPr>
        <w:pStyle w:val="Textodenotaderodap"/>
        <w:jc w:val="both"/>
        <w:rPr>
          <w:rFonts w:ascii="Arial" w:hAnsi="Arial" w:cs="Arial"/>
        </w:rPr>
      </w:pPr>
      <w:r>
        <w:rPr>
          <w:rStyle w:val="Refdenotaderodap"/>
        </w:rPr>
        <w:footnoteRef/>
      </w:r>
      <w:r>
        <w:t xml:space="preserve"> </w:t>
      </w:r>
      <w:r w:rsidRPr="00B57EB2">
        <w:rPr>
          <w:rFonts w:ascii="Arial" w:hAnsi="Arial" w:cs="Arial"/>
          <w:b/>
        </w:rPr>
        <w:t>Nota da Biblioteca:</w:t>
      </w:r>
    </w:p>
    <w:p w14:paraId="7A5FCB63" w14:textId="395CE60A" w:rsidR="006B02CA" w:rsidRPr="007F75C5" w:rsidRDefault="006B02CA" w:rsidP="007619E1">
      <w:pPr>
        <w:pStyle w:val="Textodenotaderodap"/>
        <w:autoSpaceDE/>
        <w:autoSpaceDN/>
        <w:ind w:left="142"/>
        <w:jc w:val="both"/>
        <w:rPr>
          <w:rFonts w:ascii="Arial" w:hAnsi="Arial" w:cs="Arial"/>
          <w:sz w:val="18"/>
          <w:szCs w:val="18"/>
        </w:rPr>
      </w:pPr>
      <w:r w:rsidRPr="00B57EB2">
        <w:rPr>
          <w:rFonts w:ascii="Arial" w:hAnsi="Arial" w:cs="Arial"/>
        </w:rPr>
        <w:t xml:space="preserve">Este texto não substitui o publicado no periódico: </w:t>
      </w:r>
      <w:hyperlink r:id="rId1" w:history="1">
        <w:r w:rsidR="00B25A8D" w:rsidRPr="00B57EB2">
          <w:rPr>
            <w:rStyle w:val="Hyperlink"/>
            <w:rFonts w:ascii="Arial" w:hAnsi="Arial" w:cs="Arial"/>
            <w:b/>
          </w:rPr>
          <w:t>Atos</w:t>
        </w:r>
        <w:r w:rsidR="00B25A8D" w:rsidRPr="00B57EB2">
          <w:rPr>
            <w:rStyle w:val="Hyperlink"/>
            <w:rFonts w:ascii="Arial" w:hAnsi="Arial" w:cs="Arial"/>
          </w:rPr>
          <w:t xml:space="preserve"> </w:t>
        </w:r>
        <w:r w:rsidR="00B25A8D" w:rsidRPr="00B57EB2">
          <w:rPr>
            <w:rStyle w:val="Hyperlink"/>
            <w:rFonts w:ascii="Arial" w:hAnsi="Arial" w:cs="Arial"/>
            <w:b/>
            <w:bCs/>
          </w:rPr>
          <w:t>Oficiais do Tribunal de Contas do Estado do Paraná</w:t>
        </w:r>
        <w:r w:rsidR="00B25A8D" w:rsidRPr="00B57EB2">
          <w:rPr>
            <w:rStyle w:val="Hyperlink"/>
            <w:rFonts w:ascii="Arial" w:hAnsi="Arial" w:cs="Arial"/>
            <w:bCs/>
          </w:rPr>
          <w:t>,</w:t>
        </w:r>
        <w:r w:rsidR="00B25A8D" w:rsidRPr="00B57EB2">
          <w:rPr>
            <w:rStyle w:val="Hyperlink"/>
            <w:rFonts w:ascii="Arial" w:hAnsi="Arial" w:cs="Arial"/>
          </w:rPr>
          <w:t xml:space="preserve"> Curitiba, PR, n. 303, 10 jun. 2011, p. 109-110</w:t>
        </w:r>
      </w:hyperlink>
      <w:r w:rsidR="00B25A8D" w:rsidRPr="00B57EB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4A0" w:firstRow="1" w:lastRow="0" w:firstColumn="1" w:lastColumn="0" w:noHBand="0" w:noVBand="1"/>
    </w:tblPr>
    <w:tblGrid>
      <w:gridCol w:w="1080"/>
      <w:gridCol w:w="7380"/>
    </w:tblGrid>
    <w:tr w:rsidR="006F1BEA" w14:paraId="654D0398" w14:textId="77777777" w:rsidTr="006F1BEA">
      <w:tc>
        <w:tcPr>
          <w:tcW w:w="1080" w:type="dxa"/>
          <w:hideMark/>
        </w:tcPr>
        <w:p w14:paraId="27AD1DC7" w14:textId="77777777" w:rsidR="006F1BEA" w:rsidRDefault="00880A37">
          <w:pPr>
            <w:tabs>
              <w:tab w:val="left" w:pos="0"/>
            </w:tabs>
            <w:overflowPunct w:val="0"/>
            <w:adjustRightInd w:val="0"/>
            <w:spacing w:line="276" w:lineRule="auto"/>
            <w:ind w:hanging="70"/>
            <w:jc w:val="center"/>
            <w:rPr>
              <w:rFonts w:ascii="Arial" w:hAnsi="Arial" w:cs="Arial"/>
              <w:sz w:val="44"/>
              <w:szCs w:val="24"/>
            </w:rPr>
          </w:pPr>
          <w:r w:rsidRPr="00880A37">
            <w:rPr>
              <w:rFonts w:cs="Arial"/>
              <w:noProof/>
              <w:sz w:val="28"/>
            </w:rPr>
            <w:pict w14:anchorId="57F47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brasao_pr_pequeno" style="width:43.55pt;height:57.75pt;visibility:visible">
                <v:imagedata r:id="rId1" o:title="brasao_pr_pequeno"/>
              </v:shape>
            </w:pict>
          </w:r>
        </w:p>
      </w:tc>
      <w:tc>
        <w:tcPr>
          <w:tcW w:w="7380" w:type="dxa"/>
          <w:hideMark/>
        </w:tcPr>
        <w:p w14:paraId="375C26E5" w14:textId="77777777" w:rsidR="006F1BEA" w:rsidRPr="001E2666" w:rsidRDefault="006F1BEA" w:rsidP="001E2666">
          <w:pPr>
            <w:pStyle w:val="Ttulo2"/>
            <w:spacing w:line="276" w:lineRule="auto"/>
            <w:ind w:firstLine="263"/>
            <w:rPr>
              <w:i w:val="0"/>
            </w:rPr>
          </w:pPr>
          <w:r w:rsidRPr="001E2666">
            <w:rPr>
              <w:i w:val="0"/>
            </w:rPr>
            <w:t>TRIBUNAL DE CONTAS DO ESTADO DO PARANÁ</w:t>
          </w:r>
        </w:p>
      </w:tc>
    </w:tr>
  </w:tbl>
  <w:p w14:paraId="568FC758" w14:textId="77777777" w:rsidR="006F1BEA" w:rsidRDefault="006F1B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A0A"/>
    <w:multiLevelType w:val="hybridMultilevel"/>
    <w:tmpl w:val="7D80FE32"/>
    <w:lvl w:ilvl="0" w:tplc="766A26E0">
      <w:start w:val="1"/>
      <w:numFmt w:val="lowerLetter"/>
      <w:lvlText w:val="%1)"/>
      <w:lvlJc w:val="left"/>
      <w:rPr>
        <w:b w:val="0"/>
        <w:bCs w:val="0"/>
        <w:color w:val="auto"/>
        <w:sz w:val="20"/>
        <w:szCs w:val="20"/>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num w:numId="1" w16cid:durableId="213983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BEA"/>
    <w:rsid w:val="001E2666"/>
    <w:rsid w:val="002B3DA6"/>
    <w:rsid w:val="00436C47"/>
    <w:rsid w:val="00511934"/>
    <w:rsid w:val="005B2595"/>
    <w:rsid w:val="00682AAC"/>
    <w:rsid w:val="006B02CA"/>
    <w:rsid w:val="006F1BEA"/>
    <w:rsid w:val="007619E1"/>
    <w:rsid w:val="007B4B9A"/>
    <w:rsid w:val="007F75C5"/>
    <w:rsid w:val="008750B5"/>
    <w:rsid w:val="00880A37"/>
    <w:rsid w:val="00AA5E1F"/>
    <w:rsid w:val="00B25A8D"/>
    <w:rsid w:val="00B57EB2"/>
    <w:rsid w:val="00B84ACF"/>
    <w:rsid w:val="00CA2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AFCF"/>
  <w15:chartTrackingRefBased/>
  <w15:docId w15:val="{860637B9-2842-4851-B547-877278A0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EA"/>
    <w:pPr>
      <w:autoSpaceDE w:val="0"/>
      <w:autoSpaceDN w:val="0"/>
    </w:pPr>
    <w:rPr>
      <w:rFonts w:ascii="Times New Roman" w:eastAsia="Times New Roman" w:hAnsi="Times New Roman"/>
    </w:rPr>
  </w:style>
  <w:style w:type="paragraph" w:styleId="Ttulo2">
    <w:name w:val="heading 2"/>
    <w:basedOn w:val="Normal"/>
    <w:next w:val="Normal"/>
    <w:link w:val="Ttulo2Char"/>
    <w:unhideWhenUsed/>
    <w:qFormat/>
    <w:rsid w:val="006F1BEA"/>
    <w:pPr>
      <w:keepNext/>
      <w:autoSpaceDE/>
      <w:autoSpaceDN/>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1BEA"/>
    <w:pPr>
      <w:tabs>
        <w:tab w:val="center" w:pos="4252"/>
        <w:tab w:val="right" w:pos="8504"/>
      </w:tabs>
    </w:pPr>
  </w:style>
  <w:style w:type="character" w:customStyle="1" w:styleId="CabealhoChar">
    <w:name w:val="Cabeçalho Char"/>
    <w:link w:val="Cabealho"/>
    <w:uiPriority w:val="99"/>
    <w:rsid w:val="006F1BE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F1BEA"/>
    <w:pPr>
      <w:tabs>
        <w:tab w:val="center" w:pos="4252"/>
        <w:tab w:val="right" w:pos="8504"/>
      </w:tabs>
    </w:pPr>
  </w:style>
  <w:style w:type="character" w:customStyle="1" w:styleId="RodapChar">
    <w:name w:val="Rodapé Char"/>
    <w:link w:val="Rodap"/>
    <w:uiPriority w:val="99"/>
    <w:rsid w:val="006F1BEA"/>
    <w:rPr>
      <w:rFonts w:ascii="Times New Roman" w:eastAsia="Times New Roman" w:hAnsi="Times New Roman" w:cs="Times New Roman"/>
      <w:sz w:val="20"/>
      <w:szCs w:val="20"/>
      <w:lang w:eastAsia="pt-BR"/>
    </w:rPr>
  </w:style>
  <w:style w:type="character" w:customStyle="1" w:styleId="Ttulo2Char">
    <w:name w:val="Título 2 Char"/>
    <w:link w:val="Ttulo2"/>
    <w:rsid w:val="006F1BEA"/>
    <w:rPr>
      <w:rFonts w:ascii="Arial" w:eastAsia="Times New Roman" w:hAnsi="Arial" w:cs="Arial"/>
      <w:b/>
      <w:bCs/>
      <w:i/>
      <w:iCs/>
      <w:sz w:val="28"/>
      <w:szCs w:val="28"/>
      <w:lang w:eastAsia="pt-BR"/>
    </w:rPr>
  </w:style>
  <w:style w:type="paragraph" w:styleId="Textodebalo">
    <w:name w:val="Balloon Text"/>
    <w:basedOn w:val="Normal"/>
    <w:link w:val="TextodebaloChar"/>
    <w:uiPriority w:val="99"/>
    <w:semiHidden/>
    <w:unhideWhenUsed/>
    <w:rsid w:val="006F1BEA"/>
    <w:rPr>
      <w:rFonts w:ascii="Tahoma" w:hAnsi="Tahoma" w:cs="Tahoma"/>
      <w:sz w:val="16"/>
      <w:szCs w:val="16"/>
    </w:rPr>
  </w:style>
  <w:style w:type="character" w:customStyle="1" w:styleId="TextodebaloChar">
    <w:name w:val="Texto de balão Char"/>
    <w:link w:val="Textodebalo"/>
    <w:uiPriority w:val="99"/>
    <w:semiHidden/>
    <w:rsid w:val="006F1BEA"/>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6B02CA"/>
  </w:style>
  <w:style w:type="character" w:customStyle="1" w:styleId="TextodenotaderodapChar">
    <w:name w:val="Texto de nota de rodapé Char"/>
    <w:link w:val="Textodenotaderodap"/>
    <w:rsid w:val="006B02CA"/>
    <w:rPr>
      <w:rFonts w:ascii="Times New Roman" w:eastAsia="Times New Roman" w:hAnsi="Times New Roman"/>
    </w:rPr>
  </w:style>
  <w:style w:type="character" w:styleId="Refdenotaderodap">
    <w:name w:val="footnote reference"/>
    <w:uiPriority w:val="99"/>
    <w:semiHidden/>
    <w:unhideWhenUsed/>
    <w:rsid w:val="006B02CA"/>
    <w:rPr>
      <w:vertAlign w:val="superscript"/>
    </w:rPr>
  </w:style>
  <w:style w:type="character" w:styleId="Hyperlink">
    <w:name w:val="Hyperlink"/>
    <w:uiPriority w:val="99"/>
    <w:rsid w:val="006B02CA"/>
    <w:rPr>
      <w:color w:val="0000FF"/>
      <w:u w:val="single"/>
    </w:rPr>
  </w:style>
  <w:style w:type="character" w:styleId="Forte">
    <w:name w:val="Strong"/>
    <w:uiPriority w:val="22"/>
    <w:qFormat/>
    <w:rsid w:val="006B02CA"/>
    <w:rPr>
      <w:b/>
      <w:bCs/>
    </w:rPr>
  </w:style>
  <w:style w:type="character" w:styleId="MenoPendente">
    <w:name w:val="Unresolved Mention"/>
    <w:uiPriority w:val="99"/>
    <w:semiHidden/>
    <w:unhideWhenUsed/>
    <w:rsid w:val="00AA5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558746">
      <w:bodyDiv w:val="1"/>
      <w:marLeft w:val="0"/>
      <w:marRight w:val="0"/>
      <w:marTop w:val="0"/>
      <w:marBottom w:val="0"/>
      <w:divBdr>
        <w:top w:val="none" w:sz="0" w:space="0" w:color="auto"/>
        <w:left w:val="none" w:sz="0" w:space="0" w:color="auto"/>
        <w:bottom w:val="none" w:sz="0" w:space="0" w:color="auto"/>
        <w:right w:val="none" w:sz="0" w:space="0" w:color="auto"/>
      </w:divBdr>
    </w:div>
    <w:div w:id="19258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1.tce.pr.gov.br/multimidia/2011/6/pdf/000002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1143</Words>
  <Characters>6176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tc514268</dc:creator>
  <cp:keywords/>
  <cp:lastModifiedBy>Yarusya Fonseca</cp:lastModifiedBy>
  <cp:revision>10</cp:revision>
  <dcterms:created xsi:type="dcterms:W3CDTF">2022-07-06T16:00:00Z</dcterms:created>
  <dcterms:modified xsi:type="dcterms:W3CDTF">2022-07-06T16:07:00Z</dcterms:modified>
</cp:coreProperties>
</file>