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38E2" w14:textId="56FA0A81" w:rsidR="00784275" w:rsidRPr="008F57F5" w:rsidRDefault="00784275" w:rsidP="008F57F5">
      <w:pPr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bookmarkStart w:id="0" w:name="_Hlk74147369"/>
      <w:r w:rsidRPr="008F57F5">
        <w:rPr>
          <w:rFonts w:ascii="Arial" w:hAnsi="Arial" w:cs="Arial"/>
          <w:b/>
          <w:bCs/>
          <w:sz w:val="28"/>
          <w:szCs w:val="28"/>
        </w:rPr>
        <w:t>RESOLUÇÃO</w:t>
      </w:r>
      <w:r w:rsidR="008F57F5" w:rsidRPr="008F57F5">
        <w:rPr>
          <w:rFonts w:ascii="Arial" w:hAnsi="Arial" w:cs="Arial"/>
          <w:b/>
          <w:bCs/>
          <w:sz w:val="28"/>
          <w:szCs w:val="28"/>
        </w:rPr>
        <w:t xml:space="preserve"> Nº 86/2021</w:t>
      </w:r>
      <w:r w:rsidR="00A90E9D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7993F2DD" w14:textId="77777777" w:rsidR="00784275" w:rsidRPr="008F57F5" w:rsidRDefault="00784275" w:rsidP="0011623E">
      <w:pPr>
        <w:spacing w:before="360" w:after="360" w:line="240" w:lineRule="auto"/>
        <w:ind w:left="4536"/>
        <w:jc w:val="both"/>
        <w:rPr>
          <w:rFonts w:ascii="Arial" w:hAnsi="Arial" w:cs="Arial"/>
          <w:i/>
          <w:iCs/>
        </w:rPr>
      </w:pPr>
      <w:r w:rsidRPr="008F57F5">
        <w:rPr>
          <w:rFonts w:ascii="Arial" w:hAnsi="Arial" w:cs="Arial"/>
          <w:i/>
          <w:iCs/>
        </w:rPr>
        <w:t>Dispõe sobre critérios e diretrizes para conferir maior transparência e melhores controles interno, externo e social sobre o transporte público coletivo de passageiros municipal e intermunicipal durante a pandemia da Covid-19.</w:t>
      </w:r>
    </w:p>
    <w:p w14:paraId="3BD91467" w14:textId="6596C478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 xml:space="preserve">O </w:t>
      </w:r>
      <w:r w:rsidRPr="008F57F5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8F57F5">
        <w:rPr>
          <w:rFonts w:ascii="Arial" w:hAnsi="Arial" w:cs="Arial"/>
          <w:sz w:val="24"/>
          <w:szCs w:val="24"/>
        </w:rPr>
        <w:t xml:space="preserve">, no uso das atribuições institucionais estabelecidas na Constituição do Estado, e com base nos </w:t>
      </w:r>
      <w:proofErr w:type="spellStart"/>
      <w:r w:rsidRPr="008F57F5">
        <w:rPr>
          <w:rFonts w:ascii="Arial" w:hAnsi="Arial" w:cs="Arial"/>
          <w:sz w:val="24"/>
          <w:szCs w:val="24"/>
        </w:rPr>
        <w:t>arts</w:t>
      </w:r>
      <w:proofErr w:type="spellEnd"/>
      <w:r w:rsidRPr="008F57F5">
        <w:rPr>
          <w:rFonts w:ascii="Arial" w:hAnsi="Arial" w:cs="Arial"/>
          <w:sz w:val="24"/>
          <w:szCs w:val="24"/>
        </w:rPr>
        <w:t xml:space="preserve">. 2º, I, e 116, XII, e parágrafo único, da Lei Complementar nº 113, de 15 de dezembro de 2005, e no art. 5º, XIII, c/c os </w:t>
      </w:r>
      <w:proofErr w:type="spellStart"/>
      <w:r w:rsidRPr="008F57F5">
        <w:rPr>
          <w:rFonts w:ascii="Arial" w:hAnsi="Arial" w:cs="Arial"/>
          <w:sz w:val="24"/>
          <w:szCs w:val="24"/>
        </w:rPr>
        <w:t>arts</w:t>
      </w:r>
      <w:proofErr w:type="spellEnd"/>
      <w:r w:rsidRPr="008F57F5">
        <w:rPr>
          <w:rFonts w:ascii="Arial" w:hAnsi="Arial" w:cs="Arial"/>
          <w:sz w:val="24"/>
          <w:szCs w:val="24"/>
        </w:rPr>
        <w:t>. 188 a 191, do Regimento Interno,</w:t>
      </w:r>
      <w:r w:rsidR="00C120D9">
        <w:rPr>
          <w:rFonts w:ascii="Arial" w:hAnsi="Arial" w:cs="Arial"/>
          <w:sz w:val="24"/>
          <w:szCs w:val="24"/>
        </w:rPr>
        <w:t xml:space="preserve"> considerando o </w:t>
      </w:r>
      <w:hyperlink r:id="rId7" w:history="1">
        <w:r w:rsidR="00C120D9" w:rsidRPr="00CF19E7">
          <w:rPr>
            <w:rStyle w:val="Hyperlink"/>
            <w:rFonts w:ascii="Arial" w:hAnsi="Arial" w:cs="Arial"/>
            <w:sz w:val="24"/>
            <w:szCs w:val="24"/>
          </w:rPr>
          <w:t>Acórdão nº 1.268/21-Tribunal Pleno</w:t>
        </w:r>
      </w:hyperlink>
      <w:r w:rsidR="00C120D9">
        <w:rPr>
          <w:rFonts w:ascii="Arial" w:hAnsi="Arial" w:cs="Arial"/>
          <w:sz w:val="24"/>
          <w:szCs w:val="24"/>
        </w:rPr>
        <w:t>, Processo nº 225060/21, e</w:t>
      </w:r>
    </w:p>
    <w:p w14:paraId="11F080AC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a Lei nº 13.979, de 6 de fevereiro de 2020, que dispõe sobre as medidas para enfrentamento da Emergência em Saúde Pública de Importância Internacional decorrente do novo Coronavírus (Sars-CoV-2), e a Portaria MS/GM nº 356/2020, do Ministério da Saúde, que regulamenta e operacionaliza o disposto na Lei nº 13.979/2020;</w:t>
      </w:r>
    </w:p>
    <w:p w14:paraId="52850460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o Decreto Estadual nº 4.230, de 16 de março de 2020, que dispõe sobre as medidas para enfrentamento da emergência de saúde pública de importância internacional decorrente do Coronavírus – COVID-19; a Resolução SESA nº 1268/2020, que regulamenta o disposto nos artigos 1°, 2°, 3°, 10, 13 e 15 do Decreto Estadual nº 4.230/2020; e a Resolução SESA nº 632/2020, que dispõe sobre medidas complementares de controle sanitário para o enfrentamento da COVID-19;</w:t>
      </w:r>
    </w:p>
    <w:p w14:paraId="5405B210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que competem ao Tribunal de Contas, além da ação fiscalizatória, os relevantes papéis de normatizar, instruir, orientar e esclarecer os gestores municipais e estaduais;</w:t>
      </w:r>
    </w:p>
    <w:p w14:paraId="798CEBD2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que entre as competências institucionais do Tribunal de Contas figura a expedição de resoluções regulamentando normas relativas a direitos e deveres assegurados ou decorrentes do ordenamento jurídico brasileiro, de modo a evitar a configuração de irregularidades, contribuindo para o aperfeiçoamento da gestão pública;</w:t>
      </w:r>
    </w:p>
    <w:p w14:paraId="2E3FD997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que, nos termos do artigo 196 da Constituição Federal de 1988, a saúde é direito de todos e dever do Estado, garantido mediante políticas sociais e econômicas que visem à redução do risco de </w:t>
      </w:r>
      <w:r w:rsidRPr="008F57F5">
        <w:rPr>
          <w:rFonts w:ascii="Arial" w:hAnsi="Arial" w:cs="Arial"/>
          <w:sz w:val="24"/>
          <w:szCs w:val="24"/>
        </w:rPr>
        <w:lastRenderedPageBreak/>
        <w:t>doença e de outros agravos e ao acesso universal e igualitário às ações e serviços para sua promoção, proteção e recuperação;</w:t>
      </w:r>
    </w:p>
    <w:p w14:paraId="628B4AE6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8F57F5">
        <w:rPr>
          <w:rFonts w:ascii="Arial" w:hAnsi="Arial" w:cs="Arial"/>
          <w:sz w:val="24"/>
          <w:szCs w:val="24"/>
        </w:rPr>
        <w:t>que o Supremo Tribunal Federal, em 08 de março de 2021, referendou a concessão parcial da medida cautelar deferida na Ação Direta de Inconstitucionalidade (ADI) nº 6625, para conferir interpretação conforme à Constituição ao artigo 8º da Lei nº 13.979, de 06 de fevereiro de 2020, com a redação dada pela Lei nº 14.035, de 11 de agosto de 2020, a fim de excluir de seu âmbito de aplicação as medidas extraordinárias previstas nos artigos 3º, 3º-A, 3º-B, 3º-C, 3º-D, 3º-E, 3º-F, 3º-G, 3º-H e 3º-J, inclusive dos respectivos parágrafos, incisos e alíneas, prorrogando a vigência de tais dispositivos legais e, de conseguinte, mantendo as medidas profiláticas e terapêuticas extraordinárias, preconizadas naquele diploma normativo, pelo tempo necessário à superação da fase mais crítica da pandemia, permitindo que elas continuem, por enquanto, a integrar o arsenal das autoridades sanitárias para combater a pandemia;</w:t>
      </w:r>
    </w:p>
    <w:p w14:paraId="14C5399E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o Decreto Legislativo nº 29, de 16 de dezembro de 2020, que prorroga até 30 de junho de 2021, o reconhecimento, para os fins do disposto no artigo 65 da Lei Complementar Federal nº 101, de 4 de maio de 2000, da ocorrência do estado de calamidade pública no Estado do Paraná;</w:t>
      </w:r>
    </w:p>
    <w:p w14:paraId="6D4010A0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que compete aos Municípios organizar e prestar, diretamente ou sob regime de concessão ou permissão, os serviços públicos de interesse local, incluído o de transporte coletivo, que tem caráter essencial, nos termos do inciso V do artigo 30 da Constituição Federal de 1988;</w:t>
      </w:r>
    </w:p>
    <w:p w14:paraId="4DCACD19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que compete aos Municípios promover a regulamentação dos serviços de transporte urbano, nos termos do inciso I do artigo 18 da Lei Federal nº 12.587, de 3 de janeiro de 2012;</w:t>
      </w:r>
    </w:p>
    <w:p w14:paraId="782B2566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 xml:space="preserve"> </w:t>
      </w: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o Decreto Estadual nº 2.009, de 27 de julho de 2015, que aprovou o Regulamento dos Serviços de Transporte Coletivo Metropolitano de Passageiros na Região Metropolitana de Curitiba;</w:t>
      </w:r>
    </w:p>
    <w:p w14:paraId="2A46BAC8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o inerente interesse público na prestação célere de tal informação, como forma de viabilizar e efetiva fiscalização do respeito aos protocolos sanitários;</w:t>
      </w:r>
    </w:p>
    <w:p w14:paraId="767866E4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que a Lei Federal nº 12.527, de 18 de novembro de 2011 (Lei de Acesso à Informação), consagra, em seus artigos 6º e 7º, o direito de qualquer jurisdicionado ter acesso a informações referentes a atividades exercidas pelos órgãos e entidades públicas, inclusive aquelas atinentes à implementação, acompanhamento e resultados dos seus programas, projetos e ações;</w:t>
      </w:r>
    </w:p>
    <w:p w14:paraId="041029AD" w14:textId="77777777" w:rsidR="0078427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Considerando</w:t>
      </w:r>
      <w:r w:rsidRPr="008F57F5">
        <w:rPr>
          <w:rFonts w:ascii="Arial" w:hAnsi="Arial" w:cs="Arial"/>
          <w:sz w:val="24"/>
          <w:szCs w:val="24"/>
        </w:rPr>
        <w:t xml:space="preserve"> que o inciso II do artigo 3º da Lei Federal nº 12.527, de 18 de novembro de 2011, assegura o direito fundamental de acesso à informação de interesse público, independentemente de solicitação; Considerando que o artigo 1º da Lei Municipal nº 15.627, de 05 de maio de </w:t>
      </w:r>
      <w:r w:rsidRPr="008F57F5">
        <w:rPr>
          <w:rFonts w:ascii="Arial" w:hAnsi="Arial" w:cs="Arial"/>
          <w:sz w:val="24"/>
          <w:szCs w:val="24"/>
        </w:rPr>
        <w:lastRenderedPageBreak/>
        <w:t>2020, reconhece o transporte coletivo de passageiros da capital paranaense como instrumento associado ao combate e à contenção da pandemia da COVID-19,</w:t>
      </w:r>
    </w:p>
    <w:p w14:paraId="7B1B743D" w14:textId="77777777" w:rsidR="00784275" w:rsidRPr="008F57F5" w:rsidRDefault="00784275" w:rsidP="008F57F5">
      <w:pPr>
        <w:spacing w:before="360" w:after="24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RESOLVE</w:t>
      </w:r>
      <w:r w:rsidR="008F57F5">
        <w:rPr>
          <w:rFonts w:ascii="Arial" w:hAnsi="Arial" w:cs="Arial"/>
          <w:b/>
          <w:bCs/>
          <w:sz w:val="24"/>
          <w:szCs w:val="24"/>
        </w:rPr>
        <w:t>:</w:t>
      </w:r>
    </w:p>
    <w:p w14:paraId="6747304F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Art. 1º</w:t>
      </w:r>
      <w:r w:rsidRPr="008F57F5">
        <w:rPr>
          <w:rFonts w:ascii="Arial" w:hAnsi="Arial" w:cs="Arial"/>
          <w:sz w:val="24"/>
          <w:szCs w:val="24"/>
        </w:rPr>
        <w:t xml:space="preserve"> Os titulares dos Poderes Executivos estadual e municipais, juntamente com o órgão regulador do sistema, quando houver, devem elaborar, publicar e divulgar, Protocolo Sanitário que estabeleça as medidas de proteção, de prevenção e de monitoramento da COVID-19 para o setor do transporte público coletivo de passageiros, contemplando, no mínimo:</w:t>
      </w:r>
    </w:p>
    <w:p w14:paraId="3115331F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 - dimensionamento da capacidade máxima de ocupação por tipo de veículo, de acordo com o escalonamento da gravidade da pandemia, priorizando a utilização de parâmetros que diminuam o risco de agravamento da pandemia e viabilizem o controle da lotação;</w:t>
      </w:r>
    </w:p>
    <w:p w14:paraId="1556FFBC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II - regras sanitárias a serem seguidas, por passageiros e funcionários, nos veículos, nas estações e nos terminais;</w:t>
      </w:r>
    </w:p>
    <w:p w14:paraId="459D901C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III - ações de organização e controle do fluxo de passageiros nas estações e nos terminais;</w:t>
      </w:r>
    </w:p>
    <w:p w14:paraId="48AE6095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IV - distanciamento mínimo entre os passageiros nas filas nas estações e nos terminais;</w:t>
      </w:r>
    </w:p>
    <w:p w14:paraId="64BC08DF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V - procedimentos para sanitização/desinfecção de veículos, estações e terminais;</w:t>
      </w:r>
    </w:p>
    <w:p w14:paraId="1CAD3D90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VI - ações de conscientização dos usuários e de divulgação de regras sanitárias nos veículos, nas estações e nos terminais;</w:t>
      </w:r>
    </w:p>
    <w:p w14:paraId="3D1F7C07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 xml:space="preserve">VII - indicação das sanções previstas em lei que poderão ser aplicadas no caso de inobservância das medidas estabelecidas no referido Protocolo Sanitário; </w:t>
      </w:r>
    </w:p>
    <w:p w14:paraId="7BE5F3A7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VIII - definição do(s) órgão(s) responsável(eis) pela fiscalização das medidas de que trata o Protocolo Sanitário.</w:t>
      </w:r>
    </w:p>
    <w:p w14:paraId="3FC14913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Art. 2º</w:t>
      </w:r>
      <w:r w:rsidRPr="008F57F5">
        <w:rPr>
          <w:rFonts w:ascii="Arial" w:hAnsi="Arial" w:cs="Arial"/>
          <w:sz w:val="24"/>
          <w:szCs w:val="24"/>
        </w:rPr>
        <w:t xml:space="preserve"> O titular do Poder Executivo, em conjunto com o órgão gestor dos serviços de transporte público de passageiros, deve adotar, dentre outras, as seguintes medidas que promovam o atendimento ao Protocolo Sanitário do transporte público de passageiros:</w:t>
      </w:r>
    </w:p>
    <w:p w14:paraId="751D3E08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 - definição do número mínimo de veículos em operação (frota), absoluto e relativo ao total (%), de acordo com o escalonamento da gravidade da pandemia;</w:t>
      </w:r>
    </w:p>
    <w:p w14:paraId="7DE1BAD4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II - realização do dimensionamento da capacidade limite de ocupação (%) dos veículos, de acordo com o escalonamento da gravidade da pandemia, priorizando a utilização de parâmetros que diminuam o risco de agravamento da pandemia e viabilizem o controle da lotação;</w:t>
      </w:r>
    </w:p>
    <w:p w14:paraId="57C95605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lastRenderedPageBreak/>
        <w:t>III - realização da mudança de critério de lotação máxima dos veículos, ao menos enquanto houver risco de colapso do Sistema de Saúde para o tratamento da COVID-19 (insumos, equipe e leitos);</w:t>
      </w:r>
    </w:p>
    <w:p w14:paraId="61F5D328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IV - realização do espalhamento da demanda nos horários de pico, mediante a diferenciação de funcionamento das atividades do Município, evitando a formação de aglomerações em horários específicos;</w:t>
      </w:r>
    </w:p>
    <w:p w14:paraId="2EB2A177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V - fiscalização sobre o funcionamento das atividades econômicas e dos equipamentos públicos relacionados ao transporte coletivo (locais de maior aglomeração no Sistema de Transporte Público), em cumprimento aos horários alternativos definidos em normativa;</w:t>
      </w:r>
    </w:p>
    <w:p w14:paraId="15E91658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VI - realização do acompanhamento da operação do sistema de transporte coletivo com monitoramento, no mínimo semanalmente, e atuar prontamente em caso de linhas com lotação acima do recomendado durante a pandemia e não apenas quando houver solicitação por parte dos usuários, produzindo e divulgando relatórios de monitoramento que contenham as medidas adotadas;</w:t>
      </w:r>
    </w:p>
    <w:p w14:paraId="2A0AE5B8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VII - implementação de um controle efetivo e regular na gestão e fiscalização econômico-financeira da operação do sistema transporte público coletivo de passageiros, seja ela executada por meio de concessão ou diretamente, objetivando monitorar as receitas, os custos e despesas, com a produção e divulgação de relatórios desse monitoramento;</w:t>
      </w:r>
    </w:p>
    <w:p w14:paraId="7F1B7CB6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VIII - quando ocorrer repasse de subsídios para manutenção do equilíbrio econômico-financeiro dos contratos de concessões, implementar um controle efetivo e regular na gestão e fiscalização da aplicação dos recursos, com a produção e divulgação de relatórios desse monitoramento;</w:t>
      </w:r>
    </w:p>
    <w:p w14:paraId="5C8C4D26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IX - quando ocorrer repasse de subsídios para manutenção do equilíbrio econômico-financeiro dos contratos de concessões, realizar, preferencialmente, acordo com a concessionária para a retirada de determinados custos da planilha tarifária antes do cálculo do reequilíbrio;</w:t>
      </w:r>
    </w:p>
    <w:p w14:paraId="0D788E8A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X - normatizar rotinas e disponibilizar informações para o acompanhamento e controle dos dados relativos à demanda de passageiros, produzindo e divulgando relatórios semanais das informações;</w:t>
      </w:r>
    </w:p>
    <w:p w14:paraId="6500EE8A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XI - realizar demais ações de controle e de fiscalização das medidas dispostas no Protocolo de Saúde;</w:t>
      </w:r>
    </w:p>
    <w:p w14:paraId="6FCC1CFD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XII - não contrariar as diretrizes estabelecidas em lei, relacionadas às medidas de prevenção à Covid-19, quando da sua regulamentação por atos normativos.</w:t>
      </w:r>
    </w:p>
    <w:p w14:paraId="04811598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8F57F5">
        <w:rPr>
          <w:rFonts w:ascii="Arial" w:hAnsi="Arial" w:cs="Arial"/>
          <w:sz w:val="24"/>
          <w:szCs w:val="24"/>
        </w:rPr>
        <w:t>Os titulares dos Poderes Executivos estadual e municipais devem disponibilizar, em até 15 (quinze) dias úteis a contar da publicação desta Resolução:</w:t>
      </w:r>
    </w:p>
    <w:p w14:paraId="6726091C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lastRenderedPageBreak/>
        <w:t>I - Protocolo Sanitário do transporte público coletivo e suas atualizações, quando houver;</w:t>
      </w:r>
    </w:p>
    <w:p w14:paraId="39386D69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II - informações especificadas nos incisos “I” a “VIII” do artigo 2º desta Resolução.</w:t>
      </w:r>
    </w:p>
    <w:p w14:paraId="44CA20BF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sz w:val="24"/>
          <w:szCs w:val="24"/>
        </w:rPr>
        <w:t>Parágrafo único. Os documentos e as informações listados neste artigo serão considerados disponibilizados quando de sua divulgação nos Portais da Transparência ou nos sítios oficiais eletrônicos dos Poderes Executivos estadual e municipais, em seção específica relacionada à COVID-19, de fáceis acesso, leitura e interpretação pela população.</w:t>
      </w:r>
    </w:p>
    <w:p w14:paraId="195723CB" w14:textId="77777777" w:rsidR="00784275" w:rsidRPr="008F57F5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Art. 4º</w:t>
      </w:r>
      <w:r w:rsidRPr="008F57F5">
        <w:rPr>
          <w:rFonts w:ascii="Arial" w:hAnsi="Arial" w:cs="Arial"/>
          <w:sz w:val="24"/>
          <w:szCs w:val="24"/>
        </w:rPr>
        <w:t xml:space="preserve"> A omissão na implementação das medidas estabelecidas nesta Resolução constitui, nos termos da</w:t>
      </w:r>
      <w:r w:rsidRPr="008F57F5">
        <w:rPr>
          <w:rFonts w:ascii="Arial" w:hAnsi="Arial" w:cs="Arial"/>
          <w:b/>
          <w:bCs/>
          <w:sz w:val="24"/>
          <w:szCs w:val="24"/>
        </w:rPr>
        <w:t xml:space="preserve"> </w:t>
      </w:r>
      <w:r w:rsidRPr="008F57F5">
        <w:rPr>
          <w:rFonts w:ascii="Arial" w:hAnsi="Arial" w:cs="Arial"/>
          <w:sz w:val="24"/>
          <w:szCs w:val="24"/>
        </w:rPr>
        <w:t>L</w:t>
      </w:r>
      <w:r w:rsidR="00472351">
        <w:rPr>
          <w:rFonts w:ascii="Arial" w:hAnsi="Arial" w:cs="Arial"/>
          <w:sz w:val="24"/>
          <w:szCs w:val="24"/>
        </w:rPr>
        <w:t>ei Complementar nº</w:t>
      </w:r>
      <w:r w:rsidRPr="008F57F5">
        <w:rPr>
          <w:rFonts w:ascii="Arial" w:hAnsi="Arial" w:cs="Arial"/>
          <w:sz w:val="24"/>
          <w:szCs w:val="24"/>
        </w:rPr>
        <w:t xml:space="preserve"> 113</w:t>
      </w:r>
      <w:r w:rsidR="00472351">
        <w:rPr>
          <w:rFonts w:ascii="Arial" w:hAnsi="Arial" w:cs="Arial"/>
          <w:sz w:val="24"/>
          <w:szCs w:val="24"/>
        </w:rPr>
        <w:t xml:space="preserve">, </w:t>
      </w:r>
      <w:r w:rsidR="00472351" w:rsidRPr="008F57F5">
        <w:rPr>
          <w:rFonts w:ascii="Arial" w:hAnsi="Arial" w:cs="Arial"/>
          <w:sz w:val="24"/>
          <w:szCs w:val="24"/>
        </w:rPr>
        <w:t>de 15 de dezembro de 2005</w:t>
      </w:r>
      <w:r w:rsidRPr="008F57F5">
        <w:rPr>
          <w:rFonts w:ascii="Arial" w:hAnsi="Arial" w:cs="Arial"/>
          <w:sz w:val="24"/>
          <w:szCs w:val="24"/>
        </w:rPr>
        <w:t>, hipótese de aplicação de sanções e medidas administrativas pelo TCE-PR, além de comunicação dos fatos ao Ministério Público Estadual.</w:t>
      </w:r>
    </w:p>
    <w:p w14:paraId="3F04E582" w14:textId="77777777" w:rsidR="00744A46" w:rsidRDefault="00784275" w:rsidP="008F57F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F57F5">
        <w:rPr>
          <w:rFonts w:ascii="Arial" w:hAnsi="Arial" w:cs="Arial"/>
          <w:b/>
          <w:bCs/>
          <w:sz w:val="24"/>
          <w:szCs w:val="24"/>
        </w:rPr>
        <w:t>Art. 5º</w:t>
      </w:r>
      <w:r w:rsidRPr="008F57F5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</w:p>
    <w:p w14:paraId="39E57FFF" w14:textId="77777777" w:rsidR="00784275" w:rsidRDefault="00784275" w:rsidP="00AA0089">
      <w:pPr>
        <w:spacing w:before="360" w:after="0" w:line="240" w:lineRule="auto"/>
        <w:jc w:val="center"/>
        <w:rPr>
          <w:rFonts w:ascii="Arial" w:hAnsi="Arial" w:cs="Arial"/>
          <w:szCs w:val="24"/>
        </w:rPr>
      </w:pPr>
      <w:r w:rsidRPr="008F57F5">
        <w:rPr>
          <w:rFonts w:ascii="Arial" w:hAnsi="Arial" w:cs="Arial"/>
          <w:sz w:val="24"/>
          <w:szCs w:val="24"/>
        </w:rPr>
        <w:t>Curitiba, em</w:t>
      </w:r>
      <w:r>
        <w:rPr>
          <w:rFonts w:ascii="Arial" w:hAnsi="Arial" w:cs="Arial"/>
          <w:szCs w:val="24"/>
        </w:rPr>
        <w:t xml:space="preserve"> </w:t>
      </w:r>
      <w:r w:rsidR="00472351">
        <w:rPr>
          <w:rFonts w:ascii="Arial" w:hAnsi="Arial" w:cs="Arial"/>
          <w:szCs w:val="24"/>
        </w:rPr>
        <w:t>24 de junho de 2021</w:t>
      </w:r>
      <w:r>
        <w:rPr>
          <w:rFonts w:ascii="Arial" w:hAnsi="Arial" w:cs="Arial"/>
          <w:szCs w:val="24"/>
        </w:rPr>
        <w:t>.</w:t>
      </w:r>
    </w:p>
    <w:p w14:paraId="346C3653" w14:textId="77777777" w:rsidR="00744A46" w:rsidRPr="00744A46" w:rsidRDefault="00744A46" w:rsidP="00AA0089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bookmarkStart w:id="1" w:name="_Hlk65750390"/>
      <w:bookmarkEnd w:id="0"/>
      <w:r w:rsidRPr="00744A46">
        <w:rPr>
          <w:rFonts w:ascii="Arial" w:hAnsi="Arial" w:cs="Arial"/>
          <w:color w:val="808080"/>
          <w:sz w:val="24"/>
        </w:rPr>
        <w:t>- assinatura digital -</w:t>
      </w:r>
    </w:p>
    <w:p w14:paraId="366CDC14" w14:textId="77777777" w:rsidR="00744A46" w:rsidRPr="00744A46" w:rsidRDefault="00744A46" w:rsidP="00AA0089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2" w:name="_Hlk536444639"/>
      <w:r w:rsidRPr="00744A46">
        <w:rPr>
          <w:rFonts w:ascii="Arial" w:hAnsi="Arial" w:cs="Arial"/>
          <w:sz w:val="24"/>
        </w:rPr>
        <w:t>Conselheiro</w:t>
      </w:r>
      <w:r w:rsidRPr="00744A46">
        <w:rPr>
          <w:rFonts w:ascii="Arial" w:hAnsi="Arial" w:cs="Arial"/>
          <w:b/>
          <w:sz w:val="24"/>
        </w:rPr>
        <w:t xml:space="preserve"> </w:t>
      </w:r>
      <w:bookmarkStart w:id="3" w:name="_Hlk68096993"/>
      <w:bookmarkEnd w:id="2"/>
      <w:r w:rsidRPr="00744A46">
        <w:rPr>
          <w:rFonts w:ascii="Arial" w:hAnsi="Arial" w:cs="Arial"/>
          <w:b/>
          <w:sz w:val="24"/>
        </w:rPr>
        <w:t>FABIO DE SOUZA CAMARGO</w:t>
      </w:r>
      <w:bookmarkEnd w:id="3"/>
    </w:p>
    <w:p w14:paraId="0943C183" w14:textId="77777777" w:rsidR="001907D7" w:rsidRPr="00744A46" w:rsidRDefault="00744A46" w:rsidP="00AA0089">
      <w:pPr>
        <w:spacing w:before="120" w:after="0" w:line="240" w:lineRule="auto"/>
        <w:jc w:val="center"/>
        <w:rPr>
          <w:rFonts w:ascii="Arial" w:hAnsi="Arial" w:cs="Arial"/>
        </w:rPr>
      </w:pPr>
      <w:r w:rsidRPr="00744A46">
        <w:rPr>
          <w:rFonts w:ascii="Arial" w:hAnsi="Arial" w:cs="Arial"/>
          <w:sz w:val="24"/>
        </w:rPr>
        <w:t>Presidente</w:t>
      </w:r>
      <w:bookmarkEnd w:id="1"/>
    </w:p>
    <w:sectPr w:rsidR="001907D7" w:rsidRPr="00744A46" w:rsidSect="0011623E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C2B87" w14:textId="77777777" w:rsidR="00605D6A" w:rsidRDefault="00605D6A" w:rsidP="008F57F5">
      <w:pPr>
        <w:spacing w:after="0" w:line="240" w:lineRule="auto"/>
      </w:pPr>
      <w:r>
        <w:separator/>
      </w:r>
    </w:p>
  </w:endnote>
  <w:endnote w:type="continuationSeparator" w:id="0">
    <w:p w14:paraId="6EA8E131" w14:textId="77777777" w:rsidR="00605D6A" w:rsidRDefault="00605D6A" w:rsidP="008F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6D01" w14:textId="77777777" w:rsidR="00605D6A" w:rsidRDefault="00605D6A" w:rsidP="008F57F5">
      <w:pPr>
        <w:spacing w:after="0" w:line="240" w:lineRule="auto"/>
      </w:pPr>
      <w:r>
        <w:separator/>
      </w:r>
    </w:p>
  </w:footnote>
  <w:footnote w:type="continuationSeparator" w:id="0">
    <w:p w14:paraId="301B5808" w14:textId="77777777" w:rsidR="00605D6A" w:rsidRDefault="00605D6A" w:rsidP="008F57F5">
      <w:pPr>
        <w:spacing w:after="0" w:line="240" w:lineRule="auto"/>
      </w:pPr>
      <w:r>
        <w:continuationSeparator/>
      </w:r>
    </w:p>
  </w:footnote>
  <w:footnote w:id="1">
    <w:p w14:paraId="48B72E57" w14:textId="26C30F57" w:rsidR="00A90E9D" w:rsidRPr="00C976AE" w:rsidRDefault="00A90E9D" w:rsidP="00A90E9D">
      <w:pPr>
        <w:pStyle w:val="Textodenotaderodap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90E9D">
        <w:rPr>
          <w:rStyle w:val="Hyperlink"/>
          <w:color w:val="auto"/>
          <w:u w:val="none"/>
        </w:rPr>
        <w:footnoteRef/>
      </w:r>
      <w:r w:rsidRPr="00A90E9D">
        <w:t xml:space="preserve"> </w:t>
      </w:r>
      <w:r w:rsidRPr="00C976AE">
        <w:rPr>
          <w:rFonts w:ascii="Arial" w:hAnsi="Arial" w:cs="Arial"/>
          <w:b/>
          <w:sz w:val="18"/>
          <w:szCs w:val="18"/>
        </w:rPr>
        <w:t>Nota</w:t>
      </w:r>
      <w:r w:rsidR="00E97BBA">
        <w:rPr>
          <w:rFonts w:ascii="Arial" w:hAnsi="Arial" w:cs="Arial"/>
          <w:b/>
          <w:sz w:val="18"/>
          <w:szCs w:val="18"/>
        </w:rPr>
        <w:t>s</w:t>
      </w:r>
      <w:r w:rsidRPr="00C976AE">
        <w:rPr>
          <w:rFonts w:ascii="Arial" w:hAnsi="Arial" w:cs="Arial"/>
          <w:b/>
          <w:sz w:val="18"/>
          <w:szCs w:val="18"/>
        </w:rPr>
        <w:t xml:space="preserve"> da Biblioteca:</w:t>
      </w:r>
    </w:p>
    <w:p w14:paraId="3679AC7A" w14:textId="2B7E3A18" w:rsidR="00A90E9D" w:rsidRDefault="00A90E9D" w:rsidP="00F272A2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C976AE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="00180D6B" w:rsidRPr="00CF19E7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="00180D6B" w:rsidRPr="00180D6B">
          <w:rPr>
            <w:rStyle w:val="Hyperlink"/>
            <w:rFonts w:ascii="Arial" w:hAnsi="Arial" w:cs="Arial"/>
          </w:rPr>
          <w:t>, Curitiba, PR, n. 2569, 29 jun. 2021, p. 31</w:t>
        </w:r>
      </w:hyperlink>
      <w:r w:rsidR="00180D6B" w:rsidRPr="00180D6B">
        <w:rPr>
          <w:rFonts w:ascii="Arial" w:hAnsi="Arial" w:cs="Arial"/>
        </w:rPr>
        <w:t>.</w:t>
      </w:r>
    </w:p>
    <w:p w14:paraId="5171DC3E" w14:textId="186A0AC0" w:rsidR="00A90E9D" w:rsidRPr="005E4220" w:rsidRDefault="00032E9F" w:rsidP="005E4220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C976AE">
        <w:rPr>
          <w:rFonts w:ascii="Arial" w:hAnsi="Arial" w:cs="Arial"/>
          <w:sz w:val="18"/>
          <w:szCs w:val="18"/>
        </w:rPr>
        <w:t xml:space="preserve">Origem: Processo n. </w:t>
      </w:r>
      <w:r w:rsidRPr="00032E9F">
        <w:rPr>
          <w:rFonts w:ascii="Arial" w:hAnsi="Arial" w:cs="Arial"/>
          <w:color w:val="000000"/>
          <w:sz w:val="18"/>
          <w:szCs w:val="18"/>
        </w:rPr>
        <w:t>22506</w:t>
      </w:r>
      <w:r>
        <w:rPr>
          <w:rFonts w:ascii="Arial" w:hAnsi="Arial" w:cs="Arial"/>
          <w:color w:val="000000"/>
          <w:sz w:val="18"/>
          <w:szCs w:val="18"/>
        </w:rPr>
        <w:t>-</w:t>
      </w:r>
      <w:r w:rsidRPr="00032E9F">
        <w:rPr>
          <w:rFonts w:ascii="Arial" w:hAnsi="Arial" w:cs="Arial"/>
          <w:color w:val="000000"/>
          <w:sz w:val="18"/>
          <w:szCs w:val="18"/>
        </w:rPr>
        <w:t>0</w:t>
      </w:r>
      <w:r w:rsidRPr="00C976AE">
        <w:rPr>
          <w:rFonts w:ascii="Arial" w:hAnsi="Arial" w:cs="Arial"/>
          <w:color w:val="000000"/>
          <w:sz w:val="18"/>
          <w:szCs w:val="18"/>
        </w:rPr>
        <w:t>/202</w:t>
      </w:r>
      <w:r>
        <w:rPr>
          <w:rFonts w:ascii="Arial" w:hAnsi="Arial" w:cs="Arial"/>
          <w:color w:val="000000"/>
          <w:sz w:val="18"/>
          <w:szCs w:val="18"/>
        </w:rPr>
        <w:t>1</w:t>
      </w:r>
      <w:r w:rsidRPr="00C976AE">
        <w:rPr>
          <w:rFonts w:ascii="Arial" w:hAnsi="Arial" w:cs="Arial"/>
          <w:color w:val="000000"/>
          <w:sz w:val="18"/>
          <w:szCs w:val="18"/>
        </w:rPr>
        <w:t xml:space="preserve"> </w:t>
      </w:r>
      <w:r w:rsidRPr="00C976AE">
        <w:rPr>
          <w:rFonts w:ascii="Arial" w:hAnsi="Arial" w:cs="Arial"/>
          <w:sz w:val="18"/>
          <w:szCs w:val="18"/>
        </w:rPr>
        <w:t xml:space="preserve">– </w:t>
      </w:r>
      <w:hyperlink r:id="rId2" w:history="1">
        <w:r w:rsidRPr="00CF19E7">
          <w:rPr>
            <w:rStyle w:val="Hyperlink"/>
            <w:rFonts w:ascii="Arial" w:hAnsi="Arial" w:cs="Arial"/>
            <w:sz w:val="18"/>
            <w:szCs w:val="18"/>
          </w:rPr>
          <w:t>Acórdão n.</w:t>
        </w:r>
        <w:r w:rsidRPr="00CF19E7">
          <w:rPr>
            <w:rStyle w:val="Hyperlink"/>
            <w:rFonts w:ascii="Arial" w:eastAsia="Times New Roman" w:hAnsi="Arial" w:cs="Arial"/>
            <w:sz w:val="18"/>
            <w:szCs w:val="18"/>
          </w:rPr>
          <w:t xml:space="preserve"> 1268/2021 </w:t>
        </w:r>
        <w:r w:rsidRPr="00CF19E7">
          <w:rPr>
            <w:rStyle w:val="Hyperlink"/>
            <w:rFonts w:ascii="Arial" w:hAnsi="Arial" w:cs="Arial"/>
            <w:sz w:val="18"/>
            <w:szCs w:val="18"/>
          </w:rPr>
          <w:t>- Tribunal Pleno</w:t>
        </w:r>
      </w:hyperlink>
      <w:r w:rsidRPr="00C976AE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2E34" w14:textId="77777777" w:rsidR="008F57F5" w:rsidRPr="00152D32" w:rsidRDefault="00CF19E7" w:rsidP="0011623E">
    <w:pPr>
      <w:keepLines/>
      <w:spacing w:before="960" w:after="720" w:line="240" w:lineRule="auto"/>
      <w:ind w:firstLine="1134"/>
      <w:jc w:val="center"/>
    </w:pPr>
    <w:bookmarkStart w:id="4" w:name="_Hlk503268480"/>
    <w:bookmarkStart w:id="5" w:name="_Hlk503268481"/>
    <w:bookmarkStart w:id="6" w:name="_Hlk503268482"/>
    <w:bookmarkStart w:id="7" w:name="_Hlk503268491"/>
    <w:bookmarkStart w:id="8" w:name="_Hlk503268492"/>
    <w:bookmarkStart w:id="9" w:name="_Hlk503268493"/>
    <w:r>
      <w:rPr>
        <w:rFonts w:ascii="Arial" w:hAnsi="Arial" w:cs="Arial"/>
        <w:noProof/>
        <w:sz w:val="28"/>
        <w:szCs w:val="28"/>
      </w:rPr>
      <w:pict w14:anchorId="27A10B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2.5pt;margin-top:30.65pt;width:44.05pt;height:51.6pt;z-index:251657728;visibility:visible">
          <v:imagedata r:id="rId1" o:title="brasao_pr_pequeno"/>
        </v:shape>
      </w:pict>
    </w:r>
    <w:r w:rsidR="008F57F5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57D2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D7BE2"/>
    <w:multiLevelType w:val="hybridMultilevel"/>
    <w:tmpl w:val="BCE889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8922">
    <w:abstractNumId w:val="0"/>
  </w:num>
  <w:num w:numId="2" w16cid:durableId="68504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4275"/>
    <w:rsid w:val="00032E9F"/>
    <w:rsid w:val="0011623E"/>
    <w:rsid w:val="00135AA8"/>
    <w:rsid w:val="001427E9"/>
    <w:rsid w:val="00180D6B"/>
    <w:rsid w:val="001907D7"/>
    <w:rsid w:val="001C6541"/>
    <w:rsid w:val="00371463"/>
    <w:rsid w:val="00472351"/>
    <w:rsid w:val="004776D8"/>
    <w:rsid w:val="005E4220"/>
    <w:rsid w:val="00600F37"/>
    <w:rsid w:val="00605D6A"/>
    <w:rsid w:val="00744A46"/>
    <w:rsid w:val="00784275"/>
    <w:rsid w:val="008F57F5"/>
    <w:rsid w:val="00A90E9D"/>
    <w:rsid w:val="00AA0089"/>
    <w:rsid w:val="00C120D9"/>
    <w:rsid w:val="00CF19E7"/>
    <w:rsid w:val="00D8246E"/>
    <w:rsid w:val="00E027BD"/>
    <w:rsid w:val="00E46A01"/>
    <w:rsid w:val="00E97BBA"/>
    <w:rsid w:val="00EE69AF"/>
    <w:rsid w:val="00F272A2"/>
    <w:rsid w:val="00F3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F4E33"/>
  <w15:chartTrackingRefBased/>
  <w15:docId w15:val="{83D00AFC-F960-4A61-A459-E5DA35BF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57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F57F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F57F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F57F5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A90E9D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A90E9D"/>
    <w:rPr>
      <w:lang w:eastAsia="en-US"/>
    </w:rPr>
  </w:style>
  <w:style w:type="character" w:styleId="Refdenotaderodap">
    <w:name w:val="footnote reference"/>
    <w:uiPriority w:val="99"/>
    <w:semiHidden/>
    <w:unhideWhenUsed/>
    <w:rsid w:val="00A90E9D"/>
    <w:rPr>
      <w:vertAlign w:val="superscript"/>
    </w:rPr>
  </w:style>
  <w:style w:type="character" w:styleId="Hyperlink">
    <w:name w:val="Hyperlink"/>
    <w:uiPriority w:val="99"/>
    <w:rsid w:val="00A90E9D"/>
    <w:rPr>
      <w:color w:val="0000FF"/>
      <w:u w:val="single"/>
    </w:rPr>
  </w:style>
  <w:style w:type="character" w:styleId="Forte">
    <w:name w:val="Strong"/>
    <w:uiPriority w:val="22"/>
    <w:qFormat/>
    <w:rsid w:val="00A90E9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CF1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21/6/pdf/003576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21/6/pdf/00357614.pdf" TargetMode="External"/><Relationship Id="rId1" Type="http://schemas.openxmlformats.org/officeDocument/2006/relationships/hyperlink" Target="https://www1.tce.pr.gov.br/multimidia/2021/6/pdf/0035784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1682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11</cp:revision>
  <dcterms:created xsi:type="dcterms:W3CDTF">2022-07-05T18:58:00Z</dcterms:created>
  <dcterms:modified xsi:type="dcterms:W3CDTF">2022-07-15T21:08:00Z</dcterms:modified>
</cp:coreProperties>
</file>