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2DCA" w14:textId="197BA924" w:rsidR="00F237AE" w:rsidRPr="00C47580" w:rsidRDefault="00F237AE" w:rsidP="005A6CC6">
      <w:pPr>
        <w:jc w:val="center"/>
        <w:rPr>
          <w:rFonts w:ascii="Arial" w:hAnsi="Arial" w:cs="Arial"/>
          <w:b/>
          <w:bCs/>
          <w:color w:val="000000"/>
          <w:sz w:val="28"/>
          <w:szCs w:val="28"/>
        </w:rPr>
      </w:pPr>
      <w:r w:rsidRPr="00C47580">
        <w:rPr>
          <w:rFonts w:ascii="Arial" w:hAnsi="Arial" w:cs="Arial"/>
          <w:b/>
          <w:bCs/>
          <w:color w:val="000000"/>
          <w:sz w:val="28"/>
          <w:szCs w:val="28"/>
        </w:rPr>
        <w:t xml:space="preserve">RESOLUÇÃO Nº </w:t>
      </w:r>
      <w:r w:rsidR="005A6CC6">
        <w:rPr>
          <w:rFonts w:ascii="Arial" w:hAnsi="Arial" w:cs="Arial"/>
          <w:b/>
          <w:bCs/>
          <w:color w:val="000000"/>
          <w:sz w:val="28"/>
          <w:szCs w:val="28"/>
        </w:rPr>
        <w:t>62</w:t>
      </w:r>
      <w:r w:rsidRPr="00C47580">
        <w:rPr>
          <w:rFonts w:ascii="Arial" w:hAnsi="Arial" w:cs="Arial"/>
          <w:b/>
          <w:bCs/>
          <w:color w:val="000000"/>
          <w:sz w:val="28"/>
          <w:szCs w:val="28"/>
        </w:rPr>
        <w:t>/</w:t>
      </w:r>
      <w:r w:rsidR="005A6CC6">
        <w:rPr>
          <w:rFonts w:ascii="Arial" w:hAnsi="Arial" w:cs="Arial"/>
          <w:b/>
          <w:bCs/>
          <w:color w:val="000000"/>
          <w:sz w:val="28"/>
          <w:szCs w:val="28"/>
        </w:rPr>
        <w:t>2017</w:t>
      </w:r>
      <w:r w:rsidR="004E1437">
        <w:rPr>
          <w:rStyle w:val="Refdenotaderodap"/>
          <w:rFonts w:ascii="Arial" w:hAnsi="Arial" w:cs="Arial"/>
          <w:b/>
          <w:bCs/>
          <w:color w:val="000000"/>
          <w:sz w:val="28"/>
          <w:szCs w:val="28"/>
        </w:rPr>
        <w:footnoteReference w:id="2"/>
      </w:r>
    </w:p>
    <w:p w14:paraId="1D217FDE" w14:textId="3BD072FB" w:rsidR="00623A52" w:rsidRPr="00B824D9" w:rsidRDefault="00623A52" w:rsidP="002B3AD5">
      <w:pPr>
        <w:spacing w:before="360" w:after="360"/>
        <w:ind w:left="4536"/>
        <w:jc w:val="both"/>
        <w:rPr>
          <w:rFonts w:ascii="Arial" w:hAnsi="Arial" w:cs="Arial"/>
          <w:b/>
          <w:bCs/>
          <w:i/>
          <w:color w:val="000000"/>
          <w:sz w:val="22"/>
          <w:szCs w:val="22"/>
        </w:rPr>
      </w:pPr>
      <w:r w:rsidRPr="00B824D9">
        <w:rPr>
          <w:rFonts w:ascii="Arial" w:hAnsi="Arial" w:cs="Arial"/>
          <w:i/>
          <w:iCs/>
          <w:color w:val="000000"/>
          <w:sz w:val="22"/>
          <w:szCs w:val="22"/>
        </w:rPr>
        <w:t xml:space="preserve">Dispõe sobre o procedimento especial para a apreciação de atos sujeitos ao registro </w:t>
      </w:r>
      <w:r w:rsidRPr="00B824D9">
        <w:rPr>
          <w:rFonts w:ascii="Arial" w:hAnsi="Arial" w:cs="Arial"/>
          <w:i/>
          <w:color w:val="000000"/>
          <w:sz w:val="22"/>
          <w:szCs w:val="22"/>
        </w:rPr>
        <w:t>não encaminhados por meio de sistema de atos de pessoal</w:t>
      </w:r>
      <w:r w:rsidR="00FA3A5A" w:rsidRPr="00B824D9">
        <w:rPr>
          <w:rFonts w:ascii="Arial" w:hAnsi="Arial" w:cs="Arial"/>
          <w:i/>
          <w:color w:val="000000"/>
          <w:sz w:val="22"/>
          <w:szCs w:val="22"/>
        </w:rPr>
        <w:t>,</w:t>
      </w:r>
      <w:r w:rsidRPr="00B824D9">
        <w:rPr>
          <w:rFonts w:ascii="Arial" w:hAnsi="Arial" w:cs="Arial"/>
          <w:i/>
          <w:iCs/>
          <w:color w:val="000000"/>
          <w:sz w:val="22"/>
          <w:szCs w:val="22"/>
        </w:rPr>
        <w:t xml:space="preserve"> no âmbito do Tribunal de Contas do Estado do Paraná, e </w:t>
      </w:r>
      <w:r w:rsidR="00FA3A5A" w:rsidRPr="00B824D9">
        <w:rPr>
          <w:rFonts w:ascii="Arial" w:hAnsi="Arial" w:cs="Arial"/>
          <w:i/>
          <w:color w:val="000000"/>
          <w:sz w:val="22"/>
          <w:szCs w:val="22"/>
        </w:rPr>
        <w:t xml:space="preserve">revoga o § 9º do art. 299-A do Regimento Interno e o parágrafo único do art. 1º da </w:t>
      </w:r>
      <w:hyperlink r:id="rId11" w:history="1">
        <w:r w:rsidR="00FA3A5A" w:rsidRPr="00D44669">
          <w:rPr>
            <w:rStyle w:val="Hyperlink"/>
            <w:rFonts w:ascii="Arial" w:hAnsi="Arial" w:cs="Arial"/>
            <w:i/>
            <w:sz w:val="22"/>
            <w:szCs w:val="22"/>
          </w:rPr>
          <w:t>Instrução Normativa nº 117/2016.</w:t>
        </w:r>
      </w:hyperlink>
    </w:p>
    <w:p w14:paraId="29332730" w14:textId="16B7853C" w:rsidR="00F237AE" w:rsidRPr="000A6C9E" w:rsidRDefault="00F237AE"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color w:val="000000"/>
          <w:sz w:val="23"/>
          <w:szCs w:val="23"/>
        </w:rPr>
        <w:t xml:space="preserve">O </w:t>
      </w:r>
      <w:r w:rsidRPr="000A6C9E">
        <w:rPr>
          <w:rFonts w:ascii="Arial" w:hAnsi="Arial" w:cs="Arial"/>
          <w:b/>
          <w:bCs/>
          <w:color w:val="000000"/>
          <w:sz w:val="23"/>
          <w:szCs w:val="23"/>
        </w:rPr>
        <w:t>TRIBUNAL DE CONTAS DO ESTADO DO PARANÁ</w:t>
      </w:r>
      <w:r w:rsidRPr="000A6C9E">
        <w:rPr>
          <w:rFonts w:ascii="Arial" w:hAnsi="Arial" w:cs="Arial"/>
          <w:color w:val="000000"/>
          <w:sz w:val="23"/>
          <w:szCs w:val="23"/>
        </w:rPr>
        <w:t xml:space="preserve">, no uso das atribuições contidas nos </w:t>
      </w:r>
      <w:proofErr w:type="spellStart"/>
      <w:r w:rsidR="00623A52" w:rsidRPr="000A6C9E">
        <w:rPr>
          <w:rFonts w:ascii="Arial" w:hAnsi="Arial" w:cs="Arial"/>
          <w:color w:val="000000"/>
          <w:sz w:val="23"/>
          <w:szCs w:val="23"/>
        </w:rPr>
        <w:t>arts</w:t>
      </w:r>
      <w:proofErr w:type="spellEnd"/>
      <w:r w:rsidR="00623A52" w:rsidRPr="000A6C9E">
        <w:rPr>
          <w:rFonts w:ascii="Arial" w:hAnsi="Arial" w:cs="Arial"/>
          <w:color w:val="000000"/>
          <w:sz w:val="23"/>
          <w:szCs w:val="23"/>
        </w:rPr>
        <w:t>.</w:t>
      </w:r>
      <w:r w:rsidRPr="000A6C9E">
        <w:rPr>
          <w:rFonts w:ascii="Arial" w:hAnsi="Arial" w:cs="Arial"/>
          <w:color w:val="000000"/>
          <w:sz w:val="23"/>
          <w:szCs w:val="23"/>
        </w:rPr>
        <w:t xml:space="preserve"> 2º, I, e 116, XII</w:t>
      </w:r>
      <w:r w:rsidR="00623A52" w:rsidRPr="000A6C9E">
        <w:rPr>
          <w:rFonts w:ascii="Arial" w:hAnsi="Arial" w:cs="Arial"/>
          <w:color w:val="000000"/>
          <w:sz w:val="23"/>
          <w:szCs w:val="23"/>
        </w:rPr>
        <w:t>,</w:t>
      </w:r>
      <w:r w:rsidRPr="000A6C9E">
        <w:rPr>
          <w:rFonts w:ascii="Arial" w:hAnsi="Arial" w:cs="Arial"/>
          <w:color w:val="000000"/>
          <w:sz w:val="23"/>
          <w:szCs w:val="23"/>
        </w:rPr>
        <w:t xml:space="preserve"> e parágrafo único, da Lei Complementar nº 113, de 15 de dezembro de 2005, e no art</w:t>
      </w:r>
      <w:r w:rsidR="00623A52" w:rsidRPr="000A6C9E">
        <w:rPr>
          <w:rFonts w:ascii="Arial" w:hAnsi="Arial" w:cs="Arial"/>
          <w:color w:val="000000"/>
          <w:sz w:val="23"/>
          <w:szCs w:val="23"/>
        </w:rPr>
        <w:t>.</w:t>
      </w:r>
      <w:r w:rsidRPr="000A6C9E">
        <w:rPr>
          <w:rFonts w:ascii="Arial" w:hAnsi="Arial" w:cs="Arial"/>
          <w:color w:val="000000"/>
          <w:sz w:val="23"/>
          <w:szCs w:val="23"/>
        </w:rPr>
        <w:t xml:space="preserve"> 5º, XIII, do Reg</w:t>
      </w:r>
      <w:r w:rsidR="00623A52" w:rsidRPr="000A6C9E">
        <w:rPr>
          <w:rFonts w:ascii="Arial" w:hAnsi="Arial" w:cs="Arial"/>
          <w:color w:val="000000"/>
          <w:sz w:val="23"/>
          <w:szCs w:val="23"/>
        </w:rPr>
        <w:t xml:space="preserve">imento Interno, e com base nos </w:t>
      </w:r>
      <w:proofErr w:type="spellStart"/>
      <w:r w:rsidR="00623A52" w:rsidRPr="000A6C9E">
        <w:rPr>
          <w:rFonts w:ascii="Arial" w:hAnsi="Arial" w:cs="Arial"/>
          <w:color w:val="000000"/>
          <w:sz w:val="23"/>
          <w:szCs w:val="23"/>
        </w:rPr>
        <w:t>a</w:t>
      </w:r>
      <w:r w:rsidRPr="000A6C9E">
        <w:rPr>
          <w:rFonts w:ascii="Arial" w:hAnsi="Arial" w:cs="Arial"/>
          <w:color w:val="000000"/>
          <w:sz w:val="23"/>
          <w:szCs w:val="23"/>
        </w:rPr>
        <w:t>rt</w:t>
      </w:r>
      <w:r w:rsidR="00623A52" w:rsidRPr="000A6C9E">
        <w:rPr>
          <w:rFonts w:ascii="Arial" w:hAnsi="Arial" w:cs="Arial"/>
          <w:color w:val="000000"/>
          <w:sz w:val="23"/>
          <w:szCs w:val="23"/>
        </w:rPr>
        <w:t>s</w:t>
      </w:r>
      <w:proofErr w:type="spellEnd"/>
      <w:r w:rsidR="00623A52" w:rsidRPr="000A6C9E">
        <w:rPr>
          <w:rFonts w:ascii="Arial" w:hAnsi="Arial" w:cs="Arial"/>
          <w:color w:val="000000"/>
          <w:sz w:val="23"/>
          <w:szCs w:val="23"/>
        </w:rPr>
        <w:t>.</w:t>
      </w:r>
      <w:r w:rsidRPr="000A6C9E">
        <w:rPr>
          <w:rFonts w:ascii="Arial" w:hAnsi="Arial" w:cs="Arial"/>
          <w:color w:val="000000"/>
          <w:sz w:val="23"/>
          <w:szCs w:val="23"/>
        </w:rPr>
        <w:t xml:space="preserve"> 188 a 192, do Regimento Interno,</w:t>
      </w:r>
      <w:r w:rsidR="00DE3611" w:rsidRPr="000A6C9E">
        <w:rPr>
          <w:rFonts w:ascii="Arial" w:hAnsi="Arial" w:cs="Arial"/>
          <w:color w:val="000000"/>
          <w:sz w:val="23"/>
          <w:szCs w:val="23"/>
        </w:rPr>
        <w:t xml:space="preserve"> e considerando o </w:t>
      </w:r>
      <w:hyperlink r:id="rId12" w:history="1">
        <w:r w:rsidR="00DE3611" w:rsidRPr="000A6C9E">
          <w:rPr>
            <w:rStyle w:val="Hyperlink"/>
            <w:rFonts w:ascii="Arial" w:hAnsi="Arial" w:cs="Arial"/>
            <w:sz w:val="23"/>
            <w:szCs w:val="23"/>
          </w:rPr>
          <w:t xml:space="preserve">Acórdão nº </w:t>
        </w:r>
        <w:r w:rsidR="005A6CC6" w:rsidRPr="000A6C9E">
          <w:rPr>
            <w:rStyle w:val="Hyperlink"/>
            <w:rFonts w:ascii="Arial" w:hAnsi="Arial" w:cs="Arial"/>
            <w:sz w:val="23"/>
            <w:szCs w:val="23"/>
          </w:rPr>
          <w:t>4.922/2017</w:t>
        </w:r>
      </w:hyperlink>
      <w:r w:rsidR="00DE3611" w:rsidRPr="000A6C9E">
        <w:rPr>
          <w:rFonts w:ascii="Arial" w:hAnsi="Arial" w:cs="Arial"/>
          <w:color w:val="000000"/>
          <w:sz w:val="23"/>
          <w:szCs w:val="23"/>
        </w:rPr>
        <w:t xml:space="preserve">, Processo nº </w:t>
      </w:r>
      <w:r w:rsidR="005A6CC6" w:rsidRPr="000A6C9E">
        <w:rPr>
          <w:rFonts w:ascii="Arial" w:hAnsi="Arial" w:cs="Arial"/>
          <w:color w:val="000000"/>
          <w:sz w:val="23"/>
          <w:szCs w:val="23"/>
        </w:rPr>
        <w:t>728916/2017,</w:t>
      </w:r>
    </w:p>
    <w:p w14:paraId="2A73377A" w14:textId="77777777" w:rsidR="00F237AE" w:rsidRPr="000A6C9E" w:rsidRDefault="00F237AE" w:rsidP="000A6C9E">
      <w:pPr>
        <w:adjustRightInd w:val="0"/>
        <w:spacing w:before="360" w:after="240"/>
        <w:ind w:firstLine="1134"/>
        <w:jc w:val="both"/>
        <w:rPr>
          <w:rFonts w:ascii="Arial" w:hAnsi="Arial" w:cs="Arial"/>
          <w:b/>
          <w:color w:val="000000"/>
          <w:sz w:val="23"/>
          <w:szCs w:val="23"/>
        </w:rPr>
      </w:pPr>
      <w:r w:rsidRPr="000A6C9E">
        <w:rPr>
          <w:rFonts w:ascii="Arial" w:hAnsi="Arial" w:cs="Arial"/>
          <w:b/>
          <w:color w:val="000000"/>
          <w:sz w:val="23"/>
          <w:szCs w:val="23"/>
        </w:rPr>
        <w:t>RESOLVE</w:t>
      </w:r>
    </w:p>
    <w:p w14:paraId="21241166" w14:textId="77777777" w:rsidR="00F237AE" w:rsidRPr="000A6C9E" w:rsidRDefault="00F237AE" w:rsidP="002B3AD5">
      <w:pPr>
        <w:autoSpaceDE w:val="0"/>
        <w:autoSpaceDN w:val="0"/>
        <w:adjustRightInd w:val="0"/>
        <w:spacing w:before="120"/>
        <w:ind w:firstLine="1134"/>
        <w:jc w:val="both"/>
        <w:rPr>
          <w:rFonts w:ascii="Arial" w:hAnsi="Arial" w:cs="Arial"/>
          <w:b/>
          <w:color w:val="000000"/>
          <w:sz w:val="23"/>
          <w:szCs w:val="23"/>
        </w:rPr>
      </w:pPr>
      <w:r w:rsidRPr="000A6C9E">
        <w:rPr>
          <w:rFonts w:ascii="Arial" w:hAnsi="Arial" w:cs="Arial"/>
          <w:b/>
          <w:bCs/>
          <w:color w:val="000000"/>
          <w:sz w:val="23"/>
          <w:szCs w:val="23"/>
        </w:rPr>
        <w:t>Art. 1º</w:t>
      </w:r>
      <w:r w:rsidR="00623A52" w:rsidRPr="000A6C9E">
        <w:rPr>
          <w:rFonts w:ascii="Arial" w:hAnsi="Arial" w:cs="Arial"/>
          <w:b/>
          <w:bCs/>
          <w:color w:val="000000"/>
          <w:sz w:val="23"/>
          <w:szCs w:val="23"/>
        </w:rPr>
        <w:t xml:space="preserve"> </w:t>
      </w:r>
      <w:r w:rsidRPr="000A6C9E">
        <w:rPr>
          <w:rFonts w:ascii="Arial" w:hAnsi="Arial" w:cs="Arial"/>
          <w:bCs/>
          <w:color w:val="000000"/>
          <w:sz w:val="23"/>
          <w:szCs w:val="23"/>
        </w:rPr>
        <w:t>Aplicam-se aos</w:t>
      </w:r>
      <w:r w:rsidR="00623A52" w:rsidRPr="000A6C9E">
        <w:rPr>
          <w:rFonts w:ascii="Arial" w:hAnsi="Arial" w:cs="Arial"/>
          <w:bCs/>
          <w:color w:val="000000"/>
          <w:sz w:val="23"/>
          <w:szCs w:val="23"/>
        </w:rPr>
        <w:t xml:space="preserve"> </w:t>
      </w:r>
      <w:r w:rsidRPr="000A6C9E">
        <w:rPr>
          <w:rFonts w:ascii="Arial" w:hAnsi="Arial" w:cs="Arial"/>
          <w:bCs/>
          <w:color w:val="000000"/>
          <w:sz w:val="23"/>
          <w:szCs w:val="23"/>
        </w:rPr>
        <w:t>atos</w:t>
      </w:r>
      <w:r w:rsidRPr="000A6C9E">
        <w:rPr>
          <w:rFonts w:ascii="Arial" w:hAnsi="Arial" w:cs="Arial"/>
          <w:color w:val="000000"/>
          <w:sz w:val="23"/>
          <w:szCs w:val="23"/>
        </w:rPr>
        <w:t xml:space="preserve"> de que trata o art</w:t>
      </w:r>
      <w:r w:rsidR="00623A52" w:rsidRPr="000A6C9E">
        <w:rPr>
          <w:rFonts w:ascii="Arial" w:hAnsi="Arial" w:cs="Arial"/>
          <w:color w:val="000000"/>
          <w:sz w:val="23"/>
          <w:szCs w:val="23"/>
        </w:rPr>
        <w:t>.</w:t>
      </w:r>
      <w:r w:rsidRPr="000A6C9E">
        <w:rPr>
          <w:rFonts w:ascii="Arial" w:hAnsi="Arial" w:cs="Arial"/>
          <w:color w:val="000000"/>
          <w:sz w:val="23"/>
          <w:szCs w:val="23"/>
        </w:rPr>
        <w:t xml:space="preserve"> 1°, inciso IV, da Lei Complementar n° 113/2005,</w:t>
      </w:r>
      <w:r w:rsidR="00623A52" w:rsidRPr="000A6C9E">
        <w:rPr>
          <w:rFonts w:ascii="Arial" w:hAnsi="Arial" w:cs="Arial"/>
          <w:color w:val="000000"/>
          <w:sz w:val="23"/>
          <w:szCs w:val="23"/>
        </w:rPr>
        <w:t xml:space="preserve"> </w:t>
      </w:r>
      <w:r w:rsidRPr="000A6C9E">
        <w:rPr>
          <w:rFonts w:ascii="Arial" w:hAnsi="Arial" w:cs="Arial"/>
          <w:color w:val="000000"/>
          <w:sz w:val="23"/>
          <w:szCs w:val="23"/>
        </w:rPr>
        <w:t>não encaminhados por meio de sistema de atos de pessoal, as normas da presente Resolução.</w:t>
      </w:r>
    </w:p>
    <w:p w14:paraId="7FBC33DE" w14:textId="77777777" w:rsidR="00F237AE" w:rsidRPr="000A6C9E" w:rsidRDefault="00F237AE"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b/>
          <w:bCs/>
          <w:color w:val="000000"/>
          <w:sz w:val="23"/>
          <w:szCs w:val="23"/>
        </w:rPr>
        <w:t xml:space="preserve">Art. 2º </w:t>
      </w:r>
      <w:r w:rsidRPr="000A6C9E">
        <w:rPr>
          <w:rFonts w:ascii="Arial" w:hAnsi="Arial" w:cs="Arial"/>
          <w:color w:val="000000"/>
          <w:sz w:val="23"/>
          <w:szCs w:val="23"/>
        </w:rPr>
        <w:t>Os atos sujeitos a esta Resolução serão redistribuídos ao Presidente do Tribunal e serão analisados com base no escopo definido em Instrução Normativa</w:t>
      </w:r>
      <w:r w:rsidR="00623A52" w:rsidRPr="000A6C9E">
        <w:rPr>
          <w:rFonts w:ascii="Arial" w:hAnsi="Arial" w:cs="Arial"/>
          <w:color w:val="000000"/>
          <w:sz w:val="23"/>
          <w:szCs w:val="23"/>
        </w:rPr>
        <w:t>.</w:t>
      </w:r>
    </w:p>
    <w:p w14:paraId="721EC63A" w14:textId="77777777" w:rsidR="002C568D" w:rsidRPr="000A6C9E" w:rsidRDefault="00F237AE"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b/>
          <w:color w:val="000000"/>
          <w:sz w:val="23"/>
          <w:szCs w:val="23"/>
        </w:rPr>
        <w:t>Art. 3°</w:t>
      </w:r>
      <w:r w:rsidRPr="000A6C9E">
        <w:rPr>
          <w:rFonts w:ascii="Arial" w:hAnsi="Arial" w:cs="Arial"/>
          <w:color w:val="000000"/>
          <w:sz w:val="23"/>
          <w:szCs w:val="23"/>
        </w:rPr>
        <w:t xml:space="preserve"> Os atos analisados na forma do art</w:t>
      </w:r>
      <w:r w:rsidR="00623A52" w:rsidRPr="000A6C9E">
        <w:rPr>
          <w:rFonts w:ascii="Arial" w:hAnsi="Arial" w:cs="Arial"/>
          <w:color w:val="000000"/>
          <w:sz w:val="23"/>
          <w:szCs w:val="23"/>
        </w:rPr>
        <w:t>.</w:t>
      </w:r>
      <w:r w:rsidRPr="000A6C9E">
        <w:rPr>
          <w:rFonts w:ascii="Arial" w:hAnsi="Arial" w:cs="Arial"/>
          <w:color w:val="000000"/>
          <w:sz w:val="23"/>
          <w:szCs w:val="23"/>
        </w:rPr>
        <w:t xml:space="preserve"> 2° e considerados regulares serão encaminhados ao Presidente para homologação.</w:t>
      </w:r>
    </w:p>
    <w:p w14:paraId="21A7A592" w14:textId="77777777" w:rsidR="00F237AE" w:rsidRPr="000A6C9E" w:rsidRDefault="00F237AE"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color w:val="000000"/>
          <w:sz w:val="23"/>
          <w:szCs w:val="23"/>
        </w:rPr>
        <w:t xml:space="preserve">§ 1° </w:t>
      </w:r>
      <w:r w:rsidR="002C568D" w:rsidRPr="000A6C9E">
        <w:rPr>
          <w:rFonts w:ascii="Arial" w:hAnsi="Arial" w:cs="Arial"/>
          <w:sz w:val="23"/>
          <w:szCs w:val="23"/>
        </w:rPr>
        <w:t>A Certidão de Registro será informada individualmente em cada processo</w:t>
      </w:r>
      <w:r w:rsidRPr="000A6C9E">
        <w:rPr>
          <w:rFonts w:ascii="Arial" w:hAnsi="Arial" w:cs="Arial"/>
          <w:color w:val="000000"/>
          <w:sz w:val="23"/>
          <w:szCs w:val="23"/>
        </w:rPr>
        <w:t>.</w:t>
      </w:r>
    </w:p>
    <w:p w14:paraId="37878750" w14:textId="77777777" w:rsidR="00F237AE" w:rsidRPr="000A6C9E" w:rsidRDefault="00F237AE"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color w:val="000000"/>
          <w:sz w:val="23"/>
          <w:szCs w:val="23"/>
        </w:rPr>
        <w:t xml:space="preserve">§ 2° O não enquadramento dos atos na hipótese do </w:t>
      </w:r>
      <w:r w:rsidRPr="000A6C9E">
        <w:rPr>
          <w:rFonts w:ascii="Arial" w:hAnsi="Arial" w:cs="Arial"/>
          <w:i/>
          <w:color w:val="000000"/>
          <w:sz w:val="23"/>
          <w:szCs w:val="23"/>
        </w:rPr>
        <w:t>caput</w:t>
      </w:r>
      <w:r w:rsidRPr="000A6C9E">
        <w:rPr>
          <w:rFonts w:ascii="Arial" w:hAnsi="Arial" w:cs="Arial"/>
          <w:color w:val="000000"/>
          <w:sz w:val="23"/>
          <w:szCs w:val="23"/>
        </w:rPr>
        <w:t xml:space="preserve"> deste artigo acarretará a realização de diligências preliminares, nos termos do art. 168, XIII, deste Regimento Interno, ou, conforme Instrução Normativa própria, através de outros meios de comunicação eletrônica disponíveis.</w:t>
      </w:r>
    </w:p>
    <w:p w14:paraId="655EE785" w14:textId="77777777" w:rsidR="00F237AE" w:rsidRPr="000A6C9E" w:rsidRDefault="00F237AE"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color w:val="000000"/>
          <w:sz w:val="23"/>
          <w:szCs w:val="23"/>
        </w:rPr>
        <w:t>§ 3º Os atos considerados regulares</w:t>
      </w:r>
      <w:r w:rsidR="00623A52" w:rsidRPr="000A6C9E">
        <w:rPr>
          <w:rFonts w:ascii="Arial" w:hAnsi="Arial" w:cs="Arial"/>
          <w:color w:val="000000"/>
          <w:sz w:val="23"/>
          <w:szCs w:val="23"/>
        </w:rPr>
        <w:t>,</w:t>
      </w:r>
      <w:r w:rsidRPr="000A6C9E">
        <w:rPr>
          <w:rFonts w:ascii="Arial" w:hAnsi="Arial" w:cs="Arial"/>
          <w:color w:val="000000"/>
          <w:sz w:val="23"/>
          <w:szCs w:val="23"/>
        </w:rPr>
        <w:t xml:space="preserve"> após a realização de diligências preliminares</w:t>
      </w:r>
      <w:r w:rsidR="00623A52" w:rsidRPr="000A6C9E">
        <w:rPr>
          <w:rFonts w:ascii="Arial" w:hAnsi="Arial" w:cs="Arial"/>
          <w:color w:val="000000"/>
          <w:sz w:val="23"/>
          <w:szCs w:val="23"/>
        </w:rPr>
        <w:t>,</w:t>
      </w:r>
      <w:r w:rsidRPr="000A6C9E">
        <w:rPr>
          <w:rFonts w:ascii="Arial" w:hAnsi="Arial" w:cs="Arial"/>
          <w:color w:val="000000"/>
          <w:sz w:val="23"/>
          <w:szCs w:val="23"/>
        </w:rPr>
        <w:t xml:space="preserve"> serão encaminhados para homologação, nos termos do </w:t>
      </w:r>
      <w:r w:rsidRPr="000A6C9E">
        <w:rPr>
          <w:rFonts w:ascii="Arial" w:hAnsi="Arial" w:cs="Arial"/>
          <w:i/>
          <w:color w:val="000000"/>
          <w:sz w:val="23"/>
          <w:szCs w:val="23"/>
        </w:rPr>
        <w:t>caput</w:t>
      </w:r>
      <w:r w:rsidRPr="000A6C9E">
        <w:rPr>
          <w:rFonts w:ascii="Arial" w:hAnsi="Arial" w:cs="Arial"/>
          <w:color w:val="000000"/>
          <w:sz w:val="23"/>
          <w:szCs w:val="23"/>
        </w:rPr>
        <w:t xml:space="preserve"> deste artigo.</w:t>
      </w:r>
    </w:p>
    <w:p w14:paraId="04E4C2E5" w14:textId="77777777" w:rsidR="00F237AE" w:rsidRPr="000A6C9E" w:rsidRDefault="00F237AE"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color w:val="000000"/>
          <w:sz w:val="23"/>
          <w:szCs w:val="23"/>
        </w:rPr>
        <w:lastRenderedPageBreak/>
        <w:t>§ 4º Os atos considerados irregulares</w:t>
      </w:r>
      <w:r w:rsidR="00623A52" w:rsidRPr="000A6C9E">
        <w:rPr>
          <w:rFonts w:ascii="Arial" w:hAnsi="Arial" w:cs="Arial"/>
          <w:color w:val="000000"/>
          <w:sz w:val="23"/>
          <w:szCs w:val="23"/>
        </w:rPr>
        <w:t>,</w:t>
      </w:r>
      <w:r w:rsidRPr="000A6C9E">
        <w:rPr>
          <w:rFonts w:ascii="Arial" w:hAnsi="Arial" w:cs="Arial"/>
          <w:color w:val="000000"/>
          <w:sz w:val="23"/>
          <w:szCs w:val="23"/>
        </w:rPr>
        <w:t xml:space="preserve"> após a realização de diligências preliminares</w:t>
      </w:r>
      <w:r w:rsidR="00623A52" w:rsidRPr="000A6C9E">
        <w:rPr>
          <w:rFonts w:ascii="Arial" w:hAnsi="Arial" w:cs="Arial"/>
          <w:color w:val="000000"/>
          <w:sz w:val="23"/>
          <w:szCs w:val="23"/>
        </w:rPr>
        <w:t>,</w:t>
      </w:r>
      <w:r w:rsidRPr="000A6C9E">
        <w:rPr>
          <w:rFonts w:ascii="Arial" w:hAnsi="Arial" w:cs="Arial"/>
          <w:color w:val="000000"/>
          <w:sz w:val="23"/>
          <w:szCs w:val="23"/>
        </w:rPr>
        <w:t xml:space="preserve"> serão encaminhados para redistribuição ao Relator que figurava nessa condição anteriormente nos autos, retornando ao regular processamento.</w:t>
      </w:r>
    </w:p>
    <w:p w14:paraId="57157C0B" w14:textId="77777777" w:rsidR="00F237AE" w:rsidRPr="000A6C9E" w:rsidRDefault="00F237AE"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color w:val="000000"/>
          <w:sz w:val="23"/>
          <w:szCs w:val="23"/>
        </w:rPr>
        <w:t>§ 5º A juntada de resposta intempestiva, o pedido de prorrogação de prazo ou a ausência de resposta à diligência preliminar</w:t>
      </w:r>
      <w:r w:rsidR="00623A52" w:rsidRPr="000A6C9E">
        <w:rPr>
          <w:rFonts w:ascii="Arial" w:hAnsi="Arial" w:cs="Arial"/>
          <w:color w:val="000000"/>
          <w:sz w:val="23"/>
          <w:szCs w:val="23"/>
        </w:rPr>
        <w:t>,</w:t>
      </w:r>
      <w:r w:rsidRPr="000A6C9E">
        <w:rPr>
          <w:rFonts w:ascii="Arial" w:hAnsi="Arial" w:cs="Arial"/>
          <w:color w:val="000000"/>
          <w:sz w:val="23"/>
          <w:szCs w:val="23"/>
        </w:rPr>
        <w:t xml:space="preserve"> implicará a redistribuição do processo em caso de comprometimento ao regular andamento do feito, na forma do</w:t>
      </w:r>
      <w:r w:rsidR="00623A52" w:rsidRPr="000A6C9E">
        <w:rPr>
          <w:rFonts w:ascii="Arial" w:hAnsi="Arial" w:cs="Arial"/>
          <w:color w:val="000000"/>
          <w:sz w:val="23"/>
          <w:szCs w:val="23"/>
        </w:rPr>
        <w:t xml:space="preserve"> § 4º</w:t>
      </w:r>
      <w:r w:rsidRPr="000A6C9E">
        <w:rPr>
          <w:rFonts w:ascii="Arial" w:hAnsi="Arial" w:cs="Arial"/>
          <w:color w:val="000000"/>
          <w:sz w:val="23"/>
          <w:szCs w:val="23"/>
        </w:rPr>
        <w:t>.</w:t>
      </w:r>
    </w:p>
    <w:p w14:paraId="6E449C51" w14:textId="77777777" w:rsidR="00F237AE" w:rsidRPr="000A6C9E" w:rsidRDefault="00F237AE"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color w:val="000000"/>
          <w:sz w:val="23"/>
          <w:szCs w:val="23"/>
        </w:rPr>
        <w:t xml:space="preserve">§ 6º Caso a análise identifique irregularidade grave, cuja manutenção coloque em risco o controle eficaz do ato, a realização de diligências preliminares poderá ser dispensada e o processo imediatamente redistribuído na forma definida no </w:t>
      </w:r>
      <w:r w:rsidR="00623A52" w:rsidRPr="000A6C9E">
        <w:rPr>
          <w:rFonts w:ascii="Arial" w:hAnsi="Arial" w:cs="Arial"/>
          <w:color w:val="000000"/>
          <w:sz w:val="23"/>
          <w:szCs w:val="23"/>
        </w:rPr>
        <w:t xml:space="preserve">§ </w:t>
      </w:r>
      <w:r w:rsidRPr="000A6C9E">
        <w:rPr>
          <w:rFonts w:ascii="Arial" w:hAnsi="Arial" w:cs="Arial"/>
          <w:color w:val="000000"/>
          <w:sz w:val="23"/>
          <w:szCs w:val="23"/>
        </w:rPr>
        <w:t>4º, podendo o Relator, presentes os requisitos, adotar a medida cautelar pertinente, nos termos do art. 400 e seguintes do Regimento Interno, observando-se a tramitação definida no seu art</w:t>
      </w:r>
      <w:r w:rsidR="00623A52" w:rsidRPr="000A6C9E">
        <w:rPr>
          <w:rFonts w:ascii="Arial" w:hAnsi="Arial" w:cs="Arial"/>
          <w:color w:val="000000"/>
          <w:sz w:val="23"/>
          <w:szCs w:val="23"/>
        </w:rPr>
        <w:t>.</w:t>
      </w:r>
      <w:r w:rsidRPr="000A6C9E">
        <w:rPr>
          <w:rFonts w:ascii="Arial" w:hAnsi="Arial" w:cs="Arial"/>
          <w:color w:val="000000"/>
          <w:sz w:val="23"/>
          <w:szCs w:val="23"/>
        </w:rPr>
        <w:t xml:space="preserve"> 300.</w:t>
      </w:r>
    </w:p>
    <w:p w14:paraId="592DC5F6" w14:textId="77777777" w:rsidR="00F237AE" w:rsidRPr="000A6C9E" w:rsidRDefault="00F237AE"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color w:val="000000"/>
          <w:sz w:val="23"/>
          <w:szCs w:val="23"/>
        </w:rPr>
        <w:t>§ 7º O ato que já tenha sido objeto de instrução, parecer, proposta de voto ou despacho indicando negativa de registro</w:t>
      </w:r>
      <w:r w:rsidR="00623A52" w:rsidRPr="000A6C9E">
        <w:rPr>
          <w:rFonts w:ascii="Arial" w:hAnsi="Arial" w:cs="Arial"/>
          <w:color w:val="000000"/>
          <w:sz w:val="23"/>
          <w:szCs w:val="23"/>
        </w:rPr>
        <w:t>,</w:t>
      </w:r>
      <w:r w:rsidRPr="000A6C9E">
        <w:rPr>
          <w:rFonts w:ascii="Arial" w:hAnsi="Arial" w:cs="Arial"/>
          <w:color w:val="000000"/>
          <w:sz w:val="23"/>
          <w:szCs w:val="23"/>
        </w:rPr>
        <w:t xml:space="preserve"> será redistribuído na forma do </w:t>
      </w:r>
      <w:r w:rsidR="00623A52" w:rsidRPr="000A6C9E">
        <w:rPr>
          <w:rFonts w:ascii="Arial" w:hAnsi="Arial" w:cs="Arial"/>
          <w:color w:val="000000"/>
          <w:sz w:val="23"/>
          <w:szCs w:val="23"/>
        </w:rPr>
        <w:t>§</w:t>
      </w:r>
      <w:r w:rsidR="00B45AE0" w:rsidRPr="000A6C9E">
        <w:rPr>
          <w:rFonts w:ascii="Arial" w:hAnsi="Arial" w:cs="Arial"/>
          <w:color w:val="000000"/>
          <w:sz w:val="23"/>
          <w:szCs w:val="23"/>
        </w:rPr>
        <w:t xml:space="preserve"> </w:t>
      </w:r>
      <w:r w:rsidRPr="000A6C9E">
        <w:rPr>
          <w:rFonts w:ascii="Arial" w:hAnsi="Arial" w:cs="Arial"/>
          <w:color w:val="000000"/>
          <w:sz w:val="23"/>
          <w:szCs w:val="23"/>
        </w:rPr>
        <w:t>4º, retornando ao regular processamento.</w:t>
      </w:r>
    </w:p>
    <w:p w14:paraId="4C1055FE" w14:textId="77777777" w:rsidR="001D6174" w:rsidRPr="000A6C9E" w:rsidRDefault="00F237AE"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color w:val="000000"/>
          <w:sz w:val="23"/>
          <w:szCs w:val="23"/>
        </w:rPr>
        <w:t xml:space="preserve">§ 8° A revisão do ato de registro que se enquadrar na hipótese do </w:t>
      </w:r>
      <w:r w:rsidRPr="000A6C9E">
        <w:rPr>
          <w:rFonts w:ascii="Arial" w:hAnsi="Arial" w:cs="Arial"/>
          <w:i/>
          <w:color w:val="000000"/>
          <w:sz w:val="23"/>
          <w:szCs w:val="23"/>
        </w:rPr>
        <w:t>caput</w:t>
      </w:r>
      <w:r w:rsidRPr="000A6C9E">
        <w:rPr>
          <w:rFonts w:ascii="Arial" w:hAnsi="Arial" w:cs="Arial"/>
          <w:color w:val="000000"/>
          <w:sz w:val="23"/>
          <w:szCs w:val="23"/>
        </w:rPr>
        <w:t xml:space="preserve"> deste artigo se dará por requerimento, no prazo de 10 (dez) dias</w:t>
      </w:r>
      <w:r w:rsidR="00623A52" w:rsidRPr="000A6C9E">
        <w:rPr>
          <w:rFonts w:ascii="Arial" w:hAnsi="Arial" w:cs="Arial"/>
          <w:color w:val="000000"/>
          <w:sz w:val="23"/>
          <w:szCs w:val="23"/>
        </w:rPr>
        <w:t>,</w:t>
      </w:r>
      <w:r w:rsidRPr="000A6C9E">
        <w:rPr>
          <w:rFonts w:ascii="Arial" w:hAnsi="Arial" w:cs="Arial"/>
          <w:color w:val="000000"/>
          <w:sz w:val="23"/>
          <w:szCs w:val="23"/>
        </w:rPr>
        <w:t xml:space="preserve"> após a publicação do ato de homologação, de iniciativa da Unidade Técnica, do Ministério Público de Contas, dos sujeitos do processo ou de terceiros, dirigido ao Presidente do Tribunal que, após manifestação da Coordenadoria de Fiscalização de Atos de Pessoal e do Ministério Público de Contas, deliberará acerca da admissibilidade e, em sendo o caso, determinará a redistribuição na forma definida no </w:t>
      </w:r>
      <w:r w:rsidR="00623A52" w:rsidRPr="000A6C9E">
        <w:rPr>
          <w:rFonts w:ascii="Arial" w:hAnsi="Arial" w:cs="Arial"/>
          <w:color w:val="000000"/>
          <w:sz w:val="23"/>
          <w:szCs w:val="23"/>
        </w:rPr>
        <w:t xml:space="preserve">§ </w:t>
      </w:r>
      <w:r w:rsidRPr="000A6C9E">
        <w:rPr>
          <w:rFonts w:ascii="Arial" w:hAnsi="Arial" w:cs="Arial"/>
          <w:color w:val="000000"/>
          <w:sz w:val="23"/>
          <w:szCs w:val="23"/>
        </w:rPr>
        <w:t>4º e regular processamento.</w:t>
      </w:r>
    </w:p>
    <w:p w14:paraId="29BFD322" w14:textId="77777777" w:rsidR="001D6174" w:rsidRPr="000A6C9E" w:rsidRDefault="001D6174" w:rsidP="002B3AD5">
      <w:pPr>
        <w:autoSpaceDE w:val="0"/>
        <w:autoSpaceDN w:val="0"/>
        <w:adjustRightInd w:val="0"/>
        <w:spacing w:before="120"/>
        <w:ind w:firstLine="1134"/>
        <w:jc w:val="both"/>
        <w:rPr>
          <w:rFonts w:ascii="Arial" w:hAnsi="Arial" w:cs="Arial"/>
          <w:b/>
          <w:color w:val="000000"/>
          <w:sz w:val="23"/>
          <w:szCs w:val="23"/>
        </w:rPr>
      </w:pPr>
      <w:r w:rsidRPr="000A6C9E">
        <w:rPr>
          <w:rFonts w:ascii="Arial,Bold" w:hAnsi="Arial,Bold" w:cs="Arial,Bold"/>
          <w:b/>
          <w:bCs/>
          <w:sz w:val="23"/>
          <w:szCs w:val="23"/>
        </w:rPr>
        <w:t xml:space="preserve">Art. 4º </w:t>
      </w:r>
      <w:r w:rsidRPr="000A6C9E">
        <w:rPr>
          <w:rFonts w:ascii="Arial" w:hAnsi="Arial" w:cs="Arial"/>
          <w:sz w:val="23"/>
          <w:szCs w:val="23"/>
        </w:rPr>
        <w:t>Os atos de pessoal encaminhados via sistema que tenham sido autuados originariamente como processo observarão a tramitação prevista no art. 299, do Regimento Interno.</w:t>
      </w:r>
    </w:p>
    <w:p w14:paraId="3F137B5F" w14:textId="6D0A02AA" w:rsidR="001D6174" w:rsidRPr="000A6C9E" w:rsidRDefault="00FA3A5A"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b/>
          <w:color w:val="000000"/>
          <w:sz w:val="23"/>
          <w:szCs w:val="23"/>
        </w:rPr>
        <w:t xml:space="preserve">Art. </w:t>
      </w:r>
      <w:r w:rsidR="001D6174" w:rsidRPr="000A6C9E">
        <w:rPr>
          <w:rFonts w:ascii="Arial" w:hAnsi="Arial" w:cs="Arial"/>
          <w:b/>
          <w:color w:val="000000"/>
          <w:sz w:val="23"/>
          <w:szCs w:val="23"/>
        </w:rPr>
        <w:t>5º</w:t>
      </w:r>
      <w:r w:rsidRPr="000A6C9E">
        <w:rPr>
          <w:rFonts w:ascii="Arial" w:hAnsi="Arial" w:cs="Arial"/>
          <w:color w:val="000000"/>
          <w:sz w:val="23"/>
          <w:szCs w:val="23"/>
        </w:rPr>
        <w:t xml:space="preserve"> Fica revogado o parágrafo único do art. 1º da </w:t>
      </w:r>
      <w:hyperlink r:id="rId13" w:history="1">
        <w:r w:rsidRPr="000A6C9E">
          <w:rPr>
            <w:rStyle w:val="Hyperlink"/>
            <w:rFonts w:ascii="Arial" w:hAnsi="Arial" w:cs="Arial"/>
            <w:sz w:val="23"/>
            <w:szCs w:val="23"/>
          </w:rPr>
          <w:t>Instrução Normativa nº 117/2016</w:t>
        </w:r>
      </w:hyperlink>
      <w:r w:rsidRPr="000A6C9E">
        <w:rPr>
          <w:rFonts w:ascii="Arial" w:hAnsi="Arial" w:cs="Arial"/>
          <w:color w:val="000000"/>
          <w:sz w:val="23"/>
          <w:szCs w:val="23"/>
        </w:rPr>
        <w:t>.</w:t>
      </w:r>
    </w:p>
    <w:p w14:paraId="6970B1F1" w14:textId="77777777" w:rsidR="001D6174" w:rsidRPr="000A6C9E" w:rsidRDefault="001D6174" w:rsidP="002B3AD5">
      <w:pPr>
        <w:autoSpaceDE w:val="0"/>
        <w:autoSpaceDN w:val="0"/>
        <w:adjustRightInd w:val="0"/>
        <w:spacing w:before="120"/>
        <w:ind w:firstLine="1134"/>
        <w:jc w:val="both"/>
        <w:rPr>
          <w:rFonts w:ascii="Arial" w:hAnsi="Arial" w:cs="Arial"/>
          <w:sz w:val="23"/>
          <w:szCs w:val="23"/>
        </w:rPr>
      </w:pPr>
      <w:r w:rsidRPr="000A6C9E">
        <w:rPr>
          <w:rFonts w:ascii="Arial,Bold" w:hAnsi="Arial,Bold" w:cs="Arial,Bold"/>
          <w:b/>
          <w:bCs/>
          <w:sz w:val="23"/>
          <w:szCs w:val="23"/>
        </w:rPr>
        <w:t xml:space="preserve">Art. 6º </w:t>
      </w:r>
      <w:r w:rsidRPr="000A6C9E">
        <w:rPr>
          <w:rFonts w:ascii="Arial" w:hAnsi="Arial" w:cs="Arial"/>
          <w:sz w:val="23"/>
          <w:szCs w:val="23"/>
        </w:rPr>
        <w:t>O § 9º do art. 299-A do Regimento Interno passa a vigorar com a seguinte redação:</w:t>
      </w:r>
    </w:p>
    <w:p w14:paraId="236760DD" w14:textId="77777777" w:rsidR="001D6174" w:rsidRPr="000A6C9E" w:rsidRDefault="001D6174" w:rsidP="002B3AD5">
      <w:pPr>
        <w:autoSpaceDE w:val="0"/>
        <w:autoSpaceDN w:val="0"/>
        <w:adjustRightInd w:val="0"/>
        <w:spacing w:before="120"/>
        <w:ind w:firstLine="1134"/>
        <w:jc w:val="both"/>
        <w:rPr>
          <w:rFonts w:ascii="Arial" w:hAnsi="Arial" w:cs="Arial"/>
          <w:sz w:val="23"/>
          <w:szCs w:val="23"/>
        </w:rPr>
      </w:pPr>
      <w:r w:rsidRPr="000A6C9E">
        <w:rPr>
          <w:rFonts w:ascii="Arial" w:hAnsi="Arial" w:cs="Arial"/>
          <w:sz w:val="23"/>
          <w:szCs w:val="23"/>
        </w:rPr>
        <w:t>“Art. 299-A [...]</w:t>
      </w:r>
    </w:p>
    <w:p w14:paraId="4FFBD0DB" w14:textId="77777777" w:rsidR="001D6174" w:rsidRPr="000A6C9E" w:rsidRDefault="001D6174" w:rsidP="002B3AD5">
      <w:pPr>
        <w:autoSpaceDE w:val="0"/>
        <w:autoSpaceDN w:val="0"/>
        <w:adjustRightInd w:val="0"/>
        <w:spacing w:before="120"/>
        <w:ind w:firstLine="1134"/>
        <w:jc w:val="both"/>
        <w:rPr>
          <w:rFonts w:ascii="Arial" w:hAnsi="Arial" w:cs="Arial"/>
          <w:sz w:val="23"/>
          <w:szCs w:val="23"/>
        </w:rPr>
      </w:pPr>
      <w:r w:rsidRPr="000A6C9E">
        <w:rPr>
          <w:rFonts w:ascii="Arial" w:hAnsi="Arial" w:cs="Arial"/>
          <w:sz w:val="23"/>
          <w:szCs w:val="23"/>
        </w:rPr>
        <w:t>[...]</w:t>
      </w:r>
    </w:p>
    <w:p w14:paraId="0A8841D8" w14:textId="77777777" w:rsidR="001D6174" w:rsidRPr="000A6C9E" w:rsidRDefault="001D6174" w:rsidP="002B3AD5">
      <w:pPr>
        <w:autoSpaceDE w:val="0"/>
        <w:autoSpaceDN w:val="0"/>
        <w:adjustRightInd w:val="0"/>
        <w:spacing w:before="120"/>
        <w:ind w:firstLine="1134"/>
        <w:jc w:val="both"/>
        <w:rPr>
          <w:rFonts w:ascii="Arial" w:hAnsi="Arial" w:cs="Arial"/>
          <w:color w:val="000000"/>
          <w:sz w:val="23"/>
          <w:szCs w:val="23"/>
        </w:rPr>
      </w:pPr>
      <w:r w:rsidRPr="000A6C9E">
        <w:rPr>
          <w:rFonts w:ascii="Arial" w:hAnsi="Arial" w:cs="Arial"/>
          <w:sz w:val="23"/>
          <w:szCs w:val="23"/>
        </w:rPr>
        <w:t>§ 9º Os atos de pessoal não enviados via sistema observarão a tramitação definida em Resolução própria e, no que couber, neste Regimento”.</w:t>
      </w:r>
    </w:p>
    <w:p w14:paraId="2852BE9B" w14:textId="77777777" w:rsidR="00F237AE" w:rsidRPr="000A6C9E" w:rsidRDefault="00F237AE" w:rsidP="002B3AD5">
      <w:pPr>
        <w:autoSpaceDE w:val="0"/>
        <w:autoSpaceDN w:val="0"/>
        <w:adjustRightInd w:val="0"/>
        <w:spacing w:before="120"/>
        <w:ind w:firstLine="1134"/>
        <w:jc w:val="both"/>
        <w:rPr>
          <w:rFonts w:ascii="Arial" w:hAnsi="Arial" w:cs="Arial"/>
          <w:bCs/>
          <w:color w:val="000000"/>
          <w:sz w:val="23"/>
          <w:szCs w:val="23"/>
        </w:rPr>
      </w:pPr>
      <w:r w:rsidRPr="000A6C9E">
        <w:rPr>
          <w:rFonts w:ascii="Arial" w:hAnsi="Arial" w:cs="Arial"/>
          <w:b/>
          <w:bCs/>
          <w:color w:val="000000"/>
          <w:sz w:val="23"/>
          <w:szCs w:val="23"/>
        </w:rPr>
        <w:t xml:space="preserve">Art. </w:t>
      </w:r>
      <w:r w:rsidR="007A7103" w:rsidRPr="000A6C9E">
        <w:rPr>
          <w:rFonts w:ascii="Arial" w:hAnsi="Arial" w:cs="Arial"/>
          <w:b/>
          <w:bCs/>
          <w:color w:val="000000"/>
          <w:sz w:val="23"/>
          <w:szCs w:val="23"/>
        </w:rPr>
        <w:t>7</w:t>
      </w:r>
      <w:r w:rsidR="00FA3A5A" w:rsidRPr="000A6C9E">
        <w:rPr>
          <w:rFonts w:ascii="Arial" w:hAnsi="Arial" w:cs="Arial"/>
          <w:b/>
          <w:bCs/>
          <w:color w:val="000000"/>
          <w:sz w:val="23"/>
          <w:szCs w:val="23"/>
        </w:rPr>
        <w:t>º</w:t>
      </w:r>
      <w:r w:rsidRPr="000A6C9E">
        <w:rPr>
          <w:rFonts w:ascii="Arial" w:hAnsi="Arial" w:cs="Arial"/>
          <w:b/>
          <w:bCs/>
          <w:color w:val="000000"/>
          <w:sz w:val="23"/>
          <w:szCs w:val="23"/>
        </w:rPr>
        <w:t>.</w:t>
      </w:r>
      <w:r w:rsidRPr="000A6C9E">
        <w:rPr>
          <w:rFonts w:ascii="Arial" w:hAnsi="Arial" w:cs="Arial"/>
          <w:bCs/>
          <w:color w:val="000000"/>
          <w:sz w:val="23"/>
          <w:szCs w:val="23"/>
        </w:rPr>
        <w:t xml:space="preserve"> Esta Resolução entra em vigor na data de sua publicação.</w:t>
      </w:r>
    </w:p>
    <w:p w14:paraId="0967108F" w14:textId="77777777" w:rsidR="006A2DDE" w:rsidRPr="000A6C9E" w:rsidRDefault="006A2DDE" w:rsidP="002B3AD5">
      <w:pPr>
        <w:pStyle w:val="Recuodecorpodetexto3"/>
        <w:spacing w:before="360"/>
        <w:ind w:left="0"/>
        <w:jc w:val="center"/>
        <w:rPr>
          <w:rFonts w:ascii="Arial" w:hAnsi="Arial" w:cs="Arial"/>
          <w:color w:val="000000"/>
          <w:sz w:val="23"/>
          <w:szCs w:val="23"/>
        </w:rPr>
      </w:pPr>
      <w:r w:rsidRPr="000A6C9E">
        <w:rPr>
          <w:rFonts w:ascii="Arial" w:hAnsi="Arial" w:cs="Arial"/>
          <w:color w:val="000000"/>
          <w:sz w:val="23"/>
          <w:szCs w:val="23"/>
        </w:rPr>
        <w:t xml:space="preserve">Curitiba, </w:t>
      </w:r>
      <w:r w:rsidR="001D6174" w:rsidRPr="000A6C9E">
        <w:rPr>
          <w:rFonts w:ascii="Arial" w:hAnsi="Arial" w:cs="Arial"/>
          <w:color w:val="000000"/>
          <w:sz w:val="23"/>
          <w:szCs w:val="23"/>
        </w:rPr>
        <w:t>14 de dezembro de 2017</w:t>
      </w:r>
      <w:r w:rsidRPr="000A6C9E">
        <w:rPr>
          <w:rFonts w:ascii="Arial" w:hAnsi="Arial" w:cs="Arial"/>
          <w:color w:val="000000"/>
          <w:sz w:val="23"/>
          <w:szCs w:val="23"/>
        </w:rPr>
        <w:t>.</w:t>
      </w:r>
    </w:p>
    <w:p w14:paraId="51F30608" w14:textId="77777777" w:rsidR="001D6174" w:rsidRPr="001D6174" w:rsidRDefault="001D6174" w:rsidP="001D6174">
      <w:pPr>
        <w:spacing w:before="360"/>
        <w:jc w:val="center"/>
        <w:rPr>
          <w:rFonts w:ascii="Arial" w:hAnsi="Arial" w:cs="Arial"/>
          <w:color w:val="808080"/>
          <w:szCs w:val="22"/>
        </w:rPr>
      </w:pPr>
      <w:r w:rsidRPr="001D6174">
        <w:rPr>
          <w:rFonts w:ascii="Arial" w:hAnsi="Arial" w:cs="Arial"/>
          <w:color w:val="808080"/>
          <w:szCs w:val="22"/>
        </w:rPr>
        <w:t>- assinatura digital -</w:t>
      </w:r>
    </w:p>
    <w:p w14:paraId="733B30B4" w14:textId="77777777" w:rsidR="001D6174" w:rsidRPr="001D6174" w:rsidRDefault="001D6174" w:rsidP="001D6174">
      <w:pPr>
        <w:spacing w:before="120"/>
        <w:jc w:val="center"/>
        <w:rPr>
          <w:rFonts w:ascii="Arial" w:hAnsi="Arial" w:cs="Arial"/>
          <w:b/>
          <w:szCs w:val="22"/>
        </w:rPr>
      </w:pPr>
      <w:r w:rsidRPr="001D6174">
        <w:rPr>
          <w:rFonts w:ascii="Arial" w:hAnsi="Arial" w:cs="Arial"/>
          <w:b/>
          <w:szCs w:val="22"/>
        </w:rPr>
        <w:t>JOSÉ DURVAL MATTOS DO AMARAL</w:t>
      </w:r>
    </w:p>
    <w:p w14:paraId="40C85463" w14:textId="77777777" w:rsidR="004F714E" w:rsidRPr="001D6174" w:rsidRDefault="001D6174" w:rsidP="000A6C9E">
      <w:pPr>
        <w:autoSpaceDE w:val="0"/>
        <w:autoSpaceDN w:val="0"/>
        <w:adjustRightInd w:val="0"/>
        <w:jc w:val="center"/>
        <w:rPr>
          <w:rFonts w:ascii="Arial" w:hAnsi="Arial" w:cs="Arial"/>
          <w:color w:val="000000"/>
        </w:rPr>
      </w:pPr>
      <w:r w:rsidRPr="001D6174">
        <w:rPr>
          <w:rFonts w:ascii="Arial" w:hAnsi="Arial" w:cs="Arial"/>
          <w:szCs w:val="22"/>
        </w:rPr>
        <w:t>Presidente</w:t>
      </w:r>
    </w:p>
    <w:sectPr w:rsidR="004F714E" w:rsidRPr="001D6174" w:rsidSect="005B0D2C">
      <w:headerReference w:type="default" r:id="rId14"/>
      <w:footerReference w:type="even" r:id="rId15"/>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A25F" w14:textId="77777777" w:rsidR="008C717B" w:rsidRDefault="008C717B">
      <w:r>
        <w:separator/>
      </w:r>
    </w:p>
  </w:endnote>
  <w:endnote w:type="continuationSeparator" w:id="0">
    <w:p w14:paraId="5430C6E7" w14:textId="77777777" w:rsidR="008C717B" w:rsidRDefault="008C717B">
      <w:r>
        <w:continuationSeparator/>
      </w:r>
    </w:p>
  </w:endnote>
  <w:endnote w:type="continuationNotice" w:id="1">
    <w:p w14:paraId="5DFE8FF9" w14:textId="77777777" w:rsidR="008C717B" w:rsidRDefault="008C7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0EF3" w14:textId="77777777" w:rsidR="0066249C" w:rsidRDefault="0066249C" w:rsidP="00AA445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F05D1E" w14:textId="77777777" w:rsidR="0066249C" w:rsidRDefault="0066249C" w:rsidP="00AD2695">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AA7E" w14:textId="77777777" w:rsidR="008C717B" w:rsidRDefault="008C717B">
      <w:r>
        <w:separator/>
      </w:r>
    </w:p>
  </w:footnote>
  <w:footnote w:type="continuationSeparator" w:id="0">
    <w:p w14:paraId="53D5B54A" w14:textId="77777777" w:rsidR="008C717B" w:rsidRDefault="008C717B">
      <w:r>
        <w:continuationSeparator/>
      </w:r>
    </w:p>
  </w:footnote>
  <w:footnote w:type="continuationNotice" w:id="1">
    <w:p w14:paraId="28C96B22" w14:textId="77777777" w:rsidR="008C717B" w:rsidRDefault="008C717B"/>
  </w:footnote>
  <w:footnote w:id="2">
    <w:p w14:paraId="35595013" w14:textId="77777777" w:rsidR="004E1437" w:rsidRPr="00EE074D" w:rsidRDefault="004E1437" w:rsidP="004E1437">
      <w:pPr>
        <w:pStyle w:val="Textodenotaderodap"/>
        <w:jc w:val="both"/>
        <w:rPr>
          <w:rFonts w:ascii="Arial" w:hAnsi="Arial" w:cs="Arial"/>
        </w:rPr>
      </w:pPr>
      <w:r>
        <w:rPr>
          <w:rStyle w:val="Refdenotaderodap"/>
        </w:rPr>
        <w:footnoteRef/>
      </w:r>
      <w:r>
        <w:t xml:space="preserve"> </w:t>
      </w:r>
      <w:r w:rsidRPr="00EE074D">
        <w:rPr>
          <w:rFonts w:ascii="Arial" w:hAnsi="Arial" w:cs="Arial"/>
          <w:b/>
        </w:rPr>
        <w:t>Notas da Biblioteca:</w:t>
      </w:r>
    </w:p>
    <w:p w14:paraId="3E61C67D" w14:textId="48EA8044" w:rsidR="004E1437" w:rsidRPr="00AE15AF" w:rsidRDefault="004E1437" w:rsidP="00AE15AF">
      <w:pPr>
        <w:pStyle w:val="Textodenotaderodap"/>
        <w:numPr>
          <w:ilvl w:val="0"/>
          <w:numId w:val="7"/>
        </w:numPr>
        <w:ind w:left="426" w:hanging="284"/>
        <w:jc w:val="both"/>
        <w:rPr>
          <w:rFonts w:ascii="Arial" w:hAnsi="Arial" w:cs="Arial"/>
        </w:rPr>
      </w:pPr>
      <w:r w:rsidRPr="00AE15AF">
        <w:rPr>
          <w:rFonts w:ascii="Arial" w:hAnsi="Arial" w:cs="Arial"/>
        </w:rPr>
        <w:t xml:space="preserve">Este texto não substitui o publicado no periódico: </w:t>
      </w:r>
      <w:hyperlink r:id="rId1" w:history="1">
        <w:r w:rsidR="0078537C" w:rsidRPr="00AE15AF">
          <w:rPr>
            <w:rStyle w:val="Hyperlink"/>
            <w:rFonts w:ascii="Arial" w:hAnsi="Arial" w:cs="Arial"/>
          </w:rPr>
          <w:t>Diário Eletrônico do Tribunal de Contas do Estado do Paraná, Curitiba, PR, n. 1737, 15 dez. 2017, p. 21</w:t>
        </w:r>
      </w:hyperlink>
      <w:r w:rsidR="0078537C" w:rsidRPr="00AE15AF">
        <w:rPr>
          <w:rFonts w:ascii="Arial" w:hAnsi="Arial" w:cs="Arial"/>
          <w:bCs/>
        </w:rPr>
        <w:t>.</w:t>
      </w:r>
    </w:p>
    <w:p w14:paraId="4E26B058" w14:textId="77777777" w:rsidR="00AE15AF" w:rsidRPr="00AE15AF" w:rsidRDefault="00AE15AF" w:rsidP="00AE15AF">
      <w:pPr>
        <w:pStyle w:val="Textodenotaderodap"/>
        <w:numPr>
          <w:ilvl w:val="0"/>
          <w:numId w:val="7"/>
        </w:numPr>
        <w:ind w:left="426" w:hanging="284"/>
        <w:jc w:val="both"/>
        <w:rPr>
          <w:rFonts w:ascii="Arial" w:hAnsi="Arial" w:cs="Arial"/>
        </w:rPr>
      </w:pPr>
      <w:r w:rsidRPr="00AE15AF">
        <w:rPr>
          <w:rFonts w:ascii="Arial" w:hAnsi="Arial" w:cs="Arial"/>
        </w:rPr>
        <w:t xml:space="preserve">Origem: Processo n. </w:t>
      </w:r>
      <w:r w:rsidRPr="00AE15AF">
        <w:rPr>
          <w:rFonts w:ascii="Arial" w:hAnsi="Arial" w:cs="Arial"/>
          <w:color w:val="000000"/>
        </w:rPr>
        <w:t>72891-6/2017</w:t>
      </w:r>
      <w:r w:rsidRPr="00AE15AF">
        <w:rPr>
          <w:rFonts w:ascii="Arial" w:hAnsi="Arial" w:cs="Arial"/>
        </w:rPr>
        <w:t xml:space="preserve">– </w:t>
      </w:r>
      <w:hyperlink r:id="rId2" w:history="1">
        <w:r w:rsidRPr="00AE15AF">
          <w:rPr>
            <w:rStyle w:val="Hyperlink"/>
            <w:rFonts w:ascii="Arial" w:hAnsi="Arial" w:cs="Arial"/>
          </w:rPr>
          <w:t>Acórdão n.</w:t>
        </w:r>
        <w:r w:rsidRPr="00AE15AF">
          <w:rPr>
            <w:rStyle w:val="Hyperlink"/>
            <w:rFonts w:ascii="Arial" w:eastAsia="Times New Roman" w:hAnsi="Arial" w:cs="Arial"/>
          </w:rPr>
          <w:t xml:space="preserve"> 4922/2017</w:t>
        </w:r>
        <w:r w:rsidRPr="00AE15AF">
          <w:rPr>
            <w:rStyle w:val="Hyperlink"/>
            <w:rFonts w:ascii="Arial" w:hAnsi="Arial" w:cs="Arial"/>
          </w:rPr>
          <w:t>- Tribunal Pleno</w:t>
        </w:r>
      </w:hyperlink>
      <w:r w:rsidRPr="00AE15AF">
        <w:rPr>
          <w:rFonts w:ascii="Arial" w:hAnsi="Arial" w:cs="Arial"/>
        </w:rPr>
        <w:t>.</w:t>
      </w:r>
    </w:p>
    <w:p w14:paraId="3D480EA3" w14:textId="77777777" w:rsidR="00AE15AF" w:rsidRPr="00AE15AF" w:rsidRDefault="00AE15AF" w:rsidP="00AE15AF">
      <w:pPr>
        <w:pStyle w:val="Textodenotaderodap"/>
        <w:numPr>
          <w:ilvl w:val="0"/>
          <w:numId w:val="7"/>
        </w:numPr>
        <w:ind w:left="426" w:hanging="284"/>
        <w:jc w:val="both"/>
        <w:rPr>
          <w:rFonts w:ascii="Arial" w:hAnsi="Arial" w:cs="Arial"/>
          <w:color w:val="545454"/>
        </w:rPr>
      </w:pPr>
      <w:r w:rsidRPr="00AE15AF">
        <w:rPr>
          <w:rFonts w:ascii="Arial" w:hAnsi="Arial" w:cs="Arial"/>
          <w:b/>
          <w:bCs/>
        </w:rPr>
        <w:t>Altera</w:t>
      </w:r>
      <w:r w:rsidRPr="00AE15AF">
        <w:rPr>
          <w:rFonts w:ascii="Arial" w:hAnsi="Arial" w:cs="Arial"/>
        </w:rPr>
        <w:t xml:space="preserve">: </w:t>
      </w:r>
    </w:p>
    <w:p w14:paraId="106667EC" w14:textId="77777777" w:rsidR="00AE15AF" w:rsidRPr="00AE15AF" w:rsidRDefault="00AE15AF" w:rsidP="00AE15AF">
      <w:pPr>
        <w:pStyle w:val="Textodenotaderodap"/>
        <w:ind w:left="426"/>
        <w:jc w:val="both"/>
        <w:rPr>
          <w:rStyle w:val="Hyperlink"/>
          <w:rFonts w:ascii="Arial" w:hAnsi="Arial" w:cs="Arial"/>
        </w:rPr>
      </w:pPr>
      <w:hyperlink r:id="rId3" w:history="1">
        <w:r w:rsidRPr="00AE15AF">
          <w:rPr>
            <w:rStyle w:val="Hyperlink"/>
            <w:rFonts w:ascii="Arial" w:hAnsi="Arial" w:cs="Arial"/>
          </w:rPr>
          <w:t>Resolução n. 1, de 24 de janeiro de 2006 - Regimento Interno</w:t>
        </w:r>
      </w:hyperlink>
      <w:r w:rsidRPr="00AE15AF">
        <w:rPr>
          <w:rStyle w:val="Hyperlink"/>
          <w:rFonts w:ascii="Arial" w:hAnsi="Arial" w:cs="Arial"/>
        </w:rPr>
        <w:t xml:space="preserve"> (e alterações posteriores).</w:t>
      </w:r>
    </w:p>
    <w:p w14:paraId="43AD8101" w14:textId="77777777" w:rsidR="00AE15AF" w:rsidRPr="00AE15AF" w:rsidRDefault="00AE15AF" w:rsidP="00AE15AF">
      <w:pPr>
        <w:pStyle w:val="PargrafodaLista"/>
        <w:spacing w:after="0" w:line="240" w:lineRule="auto"/>
        <w:ind w:left="426"/>
        <w:rPr>
          <w:rStyle w:val="Hyperlink"/>
          <w:rFonts w:ascii="Arial" w:hAnsi="Arial" w:cs="Arial"/>
          <w:sz w:val="20"/>
          <w:szCs w:val="20"/>
        </w:rPr>
      </w:pPr>
      <w:hyperlink r:id="rId4" w:history="1">
        <w:r w:rsidRPr="00AE15AF">
          <w:rPr>
            <w:rStyle w:val="Hyperlink"/>
            <w:rFonts w:ascii="Arial" w:hAnsi="Arial" w:cs="Arial"/>
            <w:sz w:val="20"/>
            <w:szCs w:val="20"/>
          </w:rPr>
          <w:t>Instrução Normativa n. 117, de 12 de maio de 2016.</w:t>
        </w:r>
      </w:hyperlink>
    </w:p>
    <w:p w14:paraId="38149B60" w14:textId="723AED02" w:rsidR="004E1437" w:rsidRPr="00784CDF" w:rsidRDefault="00AE15AF" w:rsidP="00017BB9">
      <w:pPr>
        <w:numPr>
          <w:ilvl w:val="0"/>
          <w:numId w:val="7"/>
        </w:numPr>
        <w:ind w:left="426" w:hanging="284"/>
        <w:rPr>
          <w:rFonts w:ascii="Arial" w:hAnsi="Arial" w:cs="Arial"/>
          <w:sz w:val="20"/>
          <w:szCs w:val="20"/>
        </w:rPr>
      </w:pPr>
      <w:r w:rsidRPr="00AE15AF">
        <w:rPr>
          <w:rStyle w:val="Forte"/>
          <w:rFonts w:ascii="Arial" w:hAnsi="Arial" w:cs="Arial"/>
          <w:sz w:val="20"/>
          <w:szCs w:val="20"/>
        </w:rPr>
        <w:t xml:space="preserve">Ver </w:t>
      </w:r>
      <w:hyperlink r:id="rId5" w:history="1">
        <w:r w:rsidRPr="00AE15AF">
          <w:rPr>
            <w:rStyle w:val="Hyperlink"/>
            <w:rFonts w:ascii="Arial" w:hAnsi="Arial" w:cs="Arial"/>
            <w:sz w:val="20"/>
            <w:szCs w:val="20"/>
          </w:rPr>
          <w:t>alterações posteriores</w:t>
        </w:r>
      </w:hyperlink>
      <w:r w:rsidRPr="00AE15AF">
        <w:rPr>
          <w:rFonts w:ascii="Arial" w:hAnsi="Arial" w:cs="Arial"/>
          <w:b/>
          <w:b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C00A" w14:textId="77777777" w:rsidR="0066249C" w:rsidRDefault="00000000" w:rsidP="005A6CC6">
    <w:pPr>
      <w:pStyle w:val="Cabealho"/>
      <w:spacing w:before="240"/>
      <w:ind w:left="1134"/>
      <w:jc w:val="center"/>
      <w:rPr>
        <w:rFonts w:ascii="Arial" w:hAnsi="Arial" w:cs="Arial"/>
        <w:b/>
        <w:sz w:val="28"/>
        <w:szCs w:val="28"/>
      </w:rPr>
    </w:pPr>
    <w:r>
      <w:rPr>
        <w:noProof/>
      </w:rPr>
      <w:pict w14:anchorId="43A48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5" type="#_x0000_t75" alt="Descrição: logo TC colorido - medio" style="position:absolute;left:0;text-align:left;margin-left:2.8pt;margin-top:-6.1pt;width:47.7pt;height:56.1pt;z-index:1;visibility:visible">
          <v:imagedata r:id="rId1" o:title=" logo TC colorido - medio"/>
          <w10:wrap type="square"/>
        </v:shape>
      </w:pict>
    </w:r>
    <w:r w:rsidR="0066249C" w:rsidRPr="00C404BE">
      <w:rPr>
        <w:rFonts w:ascii="Arial" w:hAnsi="Arial" w:cs="Arial"/>
        <w:b/>
        <w:sz w:val="28"/>
        <w:szCs w:val="28"/>
      </w:rPr>
      <w:t>TRIBUNAL DE CONTAS DO ESTADO DO PARANÁ</w:t>
    </w:r>
  </w:p>
  <w:p w14:paraId="509C7839" w14:textId="77777777" w:rsidR="005B0D2C" w:rsidRDefault="005B0D2C" w:rsidP="005A6CC6">
    <w:pPr>
      <w:pStyle w:val="Cabealho"/>
      <w:spacing w:before="240"/>
      <w:ind w:left="1134"/>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FCB"/>
    <w:multiLevelType w:val="hybridMultilevel"/>
    <w:tmpl w:val="37CCD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CC3CBD"/>
    <w:multiLevelType w:val="hybridMultilevel"/>
    <w:tmpl w:val="E6DE62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3C50502"/>
    <w:multiLevelType w:val="hybridMultilevel"/>
    <w:tmpl w:val="82E050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A2C1597"/>
    <w:multiLevelType w:val="hybridMultilevel"/>
    <w:tmpl w:val="FAB6B47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1323E19"/>
    <w:multiLevelType w:val="hybridMultilevel"/>
    <w:tmpl w:val="BBB824DC"/>
    <w:lvl w:ilvl="0" w:tplc="FFFFFFFF">
      <w:start w:val="1"/>
      <w:numFmt w:val="lowerLetter"/>
      <w:lvlText w:val="%1)"/>
      <w:lvlJc w:val="left"/>
      <w:pPr>
        <w:ind w:left="720" w:hanging="360"/>
      </w:pPr>
      <w:rPr>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451C3D"/>
    <w:multiLevelType w:val="hybridMultilevel"/>
    <w:tmpl w:val="76F402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8EB57CB"/>
    <w:multiLevelType w:val="hybridMultilevel"/>
    <w:tmpl w:val="EB607FC2"/>
    <w:lvl w:ilvl="0" w:tplc="B37E6782">
      <w:start w:val="1"/>
      <w:numFmt w:val="lowerLetter"/>
      <w:lvlText w:val="%1)"/>
      <w:lvlJc w:val="left"/>
      <w:rPr>
        <w:i w:val="0"/>
        <w:i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22423532">
    <w:abstractNumId w:val="1"/>
  </w:num>
  <w:num w:numId="2" w16cid:durableId="1428424505">
    <w:abstractNumId w:val="0"/>
  </w:num>
  <w:num w:numId="3" w16cid:durableId="1340544114">
    <w:abstractNumId w:val="3"/>
  </w:num>
  <w:num w:numId="4" w16cid:durableId="325211753">
    <w:abstractNumId w:val="5"/>
  </w:num>
  <w:num w:numId="5" w16cid:durableId="875968708">
    <w:abstractNumId w:val="4"/>
  </w:num>
  <w:num w:numId="6" w16cid:durableId="2087070564">
    <w:abstractNumId w:val="6"/>
  </w:num>
  <w:num w:numId="7" w16cid:durableId="422338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661"/>
    <w:rsid w:val="000515E5"/>
    <w:rsid w:val="00053204"/>
    <w:rsid w:val="000605EE"/>
    <w:rsid w:val="00070A4B"/>
    <w:rsid w:val="00075C01"/>
    <w:rsid w:val="00081959"/>
    <w:rsid w:val="0009606F"/>
    <w:rsid w:val="000A0122"/>
    <w:rsid w:val="000A0386"/>
    <w:rsid w:val="000A6C9E"/>
    <w:rsid w:val="000B487D"/>
    <w:rsid w:val="000B4E9F"/>
    <w:rsid w:val="000C68A9"/>
    <w:rsid w:val="000D25AE"/>
    <w:rsid w:val="000F06EE"/>
    <w:rsid w:val="000F2716"/>
    <w:rsid w:val="001000B9"/>
    <w:rsid w:val="001075BD"/>
    <w:rsid w:val="0011369C"/>
    <w:rsid w:val="00123DE1"/>
    <w:rsid w:val="0012745F"/>
    <w:rsid w:val="001309E4"/>
    <w:rsid w:val="00131A33"/>
    <w:rsid w:val="00132D85"/>
    <w:rsid w:val="0013541F"/>
    <w:rsid w:val="00142ADD"/>
    <w:rsid w:val="00146978"/>
    <w:rsid w:val="00147824"/>
    <w:rsid w:val="001543CD"/>
    <w:rsid w:val="00155EC7"/>
    <w:rsid w:val="001714BF"/>
    <w:rsid w:val="00184443"/>
    <w:rsid w:val="001D07D2"/>
    <w:rsid w:val="001D0B09"/>
    <w:rsid w:val="001D6174"/>
    <w:rsid w:val="001E206E"/>
    <w:rsid w:val="001E2907"/>
    <w:rsid w:val="001F297B"/>
    <w:rsid w:val="001F7CDD"/>
    <w:rsid w:val="00224234"/>
    <w:rsid w:val="002474C0"/>
    <w:rsid w:val="00252933"/>
    <w:rsid w:val="00264E3E"/>
    <w:rsid w:val="002654F9"/>
    <w:rsid w:val="00283F4D"/>
    <w:rsid w:val="00291D10"/>
    <w:rsid w:val="002A15EE"/>
    <w:rsid w:val="002B3AD5"/>
    <w:rsid w:val="002C5467"/>
    <w:rsid w:val="002C568D"/>
    <w:rsid w:val="002D3BCB"/>
    <w:rsid w:val="002E3E39"/>
    <w:rsid w:val="002F154D"/>
    <w:rsid w:val="00300126"/>
    <w:rsid w:val="00324C0D"/>
    <w:rsid w:val="00352ECA"/>
    <w:rsid w:val="003705BD"/>
    <w:rsid w:val="00374244"/>
    <w:rsid w:val="003939F6"/>
    <w:rsid w:val="003A4F20"/>
    <w:rsid w:val="003B3795"/>
    <w:rsid w:val="003C03F8"/>
    <w:rsid w:val="003C2825"/>
    <w:rsid w:val="003F564D"/>
    <w:rsid w:val="00413910"/>
    <w:rsid w:val="00423C8F"/>
    <w:rsid w:val="00424304"/>
    <w:rsid w:val="004416A7"/>
    <w:rsid w:val="004505CE"/>
    <w:rsid w:val="00450D17"/>
    <w:rsid w:val="004604F8"/>
    <w:rsid w:val="00460C5E"/>
    <w:rsid w:val="004A1F66"/>
    <w:rsid w:val="004A7686"/>
    <w:rsid w:val="004B5683"/>
    <w:rsid w:val="004C7958"/>
    <w:rsid w:val="004D389D"/>
    <w:rsid w:val="004D51A3"/>
    <w:rsid w:val="004E1437"/>
    <w:rsid w:val="004F714E"/>
    <w:rsid w:val="00503844"/>
    <w:rsid w:val="00506D3A"/>
    <w:rsid w:val="00514CF7"/>
    <w:rsid w:val="005A3DD2"/>
    <w:rsid w:val="005A6CC6"/>
    <w:rsid w:val="005B0D2C"/>
    <w:rsid w:val="005B600F"/>
    <w:rsid w:val="005D38F8"/>
    <w:rsid w:val="005D42B6"/>
    <w:rsid w:val="005E595E"/>
    <w:rsid w:val="0060740E"/>
    <w:rsid w:val="00610E8B"/>
    <w:rsid w:val="00612EF7"/>
    <w:rsid w:val="00614090"/>
    <w:rsid w:val="00623A52"/>
    <w:rsid w:val="00630257"/>
    <w:rsid w:val="006509DA"/>
    <w:rsid w:val="0066249C"/>
    <w:rsid w:val="006817D5"/>
    <w:rsid w:val="006826EE"/>
    <w:rsid w:val="006A2DDE"/>
    <w:rsid w:val="006A2ECC"/>
    <w:rsid w:val="006A416F"/>
    <w:rsid w:val="006A4ED3"/>
    <w:rsid w:val="006B3F7F"/>
    <w:rsid w:val="006B6DBE"/>
    <w:rsid w:val="00701946"/>
    <w:rsid w:val="00713060"/>
    <w:rsid w:val="007138BA"/>
    <w:rsid w:val="0072019D"/>
    <w:rsid w:val="007362B6"/>
    <w:rsid w:val="00754614"/>
    <w:rsid w:val="00773F6B"/>
    <w:rsid w:val="00777F47"/>
    <w:rsid w:val="00784CDF"/>
    <w:rsid w:val="0078537C"/>
    <w:rsid w:val="00787410"/>
    <w:rsid w:val="00790839"/>
    <w:rsid w:val="007A6BEC"/>
    <w:rsid w:val="007A7103"/>
    <w:rsid w:val="007B1ED2"/>
    <w:rsid w:val="007B541D"/>
    <w:rsid w:val="007B6480"/>
    <w:rsid w:val="007E7A1D"/>
    <w:rsid w:val="007F5FCC"/>
    <w:rsid w:val="007F68E0"/>
    <w:rsid w:val="007F75CF"/>
    <w:rsid w:val="0086300A"/>
    <w:rsid w:val="00871987"/>
    <w:rsid w:val="008719F5"/>
    <w:rsid w:val="00881F22"/>
    <w:rsid w:val="00887BC6"/>
    <w:rsid w:val="00896E61"/>
    <w:rsid w:val="008A01F0"/>
    <w:rsid w:val="008C354A"/>
    <w:rsid w:val="008C4F25"/>
    <w:rsid w:val="008C717B"/>
    <w:rsid w:val="008D5003"/>
    <w:rsid w:val="008E1967"/>
    <w:rsid w:val="00906E4D"/>
    <w:rsid w:val="00916D5F"/>
    <w:rsid w:val="00921F63"/>
    <w:rsid w:val="009312A4"/>
    <w:rsid w:val="00940DA6"/>
    <w:rsid w:val="00947334"/>
    <w:rsid w:val="00977DB8"/>
    <w:rsid w:val="00990134"/>
    <w:rsid w:val="00993235"/>
    <w:rsid w:val="009A1923"/>
    <w:rsid w:val="009B26FD"/>
    <w:rsid w:val="009B718E"/>
    <w:rsid w:val="009C7D3F"/>
    <w:rsid w:val="00A87661"/>
    <w:rsid w:val="00A953B5"/>
    <w:rsid w:val="00AA4452"/>
    <w:rsid w:val="00AB3FEC"/>
    <w:rsid w:val="00AC706A"/>
    <w:rsid w:val="00AD17AE"/>
    <w:rsid w:val="00AD2695"/>
    <w:rsid w:val="00AE15AF"/>
    <w:rsid w:val="00AE2C63"/>
    <w:rsid w:val="00AF457C"/>
    <w:rsid w:val="00AF7189"/>
    <w:rsid w:val="00B122F7"/>
    <w:rsid w:val="00B22DDC"/>
    <w:rsid w:val="00B33609"/>
    <w:rsid w:val="00B45AE0"/>
    <w:rsid w:val="00B463EB"/>
    <w:rsid w:val="00B52B88"/>
    <w:rsid w:val="00B71E34"/>
    <w:rsid w:val="00B72D62"/>
    <w:rsid w:val="00B824D9"/>
    <w:rsid w:val="00B8287D"/>
    <w:rsid w:val="00B96EE0"/>
    <w:rsid w:val="00B97957"/>
    <w:rsid w:val="00BA4198"/>
    <w:rsid w:val="00C17F9B"/>
    <w:rsid w:val="00C34139"/>
    <w:rsid w:val="00C407CD"/>
    <w:rsid w:val="00C474AE"/>
    <w:rsid w:val="00C47580"/>
    <w:rsid w:val="00C811A6"/>
    <w:rsid w:val="00C84F53"/>
    <w:rsid w:val="00C87498"/>
    <w:rsid w:val="00C9138E"/>
    <w:rsid w:val="00CB4FA6"/>
    <w:rsid w:val="00CC6AB8"/>
    <w:rsid w:val="00CD0DAD"/>
    <w:rsid w:val="00CD24F8"/>
    <w:rsid w:val="00CE0A9A"/>
    <w:rsid w:val="00CF0884"/>
    <w:rsid w:val="00CF143A"/>
    <w:rsid w:val="00CF5020"/>
    <w:rsid w:val="00D1038F"/>
    <w:rsid w:val="00D11694"/>
    <w:rsid w:val="00D25EA1"/>
    <w:rsid w:val="00D3598E"/>
    <w:rsid w:val="00D361B6"/>
    <w:rsid w:val="00D40687"/>
    <w:rsid w:val="00D44669"/>
    <w:rsid w:val="00D50162"/>
    <w:rsid w:val="00D51F81"/>
    <w:rsid w:val="00D64123"/>
    <w:rsid w:val="00D73867"/>
    <w:rsid w:val="00D80342"/>
    <w:rsid w:val="00D86ADD"/>
    <w:rsid w:val="00DA5E5A"/>
    <w:rsid w:val="00DA7D7B"/>
    <w:rsid w:val="00DB7029"/>
    <w:rsid w:val="00DC54E2"/>
    <w:rsid w:val="00DE3611"/>
    <w:rsid w:val="00DE449D"/>
    <w:rsid w:val="00DF1050"/>
    <w:rsid w:val="00E0734C"/>
    <w:rsid w:val="00E43C43"/>
    <w:rsid w:val="00E743C8"/>
    <w:rsid w:val="00EB0766"/>
    <w:rsid w:val="00EC2AA7"/>
    <w:rsid w:val="00EC4961"/>
    <w:rsid w:val="00EE074D"/>
    <w:rsid w:val="00EF5FF1"/>
    <w:rsid w:val="00F237AE"/>
    <w:rsid w:val="00F30CF4"/>
    <w:rsid w:val="00F40F61"/>
    <w:rsid w:val="00F4166C"/>
    <w:rsid w:val="00F459AC"/>
    <w:rsid w:val="00F50259"/>
    <w:rsid w:val="00F52812"/>
    <w:rsid w:val="00F92458"/>
    <w:rsid w:val="00FA3A5A"/>
    <w:rsid w:val="00FD5D7E"/>
    <w:rsid w:val="00FF66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4EC1C"/>
  <w15:chartTrackingRefBased/>
  <w15:docId w15:val="{5882193B-FBE3-44C6-8F3F-9F6D4FB9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6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A87661"/>
    <w:pPr>
      <w:keepNext/>
      <w:spacing w:before="240" w:after="240" w:line="360" w:lineRule="auto"/>
      <w:jc w:val="center"/>
      <w:outlineLvl w:val="0"/>
    </w:pPr>
    <w:rPr>
      <w:rFonts w:ascii="Verdana" w:hAnsi="Verdana"/>
      <w:b/>
      <w:smallCaps/>
      <w:sz w:val="28"/>
      <w:szCs w:val="20"/>
    </w:rPr>
  </w:style>
  <w:style w:type="paragraph" w:styleId="Rodap">
    <w:name w:val="footer"/>
    <w:basedOn w:val="Normal"/>
    <w:link w:val="RodapChar"/>
    <w:uiPriority w:val="99"/>
    <w:rsid w:val="00AD2695"/>
    <w:pPr>
      <w:tabs>
        <w:tab w:val="center" w:pos="4252"/>
        <w:tab w:val="right" w:pos="8504"/>
      </w:tabs>
    </w:pPr>
  </w:style>
  <w:style w:type="character" w:styleId="Nmerodepgina">
    <w:name w:val="page number"/>
    <w:basedOn w:val="Fontepargpadro"/>
    <w:rsid w:val="00AD2695"/>
  </w:style>
  <w:style w:type="paragraph" w:styleId="Cabealho">
    <w:name w:val="header"/>
    <w:basedOn w:val="Normal"/>
    <w:link w:val="CabealhoChar"/>
    <w:rsid w:val="000A0386"/>
    <w:pPr>
      <w:tabs>
        <w:tab w:val="center" w:pos="4252"/>
        <w:tab w:val="right" w:pos="8504"/>
      </w:tabs>
    </w:pPr>
  </w:style>
  <w:style w:type="character" w:customStyle="1" w:styleId="CabealhoChar">
    <w:name w:val="Cabeçalho Char"/>
    <w:link w:val="Cabealho"/>
    <w:rsid w:val="000A0386"/>
    <w:rPr>
      <w:sz w:val="24"/>
      <w:szCs w:val="24"/>
    </w:rPr>
  </w:style>
  <w:style w:type="paragraph" w:styleId="Recuodecorpodetexto2">
    <w:name w:val="Body Text Indent 2"/>
    <w:basedOn w:val="Normal"/>
    <w:link w:val="Recuodecorpodetexto2Char"/>
    <w:rsid w:val="00460C5E"/>
    <w:pPr>
      <w:spacing w:before="120" w:after="120" w:line="360" w:lineRule="auto"/>
      <w:ind w:firstLine="2160"/>
      <w:jc w:val="both"/>
    </w:pPr>
    <w:rPr>
      <w:rFonts w:ascii="Arial" w:hAnsi="Arial" w:cs="Arial"/>
    </w:rPr>
  </w:style>
  <w:style w:type="character" w:customStyle="1" w:styleId="Recuodecorpodetexto2Char">
    <w:name w:val="Recuo de corpo de texto 2 Char"/>
    <w:link w:val="Recuodecorpodetexto2"/>
    <w:rsid w:val="00460C5E"/>
    <w:rPr>
      <w:rFonts w:ascii="Arial" w:hAnsi="Arial" w:cs="Arial"/>
      <w:sz w:val="24"/>
      <w:szCs w:val="24"/>
    </w:rPr>
  </w:style>
  <w:style w:type="character" w:styleId="TextodoEspaoReservado">
    <w:name w:val="Placeholder Text"/>
    <w:uiPriority w:val="99"/>
    <w:semiHidden/>
    <w:rsid w:val="00C87498"/>
    <w:rPr>
      <w:color w:val="808080"/>
    </w:rPr>
  </w:style>
  <w:style w:type="paragraph" w:styleId="Textodebalo">
    <w:name w:val="Balloon Text"/>
    <w:basedOn w:val="Normal"/>
    <w:link w:val="TextodebaloChar"/>
    <w:rsid w:val="00C87498"/>
    <w:rPr>
      <w:rFonts w:ascii="Tahoma" w:hAnsi="Tahoma" w:cs="Tahoma"/>
      <w:sz w:val="16"/>
      <w:szCs w:val="16"/>
    </w:rPr>
  </w:style>
  <w:style w:type="character" w:customStyle="1" w:styleId="TextodebaloChar">
    <w:name w:val="Texto de balão Char"/>
    <w:link w:val="Textodebalo"/>
    <w:rsid w:val="00C87498"/>
    <w:rPr>
      <w:rFonts w:ascii="Tahoma" w:hAnsi="Tahoma" w:cs="Tahoma"/>
      <w:sz w:val="16"/>
      <w:szCs w:val="16"/>
    </w:rPr>
  </w:style>
  <w:style w:type="paragraph" w:styleId="Recuodecorpodetexto3">
    <w:name w:val="Body Text Indent 3"/>
    <w:basedOn w:val="Normal"/>
    <w:link w:val="Recuodecorpodetexto3Char"/>
    <w:rsid w:val="00FF6684"/>
    <w:pPr>
      <w:spacing w:after="120"/>
      <w:ind w:left="283"/>
    </w:pPr>
    <w:rPr>
      <w:sz w:val="16"/>
      <w:szCs w:val="16"/>
    </w:rPr>
  </w:style>
  <w:style w:type="character" w:customStyle="1" w:styleId="Recuodecorpodetexto3Char">
    <w:name w:val="Recuo de corpo de texto 3 Char"/>
    <w:link w:val="Recuodecorpodetexto3"/>
    <w:rsid w:val="00FF6684"/>
    <w:rPr>
      <w:sz w:val="16"/>
      <w:szCs w:val="16"/>
    </w:rPr>
  </w:style>
  <w:style w:type="paragraph" w:styleId="Corpodetexto">
    <w:name w:val="Body Text"/>
    <w:basedOn w:val="Normal"/>
    <w:link w:val="CorpodetextoChar"/>
    <w:rsid w:val="00FF6684"/>
    <w:pPr>
      <w:spacing w:after="120"/>
    </w:pPr>
  </w:style>
  <w:style w:type="character" w:customStyle="1" w:styleId="CorpodetextoChar">
    <w:name w:val="Corpo de texto Char"/>
    <w:link w:val="Corpodetexto"/>
    <w:rsid w:val="00FF6684"/>
    <w:rPr>
      <w:sz w:val="24"/>
      <w:szCs w:val="24"/>
    </w:rPr>
  </w:style>
  <w:style w:type="character" w:customStyle="1" w:styleId="RodapChar">
    <w:name w:val="Rodapé Char"/>
    <w:link w:val="Rodap"/>
    <w:uiPriority w:val="99"/>
    <w:rsid w:val="00FF6684"/>
    <w:rPr>
      <w:sz w:val="24"/>
      <w:szCs w:val="24"/>
    </w:rPr>
  </w:style>
  <w:style w:type="paragraph" w:customStyle="1" w:styleId="Ementa">
    <w:name w:val="Ementa"/>
    <w:basedOn w:val="Normal"/>
    <w:rsid w:val="00FF6684"/>
    <w:pPr>
      <w:spacing w:before="240" w:after="240"/>
      <w:ind w:left="4253"/>
      <w:jc w:val="both"/>
    </w:pPr>
    <w:rPr>
      <w:rFonts w:ascii="Arial" w:hAnsi="Arial"/>
      <w:bCs/>
      <w:sz w:val="22"/>
    </w:rPr>
  </w:style>
  <w:style w:type="paragraph" w:customStyle="1" w:styleId="Texto">
    <w:name w:val="Texto"/>
    <w:basedOn w:val="Normal"/>
    <w:rsid w:val="00FF6684"/>
    <w:pPr>
      <w:tabs>
        <w:tab w:val="left" w:pos="1260"/>
        <w:tab w:val="left" w:pos="1440"/>
        <w:tab w:val="left" w:pos="1620"/>
        <w:tab w:val="left" w:pos="1800"/>
        <w:tab w:val="left" w:pos="1980"/>
      </w:tabs>
      <w:spacing w:before="120"/>
      <w:ind w:firstLine="680"/>
      <w:jc w:val="both"/>
    </w:pPr>
    <w:rPr>
      <w:rFonts w:ascii="Arial" w:hAnsi="Arial"/>
      <w:sz w:val="22"/>
    </w:rPr>
  </w:style>
  <w:style w:type="paragraph" w:customStyle="1" w:styleId="ArtigosOrdinais">
    <w:name w:val="ArtigosOrdinais"/>
    <w:basedOn w:val="Normal"/>
    <w:rsid w:val="00FF6684"/>
    <w:pPr>
      <w:tabs>
        <w:tab w:val="left" w:pos="1260"/>
        <w:tab w:val="left" w:pos="1440"/>
        <w:tab w:val="left" w:pos="1620"/>
        <w:tab w:val="left" w:pos="1800"/>
        <w:tab w:val="left" w:pos="1980"/>
      </w:tabs>
      <w:spacing w:before="120"/>
      <w:jc w:val="both"/>
    </w:pPr>
    <w:rPr>
      <w:rFonts w:ascii="Arial" w:hAnsi="Arial"/>
      <w:bCs/>
      <w:sz w:val="22"/>
    </w:rPr>
  </w:style>
  <w:style w:type="paragraph" w:styleId="Textodenotaderodap">
    <w:name w:val="footnote text"/>
    <w:basedOn w:val="Normal"/>
    <w:link w:val="TextodenotaderodapChar"/>
    <w:unhideWhenUsed/>
    <w:rsid w:val="004A1F66"/>
    <w:rPr>
      <w:rFonts w:ascii="Calibri" w:eastAsia="Calibri" w:hAnsi="Calibri"/>
      <w:sz w:val="20"/>
      <w:szCs w:val="20"/>
      <w:lang w:eastAsia="en-US"/>
    </w:rPr>
  </w:style>
  <w:style w:type="character" w:customStyle="1" w:styleId="TextodenotaderodapChar">
    <w:name w:val="Texto de nota de rodapé Char"/>
    <w:link w:val="Textodenotaderodap"/>
    <w:rsid w:val="004A1F66"/>
    <w:rPr>
      <w:rFonts w:ascii="Calibri" w:eastAsia="Calibri" w:hAnsi="Calibri" w:cs="Times New Roman"/>
      <w:lang w:eastAsia="en-US"/>
    </w:rPr>
  </w:style>
  <w:style w:type="character" w:styleId="Refdenotaderodap">
    <w:name w:val="footnote reference"/>
    <w:uiPriority w:val="99"/>
    <w:unhideWhenUsed/>
    <w:rsid w:val="004A1F66"/>
    <w:rPr>
      <w:vertAlign w:val="superscript"/>
    </w:rPr>
  </w:style>
  <w:style w:type="paragraph" w:styleId="PargrafodaLista">
    <w:name w:val="List Paragraph"/>
    <w:basedOn w:val="Normal"/>
    <w:uiPriority w:val="1"/>
    <w:qFormat/>
    <w:rsid w:val="004A1F6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4E1437"/>
    <w:rPr>
      <w:color w:val="0000FF"/>
      <w:u w:val="single"/>
    </w:rPr>
  </w:style>
  <w:style w:type="character" w:styleId="MenoPendente">
    <w:name w:val="Unresolved Mention"/>
    <w:uiPriority w:val="99"/>
    <w:semiHidden/>
    <w:unhideWhenUsed/>
    <w:rsid w:val="00D44669"/>
    <w:rPr>
      <w:color w:val="605E5C"/>
      <w:shd w:val="clear" w:color="auto" w:fill="E1DFDD"/>
    </w:rPr>
  </w:style>
  <w:style w:type="character" w:styleId="Forte">
    <w:name w:val="Strong"/>
    <w:uiPriority w:val="22"/>
    <w:qFormat/>
    <w:rsid w:val="00AE1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5236">
      <w:bodyDiv w:val="1"/>
      <w:marLeft w:val="0"/>
      <w:marRight w:val="0"/>
      <w:marTop w:val="0"/>
      <w:marBottom w:val="0"/>
      <w:divBdr>
        <w:top w:val="none" w:sz="0" w:space="0" w:color="auto"/>
        <w:left w:val="none" w:sz="0" w:space="0" w:color="auto"/>
        <w:bottom w:val="none" w:sz="0" w:space="0" w:color="auto"/>
        <w:right w:val="none" w:sz="0" w:space="0" w:color="auto"/>
      </w:divBdr>
    </w:div>
    <w:div w:id="6817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tce.pr.gov.br/conteudo/instrucao-normativa-n-117-de-12-de-maio-de-2016/285476/area/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tce.pr.gov.br/multimidia/2017/12/pdf/0032298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1.tce.pr.gov.br/conteudo/instrucao-normativa-n-117-de-12-de-maio-de-2016/285476/area/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1-de-24-de-janeiro-de-2006-regimento-interno/1403/area/10" TargetMode="External"/><Relationship Id="rId2" Type="http://schemas.openxmlformats.org/officeDocument/2006/relationships/hyperlink" Target="https://www1.tce.pr.gov.br/multimidia/2017/12/pdf/00322981.pdf" TargetMode="External"/><Relationship Id="rId1" Type="http://schemas.openxmlformats.org/officeDocument/2006/relationships/hyperlink" Target="http://www1.tce.pr.gov.br/multimidia/2017/12/pdf/00323057.pdf" TargetMode="External"/><Relationship Id="rId5" Type="http://schemas.openxmlformats.org/officeDocument/2006/relationships/hyperlink" Target="https://www1.tce.pr.gov.br/conteudo/resolucao-n-62-de-14-de-dezembro-de-2017/309279/area/249" TargetMode="External"/><Relationship Id="rId4" Type="http://schemas.openxmlformats.org/officeDocument/2006/relationships/hyperlink" Target="http://www1.tce.pr.gov.br/conteudo/instrucao-normativa-n-117-de-12-de-maio-de-2016/285476/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6AD8DEE17442B49C041355CA5801" ma:contentTypeVersion="0" ma:contentTypeDescription="Create a new document." ma:contentTypeScope="" ma:versionID="c8acc8029b1be1f17c0f393831b8d0a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F34B7-A6D4-4ADA-BB27-3D6878CF3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D78A73F-FEB1-4C3A-92BE-9B08DCE9E5EF}">
  <ds:schemaRefs>
    <ds:schemaRef ds:uri="http://schemas.openxmlformats.org/officeDocument/2006/bibliography"/>
  </ds:schemaRefs>
</ds:datastoreItem>
</file>

<file path=customXml/itemProps3.xml><?xml version="1.0" encoding="utf-8"?>
<ds:datastoreItem xmlns:ds="http://schemas.openxmlformats.org/officeDocument/2006/customXml" ds:itemID="{32C825CA-9FEB-4FBC-BC51-09686728D4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A498E9-FC5E-4E4A-9987-381CD6C88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674</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Projeto Resolução COFAP</vt:lpstr>
    </vt:vector>
  </TitlesOfParts>
  <Company>TCE-PR</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Resolução COFAP</dc:title>
  <dc:subject>Requerimento Interno - Licitação</dc:subject>
  <dc:creator>tc508500</dc:creator>
  <cp:keywords/>
  <cp:lastModifiedBy>Yarusya Fonseca</cp:lastModifiedBy>
  <cp:revision>13</cp:revision>
  <dcterms:created xsi:type="dcterms:W3CDTF">2022-07-05T22:12:00Z</dcterms:created>
  <dcterms:modified xsi:type="dcterms:W3CDTF">2022-07-15T17:49:00Z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0x01010093F56AD8DEE17442B49C041355CA5801</vt:lpwstr>
  </property>
  <property fmtid="{D5CDD505-2E9C-101B-9397-08002B2CF9AE}" pid="3" name="Order">
    <vt:r8>10600</vt:r8>
  </property>
</Properties>
</file>