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386F" w14:textId="58B5F9FD" w:rsidR="008452EF" w:rsidRPr="00E400F3" w:rsidRDefault="008452EF" w:rsidP="00E400F3">
      <w:pPr>
        <w:pStyle w:val="Ttulo1"/>
        <w:rPr>
          <w:rFonts w:ascii="Arial" w:hAnsi="Arial" w:cs="Arial"/>
          <w:sz w:val="28"/>
          <w:szCs w:val="28"/>
        </w:rPr>
      </w:pPr>
      <w:r w:rsidRPr="00E400F3">
        <w:rPr>
          <w:rFonts w:ascii="Arial" w:hAnsi="Arial" w:cs="Arial"/>
          <w:sz w:val="28"/>
          <w:szCs w:val="28"/>
        </w:rPr>
        <w:t xml:space="preserve">RESOLUÇÃO N° </w:t>
      </w:r>
      <w:r w:rsidR="005F55C1">
        <w:rPr>
          <w:rFonts w:ascii="Arial" w:hAnsi="Arial" w:cs="Arial"/>
          <w:sz w:val="28"/>
          <w:szCs w:val="28"/>
        </w:rPr>
        <w:t>33</w:t>
      </w:r>
      <w:r w:rsidRPr="00E400F3">
        <w:rPr>
          <w:rFonts w:ascii="Arial" w:hAnsi="Arial" w:cs="Arial"/>
          <w:sz w:val="28"/>
          <w:szCs w:val="28"/>
        </w:rPr>
        <w:t>/2012</w:t>
      </w:r>
      <w:r w:rsidR="00C42633">
        <w:rPr>
          <w:rStyle w:val="Refdenotaderodap"/>
          <w:rFonts w:ascii="Arial" w:hAnsi="Arial" w:cs="Arial"/>
          <w:sz w:val="28"/>
          <w:szCs w:val="28"/>
        </w:rPr>
        <w:footnoteReference w:id="1"/>
      </w:r>
    </w:p>
    <w:p w14:paraId="7AEEC8EC" w14:textId="77777777" w:rsidR="00E400F3" w:rsidRDefault="00E400F3" w:rsidP="00E400F3">
      <w:pPr>
        <w:pStyle w:val="Ementa"/>
        <w:spacing w:before="0" w:after="0"/>
        <w:ind w:left="4536"/>
        <w:rPr>
          <w:rFonts w:cs="Arial"/>
          <w:i/>
          <w:sz w:val="24"/>
        </w:rPr>
      </w:pPr>
    </w:p>
    <w:p w14:paraId="359EF454" w14:textId="77777777" w:rsidR="008452EF" w:rsidRPr="00467CFB" w:rsidRDefault="008452EF" w:rsidP="00E400F3">
      <w:pPr>
        <w:pStyle w:val="Ementa"/>
        <w:spacing w:before="0" w:after="0"/>
        <w:ind w:left="4536"/>
        <w:rPr>
          <w:rFonts w:cs="Arial"/>
          <w:i/>
          <w:szCs w:val="22"/>
        </w:rPr>
      </w:pPr>
      <w:r w:rsidRPr="00467CFB">
        <w:rPr>
          <w:rFonts w:cs="Arial"/>
          <w:i/>
          <w:szCs w:val="22"/>
        </w:rPr>
        <w:t>Dispõe sobre o exercício do controle das despesas com subsídios de Agentes Políticos dos poderes Executivo e Legislativo municipais para aferição de sua conformidade aos ditames constitucionais e legais, e dá outras providências.</w:t>
      </w:r>
    </w:p>
    <w:p w14:paraId="2E101841" w14:textId="77777777" w:rsidR="00E400F3" w:rsidRPr="008452EF" w:rsidRDefault="00E400F3" w:rsidP="00E400F3">
      <w:pPr>
        <w:pStyle w:val="Ementa"/>
        <w:spacing w:before="0" w:after="0"/>
        <w:ind w:left="4536"/>
        <w:rPr>
          <w:rFonts w:cs="Arial"/>
          <w:i/>
          <w:sz w:val="24"/>
        </w:rPr>
      </w:pPr>
    </w:p>
    <w:p w14:paraId="3A7F3202" w14:textId="77777777" w:rsidR="008452EF" w:rsidRPr="008452EF" w:rsidRDefault="008452EF" w:rsidP="00E400F3">
      <w:pPr>
        <w:spacing w:before="120" w:after="0" w:line="240" w:lineRule="auto"/>
        <w:ind w:firstLine="1134"/>
        <w:rPr>
          <w:rFonts w:ascii="Arial" w:hAnsi="Arial" w:cs="Arial"/>
          <w:b/>
          <w:bCs/>
          <w:szCs w:val="24"/>
          <w:lang w:val="pt-PT"/>
        </w:rPr>
      </w:pPr>
      <w:r w:rsidRPr="008452EF">
        <w:rPr>
          <w:rFonts w:ascii="Arial" w:hAnsi="Arial" w:cs="Arial"/>
          <w:bCs/>
          <w:szCs w:val="24"/>
          <w:lang w:val="pt-PT"/>
        </w:rPr>
        <w:t>O</w:t>
      </w:r>
      <w:r w:rsidRPr="008452EF">
        <w:rPr>
          <w:rFonts w:ascii="Arial" w:hAnsi="Arial" w:cs="Arial"/>
          <w:b/>
          <w:bCs/>
          <w:szCs w:val="24"/>
          <w:lang w:val="pt-PT"/>
        </w:rPr>
        <w:t xml:space="preserve"> TRIBUNAL DE CONTAS DO ESTADO DO PARANÁ</w:t>
      </w:r>
      <w:r w:rsidRPr="008452EF">
        <w:rPr>
          <w:rFonts w:ascii="Arial" w:hAnsi="Arial" w:cs="Arial"/>
          <w:bCs/>
          <w:szCs w:val="24"/>
          <w:lang w:val="pt-PT"/>
        </w:rPr>
        <w:t>, no uso das atribuições estabelecidas na Constituição Federal, na Constituição Estadual, na Lei Complementar Estadual nº 113, de 15 de dezembro de 2005, e com fundamento no art. 187, I, e 188, ambos do Regimento Interno:</w:t>
      </w:r>
      <w:r w:rsidRPr="008452EF">
        <w:rPr>
          <w:rFonts w:ascii="Arial" w:hAnsi="Arial" w:cs="Arial"/>
          <w:b/>
          <w:bCs/>
          <w:szCs w:val="24"/>
          <w:lang w:val="pt-PT"/>
        </w:rPr>
        <w:t xml:space="preserve"> </w:t>
      </w:r>
    </w:p>
    <w:p w14:paraId="3CAE39A3" w14:textId="77777777" w:rsidR="008452EF" w:rsidRPr="008452EF" w:rsidRDefault="008452EF" w:rsidP="00E400F3">
      <w:pPr>
        <w:pStyle w:val="NormalWeb"/>
        <w:spacing w:before="120" w:beforeAutospacing="0" w:after="0" w:afterAutospacing="0"/>
        <w:ind w:firstLine="1134"/>
        <w:jc w:val="both"/>
        <w:rPr>
          <w:rFonts w:ascii="Arial" w:hAnsi="Arial" w:cs="Arial"/>
          <w:b/>
        </w:rPr>
      </w:pPr>
    </w:p>
    <w:p w14:paraId="02E603ED" w14:textId="77777777" w:rsidR="008452EF" w:rsidRDefault="008452EF" w:rsidP="00E400F3">
      <w:pPr>
        <w:spacing w:before="120" w:after="0" w:line="240" w:lineRule="auto"/>
        <w:ind w:firstLine="1134"/>
        <w:rPr>
          <w:rFonts w:ascii="Arial" w:hAnsi="Arial" w:cs="Arial"/>
          <w:b/>
          <w:szCs w:val="24"/>
          <w:lang w:val="pt-PT"/>
        </w:rPr>
      </w:pPr>
      <w:r w:rsidRPr="008452EF">
        <w:rPr>
          <w:rFonts w:ascii="Arial" w:hAnsi="Arial" w:cs="Arial"/>
          <w:b/>
          <w:szCs w:val="24"/>
          <w:lang w:val="pt-PT"/>
        </w:rPr>
        <w:t>RESOLVE</w:t>
      </w:r>
    </w:p>
    <w:p w14:paraId="4D31492E" w14:textId="77777777" w:rsidR="00E400F3" w:rsidRPr="008452EF" w:rsidRDefault="00E400F3" w:rsidP="00E400F3">
      <w:pPr>
        <w:spacing w:before="120" w:after="0" w:line="240" w:lineRule="auto"/>
        <w:ind w:firstLine="1134"/>
        <w:rPr>
          <w:rFonts w:ascii="Arial" w:hAnsi="Arial" w:cs="Arial"/>
          <w:b/>
          <w:szCs w:val="24"/>
          <w:lang w:val="pt-PT"/>
        </w:rPr>
      </w:pPr>
    </w:p>
    <w:p w14:paraId="76D13863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t>Art. 1º</w:t>
      </w:r>
      <w:r w:rsidRPr="008452EF">
        <w:rPr>
          <w:rFonts w:cs="Arial"/>
          <w:bCs w:val="0"/>
          <w:sz w:val="24"/>
        </w:rPr>
        <w:t xml:space="preserve"> A prerrogativa de controle dos subsídios dos agentes políticos dos poderes Executivo e Legislativo municipais será exercida pelo Tribunal objetivando a efetividade no cumprimento de pressupostos constitucionais que regem o assunto, entre estes, os da legalidade, anterioridade, inalterabilidade, impessoalidade, moralidade e publicidade e outros que lhes sejam correlatos.</w:t>
      </w:r>
    </w:p>
    <w:p w14:paraId="536D142B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t>Art. 2º</w:t>
      </w:r>
      <w:r w:rsidRPr="008452EF">
        <w:rPr>
          <w:rFonts w:cs="Arial"/>
          <w:bCs w:val="0"/>
          <w:sz w:val="24"/>
        </w:rPr>
        <w:t xml:space="preserve"> A análise dos subsídios dos agentes políticos dos poderes Executivo e Legislativo municipais será realizada no bojo da execução orçamentária e financeira anual, sob a ótica das despesas efetivamente materializadas, com vistas a comprovar a conformidade dos critérios utilizados na determinação dos valores aos ditames constitucionais e legais atinentes à matéria.</w:t>
      </w:r>
    </w:p>
    <w:p w14:paraId="1AAB862C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t>Art. 3º</w:t>
      </w:r>
      <w:r w:rsidRPr="008452EF">
        <w:rPr>
          <w:rFonts w:cs="Arial"/>
          <w:bCs w:val="0"/>
          <w:sz w:val="24"/>
        </w:rPr>
        <w:t xml:space="preserve"> Sem prejuízo do enfoque financeiro e patrimonial, os critérios aplicados nos cálculos para aferição dos valores fixados, devidos e pagos aos Agentes Políticos municipais a título de subsídios serão construídos com base nos Atos Legais que os instituírem ou modificarem constatando sua obediência às normas e limites constitucionais e legais vigentes.</w:t>
      </w:r>
    </w:p>
    <w:p w14:paraId="41470393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Cs w:val="0"/>
          <w:sz w:val="24"/>
        </w:rPr>
        <w:t>Parágrafo único. A</w:t>
      </w:r>
      <w:r w:rsidRPr="008452EF">
        <w:rPr>
          <w:rStyle w:val="Forte"/>
          <w:rFonts w:cs="Arial"/>
          <w:b w:val="0"/>
          <w:sz w:val="24"/>
        </w:rPr>
        <w:t xml:space="preserve"> análise técnica observará os critérios da Lei Orgânica do Município respectivo, nos aspectos que não conflitarem diretamente com preceitos das Constituições Federal e Estadual</w:t>
      </w:r>
      <w:r w:rsidRPr="008452EF">
        <w:rPr>
          <w:rFonts w:cs="Arial"/>
          <w:bCs w:val="0"/>
          <w:sz w:val="24"/>
        </w:rPr>
        <w:t xml:space="preserve">. </w:t>
      </w:r>
    </w:p>
    <w:p w14:paraId="5C610414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lastRenderedPageBreak/>
        <w:t>Art. 4º</w:t>
      </w:r>
      <w:r w:rsidRPr="008452EF">
        <w:rPr>
          <w:rFonts w:cs="Arial"/>
          <w:bCs w:val="0"/>
          <w:sz w:val="24"/>
        </w:rPr>
        <w:t xml:space="preserve"> A Diretoria de Contas Municipais elaborará Instrução Normativa descrevendo os critérios e procedimentos aplicados na verificação da validade das despesas com os subsídios pagos aos Agentes Políticos municipais e equiparados e quanto ao cumprimento das premissas dispostas na presente Resolução.</w:t>
      </w:r>
    </w:p>
    <w:p w14:paraId="10E65FC4" w14:textId="59BC531B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Cs w:val="0"/>
          <w:sz w:val="24"/>
        </w:rPr>
        <w:t xml:space="preserve">Parágrafo único. A Instrução Normativa prevista neste artigo abrangerá a atualidade jurídica e jurisprudencial utilizadas na análise dos subsídios recebidos por Agentes Políticos municipais e equiparados, respondendo a Unidade Técnica, ainda, pela manutenção da referida base normativa, respectivamente </w:t>
      </w:r>
      <w:r w:rsidR="006843D5" w:rsidRPr="008452EF">
        <w:rPr>
          <w:rFonts w:cs="Arial"/>
          <w:bCs w:val="0"/>
          <w:sz w:val="24"/>
        </w:rPr>
        <w:t>a</w:t>
      </w:r>
      <w:r w:rsidRPr="008452EF">
        <w:rPr>
          <w:rFonts w:cs="Arial"/>
          <w:bCs w:val="0"/>
          <w:sz w:val="24"/>
        </w:rPr>
        <w:t xml:space="preserve"> mudanças que ocorrerem sobre o assunto e que implicarem na alteração de procedimentos.</w:t>
      </w:r>
    </w:p>
    <w:p w14:paraId="70F49647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t>Art. 5º</w:t>
      </w:r>
      <w:r w:rsidRPr="008452EF">
        <w:rPr>
          <w:rFonts w:cs="Arial"/>
          <w:bCs w:val="0"/>
          <w:sz w:val="24"/>
        </w:rPr>
        <w:t xml:space="preserve"> A análise mediante a metodologia emanada da Instrução Normativa exigida nesta Resolução será efetuada junto à prestação de contas anual do exercício correspondente à realização das despesas, ensejando as irregularidades materiais e formais detectadas, quando não sanadas na etapa instrutiva, no opinativo da Unidade Técnica pela irregularidade das contas, e na indicação de outras penalidades previstas na Lei Orgânica e no Regimento Interno do Tribunal. </w:t>
      </w:r>
    </w:p>
    <w:p w14:paraId="723604D8" w14:textId="77777777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8452EF">
        <w:rPr>
          <w:rFonts w:cs="Arial"/>
          <w:sz w:val="24"/>
        </w:rPr>
        <w:t>Parágrafo único. As despesas realizadas em desacordo com as normas estabelecidas na legislação que rege o assunto serão glosadas, respondendo o agente beneficiado pela devolução ao erário atingido, com a devida atualização monetária e juros, quando cabível.</w:t>
      </w:r>
    </w:p>
    <w:p w14:paraId="1D64D7C5" w14:textId="5841FADF" w:rsidR="008452EF" w:rsidRPr="008452EF" w:rsidRDefault="008452EF" w:rsidP="00E400F3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8452EF">
        <w:rPr>
          <w:rFonts w:cs="Arial"/>
          <w:b/>
          <w:bCs w:val="0"/>
          <w:sz w:val="24"/>
        </w:rPr>
        <w:t xml:space="preserve">Art. 6º </w:t>
      </w:r>
      <w:r w:rsidRPr="008452EF">
        <w:rPr>
          <w:rFonts w:cs="Arial"/>
          <w:sz w:val="24"/>
        </w:rPr>
        <w:t xml:space="preserve">Esta Resolução entra em vigor na data de sua publicação, ficando revogados o </w:t>
      </w:r>
      <w:hyperlink r:id="rId7" w:history="1">
        <w:r w:rsidRPr="00984E37">
          <w:rPr>
            <w:rStyle w:val="Hyperlink"/>
            <w:rFonts w:cs="Arial"/>
            <w:sz w:val="24"/>
          </w:rPr>
          <w:t>Provimento nº 56, de 2005</w:t>
        </w:r>
      </w:hyperlink>
      <w:r w:rsidRPr="008452EF">
        <w:rPr>
          <w:rFonts w:cs="Arial"/>
          <w:sz w:val="24"/>
        </w:rPr>
        <w:t xml:space="preserve">, e a </w:t>
      </w:r>
      <w:r w:rsidRPr="006843D5">
        <w:rPr>
          <w:rFonts w:cs="Arial"/>
          <w:color w:val="0000FF"/>
          <w:sz w:val="24"/>
        </w:rPr>
        <w:t>Instrução Normativa nº 30, de 2008</w:t>
      </w:r>
      <w:r w:rsidRPr="008452EF">
        <w:rPr>
          <w:rFonts w:cs="Arial"/>
          <w:sz w:val="24"/>
        </w:rPr>
        <w:t>.</w:t>
      </w:r>
    </w:p>
    <w:p w14:paraId="40B65970" w14:textId="77777777" w:rsidR="00E400F3" w:rsidRDefault="00E400F3" w:rsidP="008452EF">
      <w:pPr>
        <w:pStyle w:val="ArtigosOrdinais"/>
        <w:tabs>
          <w:tab w:val="left" w:pos="708"/>
        </w:tabs>
        <w:spacing w:after="120"/>
        <w:ind w:firstLine="851"/>
        <w:jc w:val="center"/>
        <w:rPr>
          <w:rFonts w:cs="Arial"/>
          <w:bCs w:val="0"/>
          <w:sz w:val="24"/>
        </w:rPr>
      </w:pPr>
    </w:p>
    <w:p w14:paraId="2E91F25C" w14:textId="77777777" w:rsidR="00E400F3" w:rsidRDefault="00E400F3" w:rsidP="008452EF">
      <w:pPr>
        <w:pStyle w:val="ArtigosOrdinais"/>
        <w:tabs>
          <w:tab w:val="left" w:pos="708"/>
        </w:tabs>
        <w:spacing w:after="120"/>
        <w:ind w:firstLine="851"/>
        <w:jc w:val="center"/>
        <w:rPr>
          <w:rFonts w:cs="Arial"/>
          <w:bCs w:val="0"/>
          <w:sz w:val="24"/>
        </w:rPr>
      </w:pPr>
    </w:p>
    <w:p w14:paraId="300B70A4" w14:textId="77777777" w:rsidR="00E400F3" w:rsidRDefault="00E400F3" w:rsidP="008452EF">
      <w:pPr>
        <w:pStyle w:val="ArtigosOrdinais"/>
        <w:tabs>
          <w:tab w:val="left" w:pos="708"/>
        </w:tabs>
        <w:spacing w:after="120"/>
        <w:ind w:firstLine="851"/>
        <w:jc w:val="center"/>
        <w:rPr>
          <w:rFonts w:cs="Arial"/>
          <w:bCs w:val="0"/>
          <w:sz w:val="24"/>
        </w:rPr>
      </w:pPr>
    </w:p>
    <w:p w14:paraId="41ED066A" w14:textId="18636D47" w:rsidR="008452EF" w:rsidRDefault="008452EF" w:rsidP="00E400F3">
      <w:pPr>
        <w:pStyle w:val="ArtigosOrdinais"/>
        <w:tabs>
          <w:tab w:val="left" w:pos="708"/>
        </w:tabs>
        <w:spacing w:after="120"/>
        <w:jc w:val="center"/>
        <w:rPr>
          <w:rFonts w:cs="Arial"/>
          <w:bCs w:val="0"/>
          <w:sz w:val="24"/>
        </w:rPr>
      </w:pPr>
      <w:r w:rsidRPr="008452EF">
        <w:rPr>
          <w:rFonts w:cs="Arial"/>
          <w:bCs w:val="0"/>
          <w:sz w:val="24"/>
        </w:rPr>
        <w:t xml:space="preserve">Sala das Sessões, em </w:t>
      </w:r>
      <w:r w:rsidR="005F55C1">
        <w:rPr>
          <w:rFonts w:cs="Arial"/>
          <w:bCs w:val="0"/>
          <w:sz w:val="24"/>
        </w:rPr>
        <w:t>9</w:t>
      </w:r>
      <w:r w:rsidRPr="008452EF">
        <w:rPr>
          <w:rFonts w:cs="Arial"/>
          <w:bCs w:val="0"/>
          <w:sz w:val="24"/>
        </w:rPr>
        <w:t xml:space="preserve"> de </w:t>
      </w:r>
      <w:r w:rsidR="005F55C1">
        <w:rPr>
          <w:rFonts w:cs="Arial"/>
          <w:bCs w:val="0"/>
          <w:sz w:val="24"/>
        </w:rPr>
        <w:t xml:space="preserve">agosto </w:t>
      </w:r>
      <w:r w:rsidRPr="008452EF">
        <w:rPr>
          <w:rFonts w:cs="Arial"/>
          <w:bCs w:val="0"/>
          <w:sz w:val="24"/>
        </w:rPr>
        <w:t>de 2012.</w:t>
      </w:r>
    </w:p>
    <w:p w14:paraId="3D1BEB3F" w14:textId="77777777" w:rsidR="00E400F3" w:rsidRDefault="00E400F3" w:rsidP="00E400F3">
      <w:pPr>
        <w:pStyle w:val="ArtigosOrdinais"/>
        <w:tabs>
          <w:tab w:val="left" w:pos="708"/>
        </w:tabs>
        <w:spacing w:after="120"/>
        <w:jc w:val="center"/>
        <w:rPr>
          <w:rFonts w:cs="Arial"/>
          <w:bCs w:val="0"/>
          <w:sz w:val="24"/>
        </w:rPr>
      </w:pPr>
    </w:p>
    <w:p w14:paraId="731CA873" w14:textId="77777777" w:rsidR="005F55C1" w:rsidRDefault="005F55C1" w:rsidP="00E400F3">
      <w:pPr>
        <w:pStyle w:val="ArtigosOrdinais"/>
        <w:tabs>
          <w:tab w:val="left" w:pos="708"/>
        </w:tabs>
        <w:spacing w:after="120"/>
        <w:jc w:val="center"/>
        <w:rPr>
          <w:rFonts w:cs="Arial"/>
          <w:bCs w:val="0"/>
          <w:sz w:val="24"/>
        </w:rPr>
      </w:pPr>
    </w:p>
    <w:p w14:paraId="2D773871" w14:textId="77777777" w:rsidR="008452EF" w:rsidRPr="008452EF" w:rsidRDefault="005F55C1" w:rsidP="005F55C1">
      <w:pPr>
        <w:pStyle w:val="ArtigosOrdinais"/>
        <w:tabs>
          <w:tab w:val="left" w:pos="708"/>
        </w:tabs>
        <w:spacing w:before="0"/>
        <w:jc w:val="center"/>
        <w:rPr>
          <w:rFonts w:cs="Arial"/>
          <w:b/>
          <w:bCs w:val="0"/>
          <w:sz w:val="24"/>
        </w:rPr>
      </w:pPr>
      <w:r w:rsidRPr="008452EF">
        <w:rPr>
          <w:rFonts w:cs="Arial"/>
          <w:b/>
          <w:bCs w:val="0"/>
          <w:sz w:val="24"/>
        </w:rPr>
        <w:t>FERNANDO AUGUSTO MELLO GUIMARÃES</w:t>
      </w:r>
    </w:p>
    <w:p w14:paraId="51BD19D9" w14:textId="77777777" w:rsidR="006907FA" w:rsidRPr="008452EF" w:rsidRDefault="008452EF" w:rsidP="005F55C1">
      <w:pPr>
        <w:pStyle w:val="ArtigosOrdinais"/>
        <w:tabs>
          <w:tab w:val="left" w:pos="708"/>
        </w:tabs>
        <w:spacing w:before="0"/>
        <w:jc w:val="center"/>
      </w:pPr>
      <w:r w:rsidRPr="008452EF">
        <w:rPr>
          <w:rFonts w:cs="Arial"/>
          <w:sz w:val="24"/>
        </w:rPr>
        <w:t>Presidente</w:t>
      </w:r>
    </w:p>
    <w:sectPr w:rsidR="006907FA" w:rsidRPr="008452EF" w:rsidSect="008C7767">
      <w:headerReference w:type="default" r:id="rId8"/>
      <w:footnotePr>
        <w:numFmt w:val="chicago"/>
      </w:footnotePr>
      <w:pgSz w:w="11906" w:h="16838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46E1" w14:textId="77777777" w:rsidR="00860209" w:rsidRDefault="00860209" w:rsidP="005F55C1">
      <w:pPr>
        <w:spacing w:before="0" w:after="0" w:line="240" w:lineRule="auto"/>
      </w:pPr>
      <w:r>
        <w:separator/>
      </w:r>
    </w:p>
  </w:endnote>
  <w:endnote w:type="continuationSeparator" w:id="0">
    <w:p w14:paraId="51D8BD56" w14:textId="77777777" w:rsidR="00860209" w:rsidRDefault="00860209" w:rsidP="005F55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8A8" w14:textId="77777777" w:rsidR="00860209" w:rsidRDefault="00860209" w:rsidP="00000DAB">
      <w:pPr>
        <w:spacing w:before="0" w:after="0" w:line="240" w:lineRule="auto"/>
        <w:ind w:firstLine="0"/>
      </w:pPr>
      <w:r>
        <w:separator/>
      </w:r>
    </w:p>
  </w:footnote>
  <w:footnote w:type="continuationSeparator" w:id="0">
    <w:p w14:paraId="46778CFE" w14:textId="77777777" w:rsidR="00860209" w:rsidRDefault="00860209" w:rsidP="005F55C1">
      <w:pPr>
        <w:spacing w:before="0" w:after="0" w:line="240" w:lineRule="auto"/>
      </w:pPr>
      <w:r>
        <w:continuationSeparator/>
      </w:r>
    </w:p>
  </w:footnote>
  <w:footnote w:id="1">
    <w:p w14:paraId="38D81772" w14:textId="77777777" w:rsidR="00C42633" w:rsidRPr="008E6959" w:rsidRDefault="00C42633" w:rsidP="00000DAB">
      <w:pPr>
        <w:pStyle w:val="Textodenotaderodap"/>
        <w:spacing w:after="0" w:line="240" w:lineRule="auto"/>
        <w:ind w:firstLine="0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8E6959">
        <w:rPr>
          <w:rFonts w:ascii="Arial" w:hAnsi="Arial" w:cs="Arial"/>
          <w:b/>
          <w:sz w:val="18"/>
          <w:szCs w:val="18"/>
        </w:rPr>
        <w:t>Notas da Biblioteca:</w:t>
      </w:r>
    </w:p>
    <w:p w14:paraId="40A71520" w14:textId="77777777" w:rsidR="00FB329A" w:rsidRPr="00FB329A" w:rsidRDefault="00FB329A" w:rsidP="00982BB4">
      <w:pPr>
        <w:pStyle w:val="Textodenotaderodap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</w:rPr>
      </w:pPr>
      <w:r w:rsidRPr="00FB329A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FB329A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FB329A">
          <w:rPr>
            <w:rStyle w:val="Hyperlink"/>
            <w:rFonts w:ascii="Arial" w:hAnsi="Arial" w:cs="Arial"/>
            <w:bCs/>
          </w:rPr>
          <w:t>,</w:t>
        </w:r>
        <w:r w:rsidRPr="00FB329A">
          <w:rPr>
            <w:rStyle w:val="Hyperlink"/>
            <w:rFonts w:ascii="Arial" w:hAnsi="Arial" w:cs="Arial"/>
          </w:rPr>
          <w:t xml:space="preserve"> </w:t>
        </w:r>
        <w:r w:rsidRPr="00FB329A">
          <w:rPr>
            <w:rStyle w:val="Hyperlink"/>
            <w:rFonts w:ascii="Arial" w:hAnsi="Arial" w:cs="Arial"/>
            <w:bCs/>
          </w:rPr>
          <w:t>C</w:t>
        </w:r>
        <w:r w:rsidRPr="00FB329A">
          <w:rPr>
            <w:rStyle w:val="Hyperlink"/>
            <w:rFonts w:ascii="Arial" w:hAnsi="Arial" w:cs="Arial"/>
          </w:rPr>
          <w:t>uritiba, PR, n. 469, 20 ago. 2012, p. 27-28</w:t>
        </w:r>
      </w:hyperlink>
      <w:r w:rsidRPr="00FB329A">
        <w:rPr>
          <w:rFonts w:ascii="Arial" w:hAnsi="Arial" w:cs="Arial"/>
        </w:rPr>
        <w:t>.</w:t>
      </w:r>
    </w:p>
    <w:p w14:paraId="64E24E1B" w14:textId="77777777" w:rsidR="00FB329A" w:rsidRPr="00FB329A" w:rsidRDefault="00FB329A" w:rsidP="00982BB4">
      <w:pPr>
        <w:pStyle w:val="Textodenotaderodap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</w:rPr>
      </w:pPr>
      <w:r w:rsidRPr="00FB329A">
        <w:rPr>
          <w:rFonts w:ascii="Arial" w:hAnsi="Arial" w:cs="Arial"/>
          <w:b/>
          <w:bCs/>
        </w:rPr>
        <w:t>Revoga</w:t>
      </w:r>
      <w:r w:rsidRPr="00FB329A">
        <w:rPr>
          <w:rFonts w:ascii="Arial" w:hAnsi="Arial" w:cs="Arial"/>
        </w:rPr>
        <w:t xml:space="preserve">: </w:t>
      </w:r>
    </w:p>
    <w:p w14:paraId="58DB47B6" w14:textId="77777777" w:rsidR="00FB329A" w:rsidRPr="00FB329A" w:rsidRDefault="00FB329A" w:rsidP="00982BB4">
      <w:pPr>
        <w:pStyle w:val="Textodenotaderodap"/>
        <w:spacing w:before="0" w:after="0" w:line="240" w:lineRule="auto"/>
        <w:ind w:firstLine="426"/>
        <w:rPr>
          <w:rFonts w:ascii="Arial" w:hAnsi="Arial" w:cs="Arial"/>
        </w:rPr>
      </w:pPr>
      <w:hyperlink r:id="rId2" w:history="1">
        <w:r w:rsidRPr="00FB329A">
          <w:rPr>
            <w:rStyle w:val="Hyperlink"/>
            <w:rFonts w:ascii="Arial" w:hAnsi="Arial" w:cs="Arial"/>
          </w:rPr>
          <w:t>Provimento n. 56, de 10 de maio de 2005</w:t>
        </w:r>
      </w:hyperlink>
      <w:r w:rsidRPr="00FB329A">
        <w:rPr>
          <w:rFonts w:ascii="Arial" w:hAnsi="Arial" w:cs="Arial"/>
        </w:rPr>
        <w:t>.</w:t>
      </w:r>
    </w:p>
    <w:p w14:paraId="6F5AEC27" w14:textId="77777777" w:rsidR="00FB329A" w:rsidRPr="00FB329A" w:rsidRDefault="00FB329A" w:rsidP="00982BB4">
      <w:pPr>
        <w:pStyle w:val="Textodenotaderodap"/>
        <w:spacing w:before="0" w:after="0" w:line="240" w:lineRule="auto"/>
        <w:ind w:firstLine="426"/>
        <w:rPr>
          <w:rFonts w:ascii="Arial" w:hAnsi="Arial" w:cs="Arial"/>
          <w:bCs/>
          <w:color w:val="0000FF"/>
        </w:rPr>
      </w:pPr>
      <w:hyperlink r:id="rId3" w:history="1">
        <w:r w:rsidRPr="00FB329A">
          <w:rPr>
            <w:rStyle w:val="Hyperlink"/>
            <w:rFonts w:ascii="Arial" w:hAnsi="Arial" w:cs="Arial"/>
            <w:bCs/>
          </w:rPr>
          <w:t>Instrução Normativa n. 30, de 18 de dezembro de 2008</w:t>
        </w:r>
      </w:hyperlink>
      <w:r w:rsidRPr="00FB329A">
        <w:rPr>
          <w:rFonts w:ascii="Arial" w:hAnsi="Arial" w:cs="Arial"/>
          <w:bCs/>
          <w:color w:val="0000FF"/>
        </w:rPr>
        <w:t xml:space="preserve">.  </w:t>
      </w:r>
    </w:p>
    <w:p w14:paraId="0E22889C" w14:textId="77777777" w:rsidR="00FB329A" w:rsidRPr="00FB329A" w:rsidRDefault="00FB329A" w:rsidP="00982BB4">
      <w:pPr>
        <w:pStyle w:val="Textodenotaderodap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  <w:rPr>
          <w:rFonts w:ascii="Arial" w:hAnsi="Arial" w:cs="Arial"/>
        </w:rPr>
      </w:pPr>
      <w:r w:rsidRPr="00FB329A">
        <w:rPr>
          <w:rFonts w:ascii="Arial" w:hAnsi="Arial" w:cs="Arial"/>
          <w:b/>
          <w:bCs/>
          <w:color w:val="0000FF"/>
        </w:rPr>
        <w:t>Regulamentada</w:t>
      </w:r>
      <w:r w:rsidRPr="00FB329A">
        <w:rPr>
          <w:rFonts w:ascii="Arial" w:hAnsi="Arial" w:cs="Arial"/>
        </w:rPr>
        <w:t xml:space="preserve"> por: </w:t>
      </w:r>
      <w:hyperlink r:id="rId4" w:history="1">
        <w:r w:rsidRPr="00FB329A">
          <w:rPr>
            <w:rStyle w:val="Hyperlink"/>
            <w:rFonts w:ascii="Arial" w:hAnsi="Arial" w:cs="Arial"/>
          </w:rPr>
          <w:t>Instrução Normativa n. 72, de 13 de setembro de 2012</w:t>
        </w:r>
      </w:hyperlink>
      <w:r w:rsidRPr="00FB329A">
        <w:rPr>
          <w:rFonts w:ascii="Arial" w:hAnsi="Arial" w:cs="Arial"/>
          <w:color w:val="0000FF"/>
        </w:rPr>
        <w:t>.</w:t>
      </w:r>
    </w:p>
    <w:p w14:paraId="58445658" w14:textId="5DDF86A3" w:rsidR="00C42633" w:rsidRDefault="00FB329A" w:rsidP="00982BB4">
      <w:pPr>
        <w:pStyle w:val="Textodenotaderodap"/>
        <w:numPr>
          <w:ilvl w:val="0"/>
          <w:numId w:val="1"/>
        </w:numPr>
        <w:autoSpaceDE/>
        <w:autoSpaceDN/>
        <w:spacing w:before="0" w:after="0" w:line="240" w:lineRule="auto"/>
        <w:ind w:left="426" w:hanging="284"/>
      </w:pPr>
      <w:r w:rsidRPr="00982BB4">
        <w:rPr>
          <w:rFonts w:ascii="Arial" w:hAnsi="Arial" w:cs="Arial"/>
          <w:b/>
          <w:bCs/>
          <w:color w:val="000000" w:themeColor="text1"/>
        </w:rPr>
        <w:t>Ver também:</w:t>
      </w:r>
      <w:r w:rsidRPr="00982BB4">
        <w:rPr>
          <w:rFonts w:ascii="Arial" w:hAnsi="Arial" w:cs="Arial"/>
          <w:color w:val="545454"/>
        </w:rPr>
        <w:t> </w:t>
      </w:r>
      <w:hyperlink r:id="rId5" w:history="1">
        <w:r w:rsidRPr="00982BB4">
          <w:rPr>
            <w:rStyle w:val="Hyperlink"/>
            <w:rFonts w:ascii="Arial" w:hAnsi="Arial" w:cs="Arial"/>
          </w:rPr>
          <w:t>Instrução Normativa n. 24, de 21 de agosto de 2008</w:t>
        </w:r>
      </w:hyperlink>
      <w:r w:rsidRPr="00982BB4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AF52" w14:textId="3AD3C45E" w:rsidR="005F55C1" w:rsidRPr="005F55C1" w:rsidRDefault="00982BB4" w:rsidP="00467CFB">
    <w:pPr>
      <w:keepLines/>
      <w:spacing w:before="960" w:after="120"/>
      <w:ind w:firstLine="1134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4F654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brasao_pr_pequeno" style="position:absolute;left:0;text-align:left;margin-left:18.95pt;margin-top:34.65pt;width:44.05pt;height:51.6pt;z-index:251657728;visibility:visible">
          <v:imagedata r:id="rId1" o:title="brasao_pr_pequeno"/>
        </v:shape>
      </w:pict>
    </w:r>
    <w:r w:rsidR="005F55C1" w:rsidRPr="005F55C1">
      <w:rPr>
        <w:rFonts w:ascii="Arial" w:hAnsi="Arial" w:cs="Arial"/>
        <w:b/>
        <w:sz w:val="28"/>
        <w:szCs w:val="28"/>
      </w:rPr>
      <w:t>TRIBUNAL DE CONTAS DO ESTADO DO PARANÁ</w:t>
    </w:r>
  </w:p>
  <w:p w14:paraId="07F385C8" w14:textId="77777777" w:rsidR="005F55C1" w:rsidRDefault="005F55C1" w:rsidP="008C7767">
    <w:pPr>
      <w:pStyle w:val="Cabealho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1043F"/>
    <w:multiLevelType w:val="hybridMultilevel"/>
    <w:tmpl w:val="16AE5D4C"/>
    <w:lvl w:ilvl="0" w:tplc="FFFFFFFF">
      <w:start w:val="1"/>
      <w:numFmt w:val="lowerLetter"/>
      <w:lvlText w:val="%1)"/>
      <w:lvlJc w:val="left"/>
      <w:pPr>
        <w:ind w:left="1146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5E5A4F"/>
    <w:multiLevelType w:val="hybridMultilevel"/>
    <w:tmpl w:val="D04470E2"/>
    <w:lvl w:ilvl="0" w:tplc="1FAEBE58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70218">
    <w:abstractNumId w:val="1"/>
  </w:num>
  <w:num w:numId="2" w16cid:durableId="1395153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52EF"/>
    <w:rsid w:val="00000DAB"/>
    <w:rsid w:val="00085E14"/>
    <w:rsid w:val="00235B9C"/>
    <w:rsid w:val="0039662A"/>
    <w:rsid w:val="00467CFB"/>
    <w:rsid w:val="005F55C1"/>
    <w:rsid w:val="00616769"/>
    <w:rsid w:val="0064316B"/>
    <w:rsid w:val="006843D5"/>
    <w:rsid w:val="006907FA"/>
    <w:rsid w:val="007E6D84"/>
    <w:rsid w:val="008452EF"/>
    <w:rsid w:val="00860209"/>
    <w:rsid w:val="008C7767"/>
    <w:rsid w:val="009403C6"/>
    <w:rsid w:val="00982BB4"/>
    <w:rsid w:val="00984E37"/>
    <w:rsid w:val="00C42633"/>
    <w:rsid w:val="00D2368C"/>
    <w:rsid w:val="00E400F3"/>
    <w:rsid w:val="00EB0C97"/>
    <w:rsid w:val="00EB54AC"/>
    <w:rsid w:val="00FB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F82356"/>
  <w15:chartTrackingRefBased/>
  <w15:docId w15:val="{A54AAFF0-BE11-4CF4-A921-FC8C8A5B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2EF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452EF"/>
    <w:pPr>
      <w:keepNext/>
      <w:autoSpaceDE/>
      <w:autoSpaceDN/>
      <w:spacing w:before="0" w:after="0" w:line="240" w:lineRule="auto"/>
      <w:ind w:firstLine="0"/>
      <w:jc w:val="center"/>
      <w:outlineLvl w:val="0"/>
    </w:pPr>
    <w:rPr>
      <w:rFonts w:ascii="Verdana" w:hAnsi="Verdana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452EF"/>
    <w:rPr>
      <w:rFonts w:ascii="Verdana" w:eastAsia="Times New Roman" w:hAnsi="Verdana" w:cs="Times New Roman"/>
      <w:b/>
      <w:bCs/>
      <w:sz w:val="20"/>
      <w:szCs w:val="20"/>
      <w:lang w:eastAsia="pt-BR"/>
    </w:rPr>
  </w:style>
  <w:style w:type="character" w:styleId="Forte">
    <w:name w:val="Strong"/>
    <w:qFormat/>
    <w:rsid w:val="008452EF"/>
    <w:rPr>
      <w:b/>
      <w:bCs/>
    </w:rPr>
  </w:style>
  <w:style w:type="paragraph" w:styleId="NormalWeb">
    <w:name w:val="Normal (Web)"/>
    <w:basedOn w:val="Normal"/>
    <w:unhideWhenUsed/>
    <w:rsid w:val="008452EF"/>
    <w:pPr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ArtigosOrdinais">
    <w:name w:val="ArtigosOrdinais"/>
    <w:basedOn w:val="Normal"/>
    <w:rsid w:val="008452EF"/>
    <w:pPr>
      <w:tabs>
        <w:tab w:val="left" w:pos="1260"/>
        <w:tab w:val="left" w:pos="1440"/>
        <w:tab w:val="left" w:pos="1620"/>
        <w:tab w:val="left" w:pos="1800"/>
        <w:tab w:val="left" w:pos="1980"/>
      </w:tabs>
      <w:autoSpaceDE/>
      <w:autoSpaceDN/>
      <w:spacing w:before="120" w:after="0" w:line="240" w:lineRule="auto"/>
      <w:ind w:firstLine="0"/>
    </w:pPr>
    <w:rPr>
      <w:rFonts w:ascii="Arial" w:hAnsi="Arial"/>
      <w:bCs/>
      <w:sz w:val="22"/>
      <w:szCs w:val="24"/>
    </w:rPr>
  </w:style>
  <w:style w:type="paragraph" w:customStyle="1" w:styleId="Ementa">
    <w:name w:val="Ementa"/>
    <w:basedOn w:val="Normal"/>
    <w:rsid w:val="008452EF"/>
    <w:pPr>
      <w:autoSpaceDE/>
      <w:autoSpaceDN/>
      <w:spacing w:before="240" w:after="240" w:line="240" w:lineRule="auto"/>
      <w:ind w:left="4253" w:firstLine="0"/>
    </w:pPr>
    <w:rPr>
      <w:rFonts w:ascii="Arial" w:hAnsi="Arial"/>
      <w:bCs/>
      <w:sz w:val="22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F55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F55C1"/>
    <w:rPr>
      <w:rFonts w:ascii="Times New Roman" w:eastAsia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5F55C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F55C1"/>
    <w:rPr>
      <w:rFonts w:ascii="Times New Roman" w:eastAsia="Times New Roman" w:hAnsi="Times New Roman"/>
      <w:sz w:val="24"/>
    </w:rPr>
  </w:style>
  <w:style w:type="paragraph" w:styleId="Textodenotaderodap">
    <w:name w:val="footnote text"/>
    <w:basedOn w:val="Normal"/>
    <w:link w:val="TextodenotaderodapChar"/>
    <w:unhideWhenUsed/>
    <w:rsid w:val="00C42633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C42633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C42633"/>
    <w:rPr>
      <w:vertAlign w:val="superscript"/>
    </w:rPr>
  </w:style>
  <w:style w:type="character" w:styleId="Hyperlink">
    <w:name w:val="Hyperlink"/>
    <w:uiPriority w:val="99"/>
    <w:rsid w:val="00C42633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C42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provimento-n&#186;-562005/1320/area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%C2%BA-302008/237443/area/10" TargetMode="External"/><Relationship Id="rId2" Type="http://schemas.openxmlformats.org/officeDocument/2006/relationships/hyperlink" Target="http://www1.tce.pr.gov.br/conteudo/provimento-n&#186;-562005/1320/area/10" TargetMode="External"/><Relationship Id="rId1" Type="http://schemas.openxmlformats.org/officeDocument/2006/relationships/hyperlink" Target="http://www1.tce.pr.gov.br/multimidia/2012/8/pdf/00231467.pdf" TargetMode="External"/><Relationship Id="rId5" Type="http://schemas.openxmlformats.org/officeDocument/2006/relationships/hyperlink" Target="https://www1.tce.pr.gov.br/conteudo/instrucao-normativa-n%C2%BA-242008/1208/area/10" TargetMode="External"/><Relationship Id="rId4" Type="http://schemas.openxmlformats.org/officeDocument/2006/relationships/hyperlink" Target="https://www1.tce.pr.gov.br/conteudo/instrucao-normativa-n%C2%BA-722012/23740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tc513938</dc:creator>
  <cp:keywords/>
  <cp:lastModifiedBy>Yarusya Fonseca</cp:lastModifiedBy>
  <cp:revision>19</cp:revision>
  <dcterms:created xsi:type="dcterms:W3CDTF">2022-07-06T13:18:00Z</dcterms:created>
  <dcterms:modified xsi:type="dcterms:W3CDTF">2022-07-14T23:36:00Z</dcterms:modified>
</cp:coreProperties>
</file>