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F5CEA" w14:textId="0D454102" w:rsidR="000867A1" w:rsidRPr="003C6213" w:rsidRDefault="000867A1" w:rsidP="003C6213">
      <w:pPr>
        <w:jc w:val="center"/>
        <w:rPr>
          <w:rFonts w:cs="Arial"/>
          <w:b/>
          <w:sz w:val="28"/>
          <w:szCs w:val="28"/>
        </w:rPr>
      </w:pPr>
      <w:r w:rsidRPr="003C6213">
        <w:rPr>
          <w:rFonts w:cs="Arial"/>
          <w:b/>
          <w:sz w:val="28"/>
          <w:szCs w:val="28"/>
        </w:rPr>
        <w:t>RESOLUÇÃO</w:t>
      </w:r>
      <w:r w:rsidR="00646B0E" w:rsidRPr="003C6213">
        <w:rPr>
          <w:rFonts w:cs="Arial"/>
          <w:b/>
          <w:sz w:val="28"/>
          <w:szCs w:val="28"/>
        </w:rPr>
        <w:t xml:space="preserve"> Nº 17/2009</w:t>
      </w:r>
      <w:r w:rsidR="00562074">
        <w:rPr>
          <w:rStyle w:val="Refdenotaderodap"/>
          <w:rFonts w:cs="Arial"/>
          <w:b/>
          <w:sz w:val="28"/>
          <w:szCs w:val="28"/>
        </w:rPr>
        <w:footnoteReference w:id="1"/>
      </w:r>
    </w:p>
    <w:p w14:paraId="37443B5C" w14:textId="77777777" w:rsidR="000867A1" w:rsidRPr="00606F7C" w:rsidRDefault="000867A1" w:rsidP="000867A1">
      <w:pPr>
        <w:jc w:val="both"/>
        <w:rPr>
          <w:rFonts w:cs="Arial"/>
          <w:sz w:val="24"/>
          <w:szCs w:val="24"/>
        </w:rPr>
      </w:pPr>
    </w:p>
    <w:p w14:paraId="4FA6060C" w14:textId="77777777" w:rsidR="000867A1" w:rsidRPr="003C6213" w:rsidRDefault="000867A1" w:rsidP="003C6213">
      <w:pPr>
        <w:spacing w:before="360" w:after="360"/>
        <w:ind w:left="4536"/>
        <w:jc w:val="both"/>
        <w:rPr>
          <w:rFonts w:cs="Arial"/>
          <w:i/>
          <w:szCs w:val="22"/>
        </w:rPr>
      </w:pPr>
      <w:r w:rsidRPr="003C6213">
        <w:rPr>
          <w:rFonts w:cs="Arial"/>
          <w:i/>
          <w:szCs w:val="22"/>
        </w:rPr>
        <w:t xml:space="preserve">Dispõe sobre normas complementares para substituição de Conselheiros e dá outras providências. </w:t>
      </w:r>
    </w:p>
    <w:p w14:paraId="71B90B3F" w14:textId="4EF1566D" w:rsidR="000867A1" w:rsidRPr="00AB7D91" w:rsidRDefault="000867A1" w:rsidP="00F90F30">
      <w:pPr>
        <w:spacing w:before="120"/>
        <w:ind w:firstLine="1134"/>
        <w:jc w:val="both"/>
        <w:rPr>
          <w:rFonts w:cs="Arial"/>
          <w:sz w:val="24"/>
          <w:szCs w:val="24"/>
        </w:rPr>
      </w:pPr>
      <w:r w:rsidRPr="00AB7D91">
        <w:rPr>
          <w:rFonts w:cs="Arial"/>
          <w:sz w:val="24"/>
          <w:szCs w:val="24"/>
        </w:rPr>
        <w:t xml:space="preserve">O </w:t>
      </w:r>
      <w:r w:rsidR="003C6213" w:rsidRPr="003C6213">
        <w:rPr>
          <w:rFonts w:cs="Arial"/>
          <w:b/>
          <w:bCs/>
          <w:sz w:val="24"/>
          <w:szCs w:val="24"/>
        </w:rPr>
        <w:t>TRIBUNAL DE CONTAS DO ESTADO DO PARANÁ</w:t>
      </w:r>
      <w:r w:rsidRPr="00AB7D91">
        <w:rPr>
          <w:rFonts w:cs="Arial"/>
          <w:sz w:val="24"/>
          <w:szCs w:val="24"/>
        </w:rPr>
        <w:t>, no uso da atribuição que lhe confere o art. 2°, I, da Lei Complementar n° 113, de 15 de dezembro de 2005, resolve:</w:t>
      </w:r>
    </w:p>
    <w:p w14:paraId="6479E7AF" w14:textId="77777777" w:rsidR="000867A1" w:rsidRPr="00AB7D91" w:rsidRDefault="000867A1" w:rsidP="00F90F30">
      <w:pPr>
        <w:spacing w:before="120"/>
        <w:ind w:firstLine="1134"/>
        <w:jc w:val="both"/>
        <w:rPr>
          <w:rFonts w:cs="Arial"/>
          <w:sz w:val="24"/>
          <w:szCs w:val="24"/>
        </w:rPr>
      </w:pPr>
      <w:r w:rsidRPr="00AB7D91">
        <w:rPr>
          <w:rFonts w:cs="Arial"/>
          <w:b/>
          <w:bCs/>
          <w:sz w:val="24"/>
          <w:szCs w:val="24"/>
        </w:rPr>
        <w:t xml:space="preserve">Art. 1° </w:t>
      </w:r>
      <w:r w:rsidRPr="00AB7D91">
        <w:rPr>
          <w:rFonts w:cs="Arial"/>
          <w:bCs/>
          <w:sz w:val="24"/>
          <w:szCs w:val="24"/>
        </w:rPr>
        <w:t xml:space="preserve">A substituição de Conselheiros, para as hipóteses previstas nos incisos I e II, do art. 50, do Regimento Interno, ante a impossibilidade temporária de aplicação das regras decorrentes do art. 56, </w:t>
      </w:r>
      <w:r w:rsidRPr="00AB7D91">
        <w:rPr>
          <w:rFonts w:cs="Arial"/>
          <w:sz w:val="24"/>
          <w:szCs w:val="24"/>
        </w:rPr>
        <w:t>do mesmo diploma legal, reger-se-á pelas normas contidas nesta Resolução.</w:t>
      </w:r>
    </w:p>
    <w:p w14:paraId="064FE169" w14:textId="77777777" w:rsidR="000867A1" w:rsidRPr="00AB7D91" w:rsidRDefault="000867A1" w:rsidP="00F90F30">
      <w:pPr>
        <w:spacing w:before="120"/>
        <w:ind w:firstLine="1134"/>
        <w:jc w:val="both"/>
        <w:rPr>
          <w:rFonts w:cs="Arial"/>
          <w:sz w:val="24"/>
          <w:szCs w:val="24"/>
        </w:rPr>
      </w:pPr>
      <w:r w:rsidRPr="00AB7D91">
        <w:rPr>
          <w:rFonts w:cs="Arial"/>
          <w:b/>
          <w:sz w:val="24"/>
          <w:szCs w:val="24"/>
        </w:rPr>
        <w:t>Art. 2</w:t>
      </w:r>
      <w:r w:rsidRPr="00AB7D91">
        <w:rPr>
          <w:rFonts w:cs="Arial"/>
          <w:b/>
          <w:bCs/>
          <w:sz w:val="24"/>
          <w:szCs w:val="24"/>
        </w:rPr>
        <w:t xml:space="preserve">° </w:t>
      </w:r>
      <w:r w:rsidRPr="00AB7D91">
        <w:rPr>
          <w:rFonts w:cs="Arial"/>
          <w:bCs/>
          <w:sz w:val="24"/>
          <w:szCs w:val="24"/>
        </w:rPr>
        <w:t xml:space="preserve">A </w:t>
      </w:r>
      <w:r w:rsidRPr="00AB7D91">
        <w:rPr>
          <w:rFonts w:cs="Arial"/>
          <w:sz w:val="24"/>
          <w:szCs w:val="24"/>
        </w:rPr>
        <w:t>distribuição de processos, aos Auditores, nas hipóteses de férias e licenças dos Conselheiros e de prestação de contas municipais, dar-se-á na forma do art. 333, I e II, §§ 1º, 2º e 3º, do Regimento Interno.</w:t>
      </w:r>
    </w:p>
    <w:p w14:paraId="78CD8CAF" w14:textId="77777777" w:rsidR="000867A1" w:rsidRPr="00AB7D91" w:rsidRDefault="000867A1" w:rsidP="00F90F30">
      <w:pPr>
        <w:spacing w:before="120"/>
        <w:ind w:firstLine="1134"/>
        <w:jc w:val="both"/>
        <w:rPr>
          <w:rFonts w:cs="Arial"/>
          <w:sz w:val="24"/>
          <w:szCs w:val="24"/>
        </w:rPr>
      </w:pPr>
      <w:r w:rsidRPr="00AB7D91">
        <w:rPr>
          <w:rFonts w:cs="Arial"/>
          <w:b/>
          <w:sz w:val="24"/>
          <w:szCs w:val="24"/>
        </w:rPr>
        <w:t>Art. 3</w:t>
      </w:r>
      <w:r w:rsidRPr="00AB7D91">
        <w:rPr>
          <w:rFonts w:cs="Arial"/>
          <w:b/>
          <w:bCs/>
          <w:sz w:val="24"/>
          <w:szCs w:val="24"/>
        </w:rPr>
        <w:t xml:space="preserve">° </w:t>
      </w:r>
      <w:r w:rsidRPr="00AB7D91">
        <w:rPr>
          <w:rFonts w:cs="Arial"/>
          <w:bCs/>
          <w:sz w:val="24"/>
          <w:szCs w:val="24"/>
        </w:rPr>
        <w:t xml:space="preserve">A </w:t>
      </w:r>
      <w:r w:rsidRPr="00AB7D91">
        <w:rPr>
          <w:rFonts w:cs="Arial"/>
          <w:sz w:val="24"/>
          <w:szCs w:val="24"/>
        </w:rPr>
        <w:t>convocação de Auditor para substituição de Conselheiro, nas hipóteses de férias e licenças</w:t>
      </w:r>
      <w:r w:rsidRPr="00AB7D91">
        <w:rPr>
          <w:rFonts w:cs="Arial"/>
          <w:bCs/>
          <w:sz w:val="24"/>
          <w:szCs w:val="24"/>
        </w:rPr>
        <w:t xml:space="preserve">, </w:t>
      </w:r>
      <w:r w:rsidRPr="00AB7D91">
        <w:rPr>
          <w:rFonts w:cs="Arial"/>
          <w:sz w:val="24"/>
          <w:szCs w:val="24"/>
        </w:rPr>
        <w:t xml:space="preserve">será feita mediante portaria da Presidência, observada a composição da respectiva Câmara, exclusivamente, para efeito de composição de </w:t>
      </w:r>
      <w:r w:rsidRPr="00AB7D91">
        <w:rPr>
          <w:rFonts w:cs="Arial"/>
          <w:i/>
          <w:sz w:val="24"/>
          <w:szCs w:val="24"/>
        </w:rPr>
        <w:t>quorum</w:t>
      </w:r>
      <w:r w:rsidRPr="00AB7D91">
        <w:rPr>
          <w:rFonts w:cs="Arial"/>
          <w:sz w:val="24"/>
          <w:szCs w:val="24"/>
        </w:rPr>
        <w:t xml:space="preserve"> nos órgãos colegiados, emissão de despachos, decisões definitivas monocráticas e apreciação de liminares.</w:t>
      </w:r>
    </w:p>
    <w:p w14:paraId="54CB1137" w14:textId="77777777" w:rsidR="000867A1" w:rsidRPr="00AB7D91" w:rsidRDefault="000867A1" w:rsidP="00F90F30">
      <w:pPr>
        <w:spacing w:before="120"/>
        <w:ind w:firstLine="1134"/>
        <w:jc w:val="both"/>
        <w:rPr>
          <w:rFonts w:cs="Arial"/>
          <w:sz w:val="24"/>
          <w:szCs w:val="24"/>
        </w:rPr>
      </w:pPr>
      <w:r w:rsidRPr="00AB7D91">
        <w:rPr>
          <w:rFonts w:cs="Arial"/>
          <w:b/>
          <w:sz w:val="24"/>
          <w:szCs w:val="24"/>
        </w:rPr>
        <w:t>Art. 4º</w:t>
      </w:r>
      <w:r w:rsidRPr="00AB7D91">
        <w:rPr>
          <w:rFonts w:cs="Arial"/>
          <w:sz w:val="24"/>
          <w:szCs w:val="24"/>
        </w:rPr>
        <w:t xml:space="preserve"> A convocação de Auditor para substituição de Conselheiro para efeito de </w:t>
      </w:r>
      <w:r w:rsidRPr="00AB7D91">
        <w:rPr>
          <w:rFonts w:cs="Arial"/>
          <w:i/>
          <w:sz w:val="24"/>
          <w:szCs w:val="24"/>
        </w:rPr>
        <w:t>quorum</w:t>
      </w:r>
      <w:r w:rsidRPr="00AB7D91">
        <w:rPr>
          <w:rFonts w:cs="Arial"/>
          <w:sz w:val="24"/>
          <w:szCs w:val="24"/>
        </w:rPr>
        <w:t xml:space="preserve">, nas hipóteses de ausências declaradas, impedimentos para votar e afastamento judicial será feita pelos Presidentes dos órgãos colegiados. </w:t>
      </w:r>
    </w:p>
    <w:p w14:paraId="41232A97" w14:textId="77777777" w:rsidR="000867A1" w:rsidRPr="00AB7D91" w:rsidRDefault="000867A1" w:rsidP="00F90F30">
      <w:pPr>
        <w:spacing w:before="120"/>
        <w:ind w:firstLine="1134"/>
        <w:jc w:val="both"/>
        <w:rPr>
          <w:rFonts w:cs="Arial"/>
          <w:sz w:val="24"/>
          <w:szCs w:val="24"/>
        </w:rPr>
      </w:pPr>
      <w:r w:rsidRPr="00AB7D91">
        <w:rPr>
          <w:rFonts w:cs="Arial"/>
          <w:b/>
          <w:sz w:val="24"/>
          <w:szCs w:val="24"/>
        </w:rPr>
        <w:t>Art. 5</w:t>
      </w:r>
      <w:r w:rsidRPr="00AB7D91">
        <w:rPr>
          <w:rFonts w:cs="Arial"/>
          <w:b/>
          <w:bCs/>
          <w:sz w:val="24"/>
          <w:szCs w:val="24"/>
        </w:rPr>
        <w:t xml:space="preserve">° </w:t>
      </w:r>
      <w:r w:rsidRPr="00AB7D91">
        <w:rPr>
          <w:rFonts w:cs="Arial"/>
          <w:sz w:val="24"/>
          <w:szCs w:val="24"/>
        </w:rPr>
        <w:t>Os processos cujos relatores estejam afastados do cargo por decisão judicial e que não tenham sido objeto de delegação, ou em que esteja vago o cargo, serão distribuídos para os demais Auditores, na forma do art. 333, I e II, §§ 1º, 2º e 3º, do Regimento Interno.</w:t>
      </w:r>
    </w:p>
    <w:p w14:paraId="2A4F1B26" w14:textId="77777777" w:rsidR="000867A1" w:rsidRPr="00AB7D91" w:rsidRDefault="000867A1" w:rsidP="00F90F30">
      <w:pPr>
        <w:spacing w:before="120"/>
        <w:ind w:firstLine="1134"/>
        <w:jc w:val="both"/>
        <w:rPr>
          <w:rFonts w:cs="Arial"/>
          <w:sz w:val="24"/>
          <w:szCs w:val="24"/>
        </w:rPr>
      </w:pPr>
      <w:r w:rsidRPr="00AB7D91">
        <w:rPr>
          <w:rFonts w:cs="Arial"/>
          <w:b/>
          <w:sz w:val="24"/>
          <w:szCs w:val="24"/>
        </w:rPr>
        <w:t>Art. 6</w:t>
      </w:r>
      <w:r w:rsidRPr="00AB7D91">
        <w:rPr>
          <w:rFonts w:cs="Arial"/>
          <w:b/>
          <w:bCs/>
          <w:sz w:val="24"/>
          <w:szCs w:val="24"/>
        </w:rPr>
        <w:t xml:space="preserve">° </w:t>
      </w:r>
      <w:r w:rsidRPr="00AB7D91">
        <w:rPr>
          <w:rFonts w:cs="Arial"/>
          <w:sz w:val="24"/>
          <w:szCs w:val="24"/>
        </w:rPr>
        <w:t>Fica mantida a atual composição das Câmaras, conforme homologado na Sessão Ordinária do Tribunal Pleno, de 15 de janeiro de 2009.</w:t>
      </w:r>
    </w:p>
    <w:p w14:paraId="754A40B7" w14:textId="77777777" w:rsidR="000867A1" w:rsidRDefault="000867A1" w:rsidP="00F90F30">
      <w:pPr>
        <w:spacing w:before="120"/>
        <w:ind w:firstLine="1134"/>
        <w:jc w:val="both"/>
        <w:rPr>
          <w:rFonts w:cs="Arial"/>
          <w:sz w:val="24"/>
          <w:szCs w:val="24"/>
        </w:rPr>
      </w:pPr>
      <w:r w:rsidRPr="00AB7D91">
        <w:rPr>
          <w:rFonts w:cs="Arial"/>
          <w:b/>
          <w:sz w:val="24"/>
          <w:szCs w:val="24"/>
        </w:rPr>
        <w:t>Art. 7</w:t>
      </w:r>
      <w:r w:rsidRPr="00AB7D91">
        <w:rPr>
          <w:rFonts w:cs="Arial"/>
          <w:b/>
          <w:bCs/>
          <w:sz w:val="24"/>
          <w:szCs w:val="24"/>
        </w:rPr>
        <w:t xml:space="preserve">° </w:t>
      </w:r>
      <w:r w:rsidRPr="00AB7D91">
        <w:rPr>
          <w:rFonts w:cs="Arial"/>
          <w:sz w:val="24"/>
          <w:szCs w:val="24"/>
        </w:rPr>
        <w:t xml:space="preserve">Esta Resolução entrará em vigor na data de sua publicação. </w:t>
      </w:r>
    </w:p>
    <w:p w14:paraId="1EEC6409" w14:textId="77777777" w:rsidR="000867A1" w:rsidRDefault="000867A1" w:rsidP="003C6213">
      <w:pPr>
        <w:spacing w:before="120"/>
        <w:ind w:firstLine="709"/>
        <w:jc w:val="both"/>
        <w:rPr>
          <w:rFonts w:cs="Arial"/>
          <w:sz w:val="24"/>
          <w:szCs w:val="24"/>
        </w:rPr>
      </w:pPr>
    </w:p>
    <w:p w14:paraId="6DC6616B" w14:textId="77C31796" w:rsidR="000867A1" w:rsidRPr="00AB7D91" w:rsidRDefault="000867A1" w:rsidP="003C6213">
      <w:pPr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Sala das Sessões, em </w:t>
      </w:r>
      <w:r w:rsidR="009B68F5">
        <w:rPr>
          <w:rFonts w:cs="Arial"/>
          <w:sz w:val="24"/>
          <w:szCs w:val="24"/>
        </w:rPr>
        <w:t xml:space="preserve">29 </w:t>
      </w:r>
      <w:r>
        <w:rPr>
          <w:rFonts w:cs="Arial"/>
          <w:sz w:val="24"/>
          <w:szCs w:val="24"/>
        </w:rPr>
        <w:t xml:space="preserve">de </w:t>
      </w:r>
      <w:r w:rsidR="003C6213">
        <w:rPr>
          <w:rFonts w:cs="Arial"/>
          <w:sz w:val="24"/>
          <w:szCs w:val="24"/>
        </w:rPr>
        <w:t>o</w:t>
      </w:r>
      <w:r w:rsidR="009B68F5">
        <w:rPr>
          <w:rFonts w:cs="Arial"/>
          <w:sz w:val="24"/>
          <w:szCs w:val="24"/>
        </w:rPr>
        <w:t xml:space="preserve">utubro </w:t>
      </w:r>
      <w:r>
        <w:rPr>
          <w:rFonts w:cs="Arial"/>
          <w:sz w:val="24"/>
          <w:szCs w:val="24"/>
        </w:rPr>
        <w:t>de 2009.</w:t>
      </w:r>
    </w:p>
    <w:p w14:paraId="6E942FE4" w14:textId="77777777" w:rsidR="000867A1" w:rsidRDefault="000867A1" w:rsidP="000867A1">
      <w:pPr>
        <w:ind w:firstLine="709"/>
        <w:jc w:val="both"/>
        <w:rPr>
          <w:rFonts w:cs="Arial"/>
          <w:sz w:val="24"/>
          <w:szCs w:val="24"/>
        </w:rPr>
      </w:pPr>
    </w:p>
    <w:p w14:paraId="45FE3EEE" w14:textId="77777777" w:rsidR="00B102FD" w:rsidRDefault="00B102FD" w:rsidP="000867A1">
      <w:pPr>
        <w:ind w:firstLine="709"/>
        <w:jc w:val="both"/>
        <w:rPr>
          <w:rFonts w:cs="Arial"/>
          <w:sz w:val="24"/>
          <w:szCs w:val="24"/>
        </w:rPr>
      </w:pPr>
    </w:p>
    <w:p w14:paraId="45C1091A" w14:textId="77777777" w:rsidR="00B102FD" w:rsidRDefault="00B102FD" w:rsidP="000867A1">
      <w:pPr>
        <w:ind w:firstLine="709"/>
        <w:jc w:val="both"/>
        <w:rPr>
          <w:rFonts w:cs="Arial"/>
          <w:sz w:val="24"/>
          <w:szCs w:val="24"/>
        </w:rPr>
      </w:pPr>
    </w:p>
    <w:p w14:paraId="1986FFB7" w14:textId="77777777" w:rsidR="009B68F5" w:rsidRPr="003665BD" w:rsidRDefault="009B68F5" w:rsidP="003665BD">
      <w:pPr>
        <w:jc w:val="center"/>
        <w:rPr>
          <w:rFonts w:cs="Arial"/>
          <w:b/>
          <w:bCs/>
        </w:rPr>
      </w:pPr>
      <w:r w:rsidRPr="003665BD">
        <w:rPr>
          <w:rFonts w:cs="Arial"/>
          <w:b/>
          <w:bCs/>
        </w:rPr>
        <w:t>HERMAS EURIDES BRANDÃO</w:t>
      </w:r>
    </w:p>
    <w:p w14:paraId="6B0CDE14" w14:textId="6C323D16" w:rsidR="00012ADC" w:rsidRPr="003665BD" w:rsidRDefault="009B68F5" w:rsidP="003665BD">
      <w:pPr>
        <w:jc w:val="center"/>
        <w:rPr>
          <w:rFonts w:cs="Arial"/>
        </w:rPr>
      </w:pPr>
      <w:r w:rsidRPr="003665BD">
        <w:rPr>
          <w:rFonts w:cs="Arial"/>
        </w:rPr>
        <w:t>Presidente</w:t>
      </w:r>
    </w:p>
    <w:sectPr w:rsidR="00012ADC" w:rsidRPr="003665BD" w:rsidSect="003C6213">
      <w:headerReference w:type="default" r:id="rId7"/>
      <w:footnotePr>
        <w:numFmt w:val="chicago"/>
      </w:footnotePr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9BA73" w14:textId="77777777" w:rsidR="00562074" w:rsidRDefault="00562074" w:rsidP="00562074">
      <w:r>
        <w:separator/>
      </w:r>
    </w:p>
  </w:endnote>
  <w:endnote w:type="continuationSeparator" w:id="0">
    <w:p w14:paraId="74153027" w14:textId="77777777" w:rsidR="00562074" w:rsidRDefault="00562074" w:rsidP="0056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34BFB" w14:textId="77777777" w:rsidR="00562074" w:rsidRDefault="00562074" w:rsidP="00562074">
      <w:r>
        <w:separator/>
      </w:r>
    </w:p>
  </w:footnote>
  <w:footnote w:type="continuationSeparator" w:id="0">
    <w:p w14:paraId="208DD8A6" w14:textId="77777777" w:rsidR="00562074" w:rsidRDefault="00562074" w:rsidP="00562074">
      <w:r>
        <w:continuationSeparator/>
      </w:r>
    </w:p>
  </w:footnote>
  <w:footnote w:id="1">
    <w:p w14:paraId="21F443B1" w14:textId="77777777" w:rsidR="00FC74AE" w:rsidRPr="000A21AB" w:rsidRDefault="00562074" w:rsidP="00FC74AE">
      <w:pPr>
        <w:pStyle w:val="Textodenotaderodap"/>
        <w:jc w:val="both"/>
        <w:rPr>
          <w:rFonts w:cs="Arial"/>
        </w:rPr>
      </w:pPr>
      <w:r>
        <w:rPr>
          <w:rStyle w:val="Refdenotaderodap"/>
        </w:rPr>
        <w:footnoteRef/>
      </w:r>
      <w:r>
        <w:t xml:space="preserve"> </w:t>
      </w:r>
      <w:r w:rsidR="00FC74AE" w:rsidRPr="000A21AB">
        <w:rPr>
          <w:rFonts w:cs="Arial"/>
          <w:b/>
        </w:rPr>
        <w:t>Notas da Biblioteca:</w:t>
      </w:r>
    </w:p>
    <w:p w14:paraId="34DBAFA3" w14:textId="6958C5CA" w:rsidR="00562074" w:rsidRPr="00FA7129" w:rsidRDefault="00FC74AE" w:rsidP="00FA7129">
      <w:pPr>
        <w:pStyle w:val="Textodenotaderodap"/>
        <w:numPr>
          <w:ilvl w:val="0"/>
          <w:numId w:val="1"/>
        </w:numPr>
        <w:ind w:left="426" w:hanging="284"/>
        <w:rPr>
          <w:rFonts w:cs="Arial"/>
        </w:rPr>
      </w:pPr>
      <w:r w:rsidRPr="00FA7129">
        <w:rPr>
          <w:rFonts w:cs="Arial"/>
        </w:rPr>
        <w:t xml:space="preserve">Este texto não substitui o publicado no periódico: </w:t>
      </w:r>
      <w:hyperlink r:id="rId1" w:history="1">
        <w:r w:rsidR="006D2FE7" w:rsidRPr="00FA7129">
          <w:rPr>
            <w:rStyle w:val="Hyperlink"/>
            <w:rFonts w:cs="Arial"/>
            <w:b/>
            <w:bCs/>
          </w:rPr>
          <w:t>Atos Oficiais do Tribunal de Contas do Estado do Paraná</w:t>
        </w:r>
        <w:r w:rsidR="006D2FE7" w:rsidRPr="00FA7129">
          <w:rPr>
            <w:rStyle w:val="Hyperlink"/>
            <w:rFonts w:cs="Arial"/>
            <w:bCs/>
          </w:rPr>
          <w:t>,</w:t>
        </w:r>
        <w:r w:rsidR="006D2FE7" w:rsidRPr="00FA7129">
          <w:rPr>
            <w:rStyle w:val="Hyperlink"/>
            <w:rFonts w:cs="Arial"/>
          </w:rPr>
          <w:t xml:space="preserve"> Curitiba, PR, n. 224, 6 nov. 2009, p. 104</w:t>
        </w:r>
      </w:hyperlink>
      <w:r w:rsidR="006D2FE7" w:rsidRPr="00FA7129">
        <w:rPr>
          <w:rFonts w:cs="Arial"/>
        </w:rPr>
        <w:t>.</w:t>
      </w:r>
    </w:p>
    <w:p w14:paraId="6744F196" w14:textId="4F08EE56" w:rsidR="00A564F1" w:rsidRPr="00DC060B" w:rsidRDefault="00A564F1" w:rsidP="00FC74AE">
      <w:pPr>
        <w:numPr>
          <w:ilvl w:val="0"/>
          <w:numId w:val="1"/>
        </w:numPr>
        <w:ind w:left="426" w:hanging="284"/>
        <w:jc w:val="both"/>
        <w:rPr>
          <w:rFonts w:cs="Arial"/>
          <w:color w:val="FF0000"/>
          <w:sz w:val="20"/>
        </w:rPr>
      </w:pPr>
      <w:r w:rsidRPr="00FA7129">
        <w:rPr>
          <w:rFonts w:cs="Arial"/>
          <w:b/>
          <w:bCs/>
          <w:color w:val="FF0000"/>
          <w:sz w:val="20"/>
        </w:rPr>
        <w:t>Revogada</w:t>
      </w:r>
      <w:r w:rsidRPr="00FA7129">
        <w:rPr>
          <w:rFonts w:cs="Arial"/>
          <w:bCs/>
          <w:color w:val="000000"/>
          <w:sz w:val="20"/>
        </w:rPr>
        <w:t xml:space="preserve"> </w:t>
      </w:r>
      <w:r w:rsidRPr="00FA7129">
        <w:rPr>
          <w:rFonts w:cs="Arial"/>
          <w:b/>
          <w:bCs/>
          <w:color w:val="000000"/>
          <w:sz w:val="20"/>
        </w:rPr>
        <w:t>por:</w:t>
      </w:r>
      <w:r w:rsidRPr="00FA7129">
        <w:rPr>
          <w:rFonts w:cs="Arial"/>
          <w:bCs/>
          <w:color w:val="000000"/>
          <w:sz w:val="20"/>
        </w:rPr>
        <w:t xml:space="preserve"> </w:t>
      </w:r>
      <w:hyperlink r:id="rId2" w:history="1">
        <w:r w:rsidRPr="00FA7129">
          <w:rPr>
            <w:rStyle w:val="Hyperlink"/>
            <w:rFonts w:cs="Arial"/>
            <w:sz w:val="20"/>
          </w:rPr>
          <w:t>Resolução n. 24, de 16 de dezembro de 2010.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56839" w14:textId="77777777" w:rsidR="00562074" w:rsidRPr="00B53421" w:rsidRDefault="00562074" w:rsidP="00562074">
    <w:pPr>
      <w:pStyle w:val="Cabealho"/>
      <w:spacing w:before="240" w:after="240"/>
      <w:ind w:firstLine="1559"/>
      <w:rPr>
        <w:rFonts w:cs="Arial"/>
        <w:b/>
        <w:sz w:val="28"/>
        <w:szCs w:val="28"/>
      </w:rPr>
    </w:pPr>
    <w:r>
      <w:rPr>
        <w:rFonts w:ascii="Arial Narrow" w:hAnsi="Arial Narrow"/>
        <w:noProof/>
        <w:sz w:val="24"/>
      </w:rPr>
      <w:pict w14:anchorId="24001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alt="Descrição: logo TC colorido - medio" style="position:absolute;left:0;text-align:left;margin-left:7.65pt;margin-top:-8.15pt;width:47.7pt;height:5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 logo TC colorido - medio"/>
          <w10:wrap type="square"/>
        </v:shape>
      </w:pict>
    </w:r>
    <w:r w:rsidRPr="00C35B97">
      <w:rPr>
        <w:rFonts w:cs="Arial"/>
        <w:b/>
        <w:sz w:val="28"/>
        <w:szCs w:val="28"/>
      </w:rPr>
      <w:t>TRIBUNAL DE CONTAS DO ESTADO DO PARANÁ</w:t>
    </w:r>
  </w:p>
  <w:p w14:paraId="3E73CC43" w14:textId="77777777" w:rsidR="00562074" w:rsidRDefault="005620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4893"/>
    <w:multiLevelType w:val="hybridMultilevel"/>
    <w:tmpl w:val="DE969FE6"/>
    <w:lvl w:ilvl="0" w:tplc="BA7A8B5C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980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67A1"/>
    <w:rsid w:val="00012ADC"/>
    <w:rsid w:val="000867A1"/>
    <w:rsid w:val="00137A93"/>
    <w:rsid w:val="001A7372"/>
    <w:rsid w:val="001F34EA"/>
    <w:rsid w:val="00266BDC"/>
    <w:rsid w:val="003665BD"/>
    <w:rsid w:val="003B5BBE"/>
    <w:rsid w:val="003C6213"/>
    <w:rsid w:val="003F3A35"/>
    <w:rsid w:val="00562074"/>
    <w:rsid w:val="00646B0E"/>
    <w:rsid w:val="006D2FE7"/>
    <w:rsid w:val="00745E11"/>
    <w:rsid w:val="009308E2"/>
    <w:rsid w:val="009B68F5"/>
    <w:rsid w:val="00A564F1"/>
    <w:rsid w:val="00B07218"/>
    <w:rsid w:val="00B102FD"/>
    <w:rsid w:val="00DC060B"/>
    <w:rsid w:val="00E56CA9"/>
    <w:rsid w:val="00F90F30"/>
    <w:rsid w:val="00FA7129"/>
    <w:rsid w:val="00FC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C253CA7"/>
  <w15:chartTrackingRefBased/>
  <w15:docId w15:val="{E8034147-A800-4D6D-8098-E12EEA74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7A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rsid w:val="005620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62074"/>
    <w:rPr>
      <w:rFonts w:ascii="Arial" w:hAnsi="Arial"/>
      <w:sz w:val="22"/>
    </w:rPr>
  </w:style>
  <w:style w:type="paragraph" w:styleId="Rodap">
    <w:name w:val="footer"/>
    <w:basedOn w:val="Normal"/>
    <w:link w:val="RodapChar"/>
    <w:rsid w:val="005620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62074"/>
    <w:rPr>
      <w:rFonts w:ascii="Arial" w:hAnsi="Arial"/>
      <w:sz w:val="22"/>
    </w:rPr>
  </w:style>
  <w:style w:type="paragraph" w:styleId="Textodenotaderodap">
    <w:name w:val="footnote text"/>
    <w:basedOn w:val="Normal"/>
    <w:link w:val="TextodenotaderodapChar"/>
    <w:rsid w:val="00562074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62074"/>
    <w:rPr>
      <w:rFonts w:ascii="Arial" w:hAnsi="Arial"/>
    </w:rPr>
  </w:style>
  <w:style w:type="character" w:styleId="Refdenotaderodap">
    <w:name w:val="footnote reference"/>
    <w:basedOn w:val="Fontepargpadro"/>
    <w:rsid w:val="0056207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C74AE"/>
    <w:pPr>
      <w:overflowPunct/>
      <w:autoSpaceDE/>
      <w:autoSpaceDN/>
      <w:adjustRightInd/>
      <w:textAlignment w:val="auto"/>
    </w:pPr>
    <w:rPr>
      <w:rFonts w:ascii="Times New Roman" w:hAnsi="Times New Roman"/>
      <w:color w:val="FF0000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C74AE"/>
    <w:rPr>
      <w:color w:val="FF0000"/>
      <w:sz w:val="24"/>
    </w:rPr>
  </w:style>
  <w:style w:type="character" w:styleId="Hyperlink">
    <w:name w:val="Hyperlink"/>
    <w:uiPriority w:val="99"/>
    <w:rsid w:val="00FC74A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F3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tce.pr.gov.br/conteudo/resolucao-n&#186;-242010-regimento-interno-alteracao/1380/area/242" TargetMode="External"/><Relationship Id="rId1" Type="http://schemas.openxmlformats.org/officeDocument/2006/relationships/hyperlink" Target="http://www1.tce.pr.gov.br/multimidia/2009/11/pdf/0000038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</vt:lpstr>
    </vt:vector>
  </TitlesOfParts>
  <Company>TCE-PR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</dc:title>
  <dc:subject/>
  <dc:creator>tc506117</dc:creator>
  <cp:keywords/>
  <dc:description/>
  <cp:lastModifiedBy>Yarusya Fonseca</cp:lastModifiedBy>
  <cp:revision>14</cp:revision>
  <dcterms:created xsi:type="dcterms:W3CDTF">2022-07-06T18:12:00Z</dcterms:created>
  <dcterms:modified xsi:type="dcterms:W3CDTF">2022-07-06T18:19:00Z</dcterms:modified>
</cp:coreProperties>
</file>