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9EBB1" w14:textId="495A54D5" w:rsidR="00B125BD" w:rsidRPr="008F41C6" w:rsidRDefault="00B125BD" w:rsidP="000122D4">
      <w:pPr>
        <w:jc w:val="center"/>
        <w:rPr>
          <w:rFonts w:ascii="Arial" w:hAnsi="Arial" w:cs="Arial"/>
          <w:b/>
          <w:sz w:val="28"/>
          <w:szCs w:val="28"/>
        </w:rPr>
      </w:pPr>
      <w:r w:rsidRPr="008F41C6">
        <w:rPr>
          <w:rFonts w:ascii="Arial" w:hAnsi="Arial" w:cs="Arial"/>
          <w:b/>
          <w:bCs/>
          <w:sz w:val="28"/>
          <w:szCs w:val="28"/>
        </w:rPr>
        <w:t xml:space="preserve">RESOLUÇÃO Nº </w:t>
      </w:r>
      <w:r w:rsidR="00F67CAB">
        <w:rPr>
          <w:rFonts w:ascii="Arial" w:hAnsi="Arial" w:cs="Arial"/>
          <w:b/>
          <w:bCs/>
          <w:sz w:val="28"/>
          <w:szCs w:val="28"/>
        </w:rPr>
        <w:t>46/2014</w:t>
      </w:r>
      <w:r w:rsidR="00EE434B">
        <w:rPr>
          <w:rStyle w:val="Refdenotaderodap"/>
          <w:rFonts w:ascii="Arial" w:hAnsi="Arial" w:cs="Arial"/>
          <w:b/>
          <w:bCs/>
          <w:sz w:val="28"/>
          <w:szCs w:val="28"/>
        </w:rPr>
        <w:footnoteReference w:id="1"/>
      </w:r>
    </w:p>
    <w:p w14:paraId="139C1AA8" w14:textId="4972D1DD" w:rsidR="00B125BD" w:rsidRPr="00D25879" w:rsidRDefault="00B125BD" w:rsidP="00D25879">
      <w:pPr>
        <w:pStyle w:val="NormalWeb"/>
        <w:spacing w:before="360" w:beforeAutospacing="0" w:after="360" w:afterAutospacing="0"/>
        <w:ind w:left="4536"/>
        <w:jc w:val="both"/>
        <w:rPr>
          <w:rFonts w:ascii="Arial" w:hAnsi="Arial" w:cs="Arial"/>
          <w:i/>
          <w:color w:val="000000"/>
          <w:sz w:val="22"/>
          <w:szCs w:val="22"/>
        </w:rPr>
      </w:pPr>
      <w:r w:rsidRPr="00D25879">
        <w:rPr>
          <w:rFonts w:ascii="Arial" w:hAnsi="Arial" w:cs="Arial"/>
          <w:i/>
          <w:color w:val="000000"/>
          <w:sz w:val="22"/>
          <w:szCs w:val="22"/>
        </w:rPr>
        <w:t xml:space="preserve">Altera dispositivos da </w:t>
      </w:r>
      <w:hyperlink r:id="rId8" w:history="1">
        <w:r w:rsidRPr="00EA37C8">
          <w:rPr>
            <w:rStyle w:val="Hyperlink"/>
            <w:rFonts w:ascii="Arial" w:hAnsi="Arial" w:cs="Arial"/>
            <w:i/>
            <w:sz w:val="22"/>
            <w:szCs w:val="22"/>
          </w:rPr>
          <w:t>Resolução nº 28/2011</w:t>
        </w:r>
      </w:hyperlink>
      <w:r w:rsidRPr="00D25879">
        <w:rPr>
          <w:rFonts w:ascii="Arial" w:hAnsi="Arial" w:cs="Arial"/>
          <w:i/>
          <w:color w:val="000000"/>
          <w:sz w:val="22"/>
          <w:szCs w:val="22"/>
        </w:rPr>
        <w:t xml:space="preserve"> e dá outras providências.</w:t>
      </w:r>
    </w:p>
    <w:p w14:paraId="47140473" w14:textId="77777777" w:rsidR="00B125BD" w:rsidRDefault="00B125BD" w:rsidP="00EA37C8">
      <w:pPr>
        <w:spacing w:before="120"/>
        <w:ind w:firstLine="1134"/>
        <w:jc w:val="both"/>
        <w:rPr>
          <w:rFonts w:ascii="Arial" w:hAnsi="Arial" w:cs="Arial"/>
          <w:sz w:val="24"/>
          <w:szCs w:val="24"/>
        </w:rPr>
      </w:pPr>
      <w:r>
        <w:rPr>
          <w:rFonts w:ascii="Arial" w:hAnsi="Arial" w:cs="Arial"/>
          <w:b/>
          <w:sz w:val="24"/>
          <w:szCs w:val="24"/>
        </w:rPr>
        <w:t>O TRIBUNAL DE CONTAS DO ESTADO DO PARANÁ</w:t>
      </w:r>
      <w:r>
        <w:rPr>
          <w:rFonts w:ascii="Arial" w:hAnsi="Arial" w:cs="Arial"/>
          <w:sz w:val="24"/>
          <w:szCs w:val="24"/>
        </w:rPr>
        <w:t>, no uso de suas competências institucionais de controle externo</w:t>
      </w:r>
      <w:r w:rsidR="005174A4">
        <w:rPr>
          <w:rFonts w:ascii="Arial" w:hAnsi="Arial" w:cs="Arial"/>
          <w:sz w:val="24"/>
          <w:szCs w:val="24"/>
        </w:rPr>
        <w:t xml:space="preserve">, </w:t>
      </w:r>
      <w:r>
        <w:rPr>
          <w:rFonts w:ascii="Arial" w:hAnsi="Arial" w:cs="Arial"/>
          <w:sz w:val="24"/>
          <w:szCs w:val="24"/>
        </w:rPr>
        <w:t xml:space="preserve">estabelecidas pela Constituição do Estado do Paraná, com fundamento </w:t>
      </w:r>
      <w:r w:rsidR="00107555">
        <w:rPr>
          <w:rFonts w:ascii="Arial" w:hAnsi="Arial" w:cs="Arial"/>
          <w:sz w:val="24"/>
          <w:szCs w:val="24"/>
        </w:rPr>
        <w:t>na Lei Complementar Estadual n°</w:t>
      </w:r>
      <w:r>
        <w:rPr>
          <w:rFonts w:ascii="Arial" w:hAnsi="Arial" w:cs="Arial"/>
          <w:sz w:val="24"/>
          <w:szCs w:val="24"/>
        </w:rPr>
        <w:t xml:space="preserve"> 113, de 15 de dezembro de 2005, e nos </w:t>
      </w:r>
      <w:proofErr w:type="spellStart"/>
      <w:r>
        <w:rPr>
          <w:rFonts w:ascii="Arial" w:hAnsi="Arial" w:cs="Arial"/>
          <w:sz w:val="24"/>
          <w:szCs w:val="24"/>
        </w:rPr>
        <w:t>arts</w:t>
      </w:r>
      <w:proofErr w:type="spellEnd"/>
      <w:r>
        <w:rPr>
          <w:rFonts w:ascii="Arial" w:hAnsi="Arial" w:cs="Arial"/>
          <w:sz w:val="24"/>
          <w:szCs w:val="24"/>
        </w:rPr>
        <w:t>. 187, inciso I, e 188 do seu Regimento Interno,</w:t>
      </w:r>
    </w:p>
    <w:p w14:paraId="7BC1BC40" w14:textId="77777777" w:rsidR="00B125BD" w:rsidRDefault="00B125BD" w:rsidP="00EA37C8">
      <w:pPr>
        <w:spacing w:before="120"/>
        <w:ind w:firstLine="1134"/>
        <w:jc w:val="both"/>
        <w:rPr>
          <w:rFonts w:ascii="Arial" w:hAnsi="Arial" w:cs="Arial"/>
          <w:color w:val="000000"/>
          <w:sz w:val="24"/>
          <w:szCs w:val="24"/>
        </w:rPr>
      </w:pPr>
      <w:r>
        <w:rPr>
          <w:rFonts w:ascii="Arial" w:hAnsi="Arial" w:cs="Arial"/>
          <w:color w:val="000000"/>
          <w:sz w:val="24"/>
          <w:szCs w:val="24"/>
        </w:rPr>
        <w:t>CONSIDERANDO as competências atribuídas a esta Co</w:t>
      </w:r>
      <w:r w:rsidR="003C2AEF">
        <w:rPr>
          <w:rFonts w:ascii="Arial" w:hAnsi="Arial" w:cs="Arial"/>
          <w:color w:val="000000"/>
          <w:sz w:val="24"/>
          <w:szCs w:val="24"/>
        </w:rPr>
        <w:t>rte de Contas por meio do art.</w:t>
      </w:r>
      <w:r>
        <w:rPr>
          <w:rFonts w:ascii="Arial" w:hAnsi="Arial" w:cs="Arial"/>
          <w:color w:val="000000"/>
          <w:sz w:val="24"/>
          <w:szCs w:val="24"/>
        </w:rPr>
        <w:t xml:space="preserve"> 71</w:t>
      </w:r>
      <w:r w:rsidR="003C2AEF">
        <w:rPr>
          <w:rFonts w:ascii="Arial" w:hAnsi="Arial" w:cs="Arial"/>
          <w:color w:val="000000"/>
          <w:sz w:val="24"/>
          <w:szCs w:val="24"/>
        </w:rPr>
        <w:t>,</w:t>
      </w:r>
      <w:r>
        <w:rPr>
          <w:rFonts w:ascii="Arial" w:hAnsi="Arial" w:cs="Arial"/>
          <w:color w:val="000000"/>
          <w:sz w:val="24"/>
          <w:szCs w:val="24"/>
        </w:rPr>
        <w:t xml:space="preserve"> c/c </w:t>
      </w:r>
      <w:r w:rsidR="00A2242C">
        <w:rPr>
          <w:rFonts w:ascii="Arial" w:hAnsi="Arial" w:cs="Arial"/>
          <w:color w:val="000000"/>
          <w:sz w:val="24"/>
          <w:szCs w:val="24"/>
        </w:rPr>
        <w:t xml:space="preserve">o </w:t>
      </w:r>
      <w:r w:rsidR="003C2AEF">
        <w:rPr>
          <w:rFonts w:ascii="Arial" w:hAnsi="Arial" w:cs="Arial"/>
          <w:color w:val="000000"/>
          <w:sz w:val="24"/>
          <w:szCs w:val="24"/>
        </w:rPr>
        <w:t>art.</w:t>
      </w:r>
      <w:r>
        <w:rPr>
          <w:rFonts w:ascii="Arial" w:hAnsi="Arial" w:cs="Arial"/>
          <w:color w:val="000000"/>
          <w:sz w:val="24"/>
          <w:szCs w:val="24"/>
        </w:rPr>
        <w:t xml:space="preserve"> 75 da Constituição F</w:t>
      </w:r>
      <w:r w:rsidR="00592965">
        <w:rPr>
          <w:rFonts w:ascii="Arial" w:hAnsi="Arial" w:cs="Arial"/>
          <w:color w:val="000000"/>
          <w:sz w:val="24"/>
          <w:szCs w:val="24"/>
        </w:rPr>
        <w:t>ederal e art.</w:t>
      </w:r>
      <w:r>
        <w:rPr>
          <w:rFonts w:ascii="Arial" w:hAnsi="Arial" w:cs="Arial"/>
          <w:color w:val="000000"/>
          <w:sz w:val="24"/>
          <w:szCs w:val="24"/>
        </w:rPr>
        <w:t xml:space="preserve"> 75 da Constituição do Estado do Paraná, as quais lhe conferem poder de fiscalização contábil, financeira, orçamentária e patrim</w:t>
      </w:r>
      <w:r w:rsidR="00592965">
        <w:rPr>
          <w:rFonts w:ascii="Arial" w:hAnsi="Arial" w:cs="Arial"/>
          <w:color w:val="000000"/>
          <w:sz w:val="24"/>
          <w:szCs w:val="24"/>
        </w:rPr>
        <w:t>onial do Estado e dos entes da Administração Direta e I</w:t>
      </w:r>
      <w:r>
        <w:rPr>
          <w:rFonts w:ascii="Arial" w:hAnsi="Arial" w:cs="Arial"/>
          <w:color w:val="000000"/>
          <w:sz w:val="24"/>
          <w:szCs w:val="24"/>
        </w:rPr>
        <w:t xml:space="preserve">ndireta; </w:t>
      </w:r>
    </w:p>
    <w:p w14:paraId="4415C5EB" w14:textId="2F1E4ABC" w:rsidR="00B125BD" w:rsidRDefault="00B125BD" w:rsidP="00EA37C8">
      <w:pPr>
        <w:spacing w:before="120"/>
        <w:ind w:firstLine="1134"/>
        <w:jc w:val="both"/>
        <w:rPr>
          <w:rFonts w:ascii="Arial" w:hAnsi="Arial" w:cs="Arial"/>
          <w:color w:val="000000"/>
          <w:sz w:val="24"/>
          <w:szCs w:val="24"/>
        </w:rPr>
      </w:pPr>
      <w:r>
        <w:rPr>
          <w:rFonts w:ascii="Arial" w:hAnsi="Arial" w:cs="Arial"/>
          <w:color w:val="000000"/>
          <w:sz w:val="24"/>
          <w:szCs w:val="24"/>
        </w:rPr>
        <w:t>C</w:t>
      </w:r>
      <w:r w:rsidR="00592965">
        <w:rPr>
          <w:rFonts w:ascii="Arial" w:hAnsi="Arial" w:cs="Arial"/>
          <w:color w:val="000000"/>
          <w:sz w:val="24"/>
          <w:szCs w:val="24"/>
        </w:rPr>
        <w:t>ONSIDERANDO a previsão do art.</w:t>
      </w:r>
      <w:r>
        <w:rPr>
          <w:rFonts w:ascii="Arial" w:hAnsi="Arial" w:cs="Arial"/>
          <w:color w:val="000000"/>
          <w:sz w:val="24"/>
          <w:szCs w:val="24"/>
        </w:rPr>
        <w:t xml:space="preserve"> 25 da Lei Complementar </w:t>
      </w:r>
      <w:r w:rsidR="00592965">
        <w:rPr>
          <w:rFonts w:ascii="Arial" w:hAnsi="Arial" w:cs="Arial"/>
          <w:color w:val="000000"/>
          <w:sz w:val="24"/>
          <w:szCs w:val="24"/>
        </w:rPr>
        <w:t xml:space="preserve">Federal nº </w:t>
      </w:r>
      <w:r>
        <w:rPr>
          <w:rFonts w:ascii="Arial" w:hAnsi="Arial" w:cs="Arial"/>
          <w:color w:val="000000"/>
          <w:sz w:val="24"/>
          <w:szCs w:val="24"/>
        </w:rPr>
        <w:t>101</w:t>
      </w:r>
      <w:r w:rsidR="00592965">
        <w:rPr>
          <w:rFonts w:ascii="Arial" w:hAnsi="Arial" w:cs="Arial"/>
          <w:color w:val="000000"/>
          <w:sz w:val="24"/>
          <w:szCs w:val="24"/>
        </w:rPr>
        <w:t>, de 04 de maio de 2000,</w:t>
      </w:r>
      <w:r>
        <w:rPr>
          <w:rFonts w:ascii="Arial" w:hAnsi="Arial" w:cs="Arial"/>
          <w:color w:val="000000"/>
          <w:sz w:val="24"/>
          <w:szCs w:val="24"/>
        </w:rPr>
        <w:t xml:space="preserve"> que estabelece a conceituação de trans</w:t>
      </w:r>
      <w:r w:rsidR="00592965">
        <w:rPr>
          <w:rFonts w:ascii="Arial" w:hAnsi="Arial" w:cs="Arial"/>
          <w:color w:val="000000"/>
          <w:sz w:val="24"/>
          <w:szCs w:val="24"/>
        </w:rPr>
        <w:t>ferências voluntárias, bem como</w:t>
      </w:r>
      <w:r>
        <w:rPr>
          <w:rFonts w:ascii="Arial" w:hAnsi="Arial" w:cs="Arial"/>
          <w:color w:val="000000"/>
          <w:sz w:val="24"/>
          <w:szCs w:val="24"/>
        </w:rPr>
        <w:t xml:space="preserve"> os requisitos necessários </w:t>
      </w:r>
      <w:r w:rsidR="00EA37C8">
        <w:rPr>
          <w:rFonts w:ascii="Arial" w:hAnsi="Arial" w:cs="Arial"/>
          <w:color w:val="000000"/>
          <w:sz w:val="24"/>
          <w:szCs w:val="24"/>
        </w:rPr>
        <w:t>à</w:t>
      </w:r>
      <w:r>
        <w:rPr>
          <w:rFonts w:ascii="Arial" w:hAnsi="Arial" w:cs="Arial"/>
          <w:color w:val="000000"/>
          <w:sz w:val="24"/>
          <w:szCs w:val="24"/>
        </w:rPr>
        <w:t xml:space="preserve"> sua realização; </w:t>
      </w:r>
    </w:p>
    <w:p w14:paraId="2188588F" w14:textId="77777777" w:rsidR="00B125BD" w:rsidRDefault="00B125BD" w:rsidP="00EA37C8">
      <w:pPr>
        <w:spacing w:before="120"/>
        <w:ind w:firstLine="1134"/>
        <w:jc w:val="both"/>
        <w:rPr>
          <w:rFonts w:ascii="Arial" w:hAnsi="Arial" w:cs="Arial"/>
          <w:color w:val="000000"/>
          <w:sz w:val="24"/>
          <w:szCs w:val="24"/>
        </w:rPr>
      </w:pPr>
      <w:r>
        <w:rPr>
          <w:rFonts w:ascii="Arial" w:hAnsi="Arial" w:cs="Arial"/>
          <w:color w:val="000000"/>
          <w:sz w:val="24"/>
          <w:szCs w:val="24"/>
        </w:rPr>
        <w:t>CONSIDER</w:t>
      </w:r>
      <w:r w:rsidR="00592965">
        <w:rPr>
          <w:rFonts w:ascii="Arial" w:hAnsi="Arial" w:cs="Arial"/>
          <w:color w:val="000000"/>
          <w:sz w:val="24"/>
          <w:szCs w:val="24"/>
        </w:rPr>
        <w:t>ANDO o contido no art.</w:t>
      </w:r>
      <w:r w:rsidR="00726DAD">
        <w:rPr>
          <w:rFonts w:ascii="Arial" w:hAnsi="Arial" w:cs="Arial"/>
          <w:color w:val="000000"/>
          <w:sz w:val="24"/>
          <w:szCs w:val="24"/>
        </w:rPr>
        <w:t xml:space="preserve"> 17 da L</w:t>
      </w:r>
      <w:r>
        <w:rPr>
          <w:rFonts w:ascii="Arial" w:hAnsi="Arial" w:cs="Arial"/>
          <w:color w:val="000000"/>
          <w:sz w:val="24"/>
          <w:szCs w:val="24"/>
        </w:rPr>
        <w:t xml:space="preserve">ei </w:t>
      </w:r>
      <w:r w:rsidR="00592965">
        <w:rPr>
          <w:rFonts w:ascii="Arial" w:hAnsi="Arial" w:cs="Arial"/>
          <w:color w:val="000000"/>
          <w:sz w:val="24"/>
          <w:szCs w:val="24"/>
        </w:rPr>
        <w:t xml:space="preserve">Federal nº 4320, de 17 de março de 1964, </w:t>
      </w:r>
      <w:r>
        <w:rPr>
          <w:rFonts w:ascii="Arial" w:hAnsi="Arial" w:cs="Arial"/>
          <w:color w:val="000000"/>
          <w:sz w:val="24"/>
          <w:szCs w:val="24"/>
        </w:rPr>
        <w:t xml:space="preserve">que admite a concessão de subvenções apenas </w:t>
      </w:r>
      <w:r w:rsidR="005174A4">
        <w:rPr>
          <w:rFonts w:ascii="Arial" w:hAnsi="Arial" w:cs="Arial"/>
          <w:color w:val="000000"/>
          <w:sz w:val="24"/>
          <w:szCs w:val="24"/>
        </w:rPr>
        <w:t>à</w:t>
      </w:r>
      <w:r>
        <w:rPr>
          <w:rFonts w:ascii="Arial" w:hAnsi="Arial" w:cs="Arial"/>
          <w:color w:val="000000"/>
          <w:sz w:val="24"/>
          <w:szCs w:val="24"/>
        </w:rPr>
        <w:t xml:space="preserve">quelas instituições cujas condições de funcionamento forem julgadas satisfatórias pelos órgãos oficiais de fiscalização; </w:t>
      </w:r>
    </w:p>
    <w:p w14:paraId="2CD8977C" w14:textId="77777777" w:rsidR="00B125BD" w:rsidRDefault="00B125BD" w:rsidP="00EA37C8">
      <w:pPr>
        <w:spacing w:before="120"/>
        <w:ind w:firstLine="1134"/>
        <w:jc w:val="both"/>
        <w:rPr>
          <w:rFonts w:ascii="Arial" w:hAnsi="Arial" w:cs="Arial"/>
          <w:color w:val="000000"/>
          <w:sz w:val="24"/>
          <w:szCs w:val="24"/>
        </w:rPr>
      </w:pPr>
      <w:r>
        <w:rPr>
          <w:rFonts w:ascii="Arial" w:hAnsi="Arial" w:cs="Arial"/>
          <w:color w:val="000000"/>
          <w:sz w:val="24"/>
          <w:szCs w:val="24"/>
        </w:rPr>
        <w:t>CONSIDERANDO as disposi</w:t>
      </w:r>
      <w:r w:rsidR="00726DAD">
        <w:rPr>
          <w:rFonts w:ascii="Arial" w:hAnsi="Arial" w:cs="Arial"/>
          <w:color w:val="000000"/>
          <w:sz w:val="24"/>
          <w:szCs w:val="24"/>
        </w:rPr>
        <w:t>ções contidas no art</w:t>
      </w:r>
      <w:r w:rsidR="00D12569">
        <w:rPr>
          <w:rFonts w:ascii="Arial" w:hAnsi="Arial" w:cs="Arial"/>
          <w:color w:val="000000"/>
          <w:sz w:val="24"/>
          <w:szCs w:val="24"/>
        </w:rPr>
        <w:t>.</w:t>
      </w:r>
      <w:r w:rsidR="00726DAD">
        <w:rPr>
          <w:rFonts w:ascii="Arial" w:hAnsi="Arial" w:cs="Arial"/>
          <w:color w:val="000000"/>
          <w:sz w:val="24"/>
          <w:szCs w:val="24"/>
        </w:rPr>
        <w:t xml:space="preserve"> 116 da L</w:t>
      </w:r>
      <w:r>
        <w:rPr>
          <w:rFonts w:ascii="Arial" w:hAnsi="Arial" w:cs="Arial"/>
          <w:color w:val="000000"/>
          <w:sz w:val="24"/>
          <w:szCs w:val="24"/>
        </w:rPr>
        <w:t xml:space="preserve">ei </w:t>
      </w:r>
      <w:r w:rsidR="00D12569">
        <w:rPr>
          <w:rFonts w:ascii="Arial" w:hAnsi="Arial" w:cs="Arial"/>
          <w:color w:val="000000"/>
          <w:sz w:val="24"/>
          <w:szCs w:val="24"/>
        </w:rPr>
        <w:t xml:space="preserve">Federal nº </w:t>
      </w:r>
      <w:r>
        <w:rPr>
          <w:rFonts w:ascii="Arial" w:hAnsi="Arial" w:cs="Arial"/>
          <w:color w:val="000000"/>
          <w:sz w:val="24"/>
          <w:szCs w:val="24"/>
        </w:rPr>
        <w:t>8</w:t>
      </w:r>
      <w:r w:rsidR="00726DAD">
        <w:rPr>
          <w:rFonts w:ascii="Arial" w:hAnsi="Arial" w:cs="Arial"/>
          <w:color w:val="000000"/>
          <w:sz w:val="24"/>
          <w:szCs w:val="24"/>
        </w:rPr>
        <w:t>.666</w:t>
      </w:r>
      <w:r w:rsidR="00D12569">
        <w:rPr>
          <w:rFonts w:ascii="Arial" w:hAnsi="Arial" w:cs="Arial"/>
          <w:color w:val="000000"/>
          <w:sz w:val="24"/>
          <w:szCs w:val="24"/>
        </w:rPr>
        <w:t>, de 21 de junho de 1993</w:t>
      </w:r>
      <w:r w:rsidR="00726DAD">
        <w:rPr>
          <w:rFonts w:ascii="Arial" w:hAnsi="Arial" w:cs="Arial"/>
          <w:color w:val="000000"/>
          <w:sz w:val="24"/>
          <w:szCs w:val="24"/>
        </w:rPr>
        <w:t xml:space="preserve"> e </w:t>
      </w:r>
      <w:proofErr w:type="spellStart"/>
      <w:r w:rsidR="00726DAD">
        <w:rPr>
          <w:rFonts w:ascii="Arial" w:hAnsi="Arial" w:cs="Arial"/>
          <w:color w:val="000000"/>
          <w:sz w:val="24"/>
          <w:szCs w:val="24"/>
        </w:rPr>
        <w:t>art</w:t>
      </w:r>
      <w:r w:rsidR="00D12569">
        <w:rPr>
          <w:rFonts w:ascii="Arial" w:hAnsi="Arial" w:cs="Arial"/>
          <w:color w:val="000000"/>
          <w:sz w:val="24"/>
          <w:szCs w:val="24"/>
        </w:rPr>
        <w:t>s</w:t>
      </w:r>
      <w:proofErr w:type="spellEnd"/>
      <w:r w:rsidR="00D12569">
        <w:rPr>
          <w:rFonts w:ascii="Arial" w:hAnsi="Arial" w:cs="Arial"/>
          <w:color w:val="000000"/>
          <w:sz w:val="24"/>
          <w:szCs w:val="24"/>
        </w:rPr>
        <w:t>.</w:t>
      </w:r>
      <w:r w:rsidR="00726DAD">
        <w:rPr>
          <w:rFonts w:ascii="Arial" w:hAnsi="Arial" w:cs="Arial"/>
          <w:color w:val="000000"/>
          <w:sz w:val="24"/>
          <w:szCs w:val="24"/>
        </w:rPr>
        <w:t xml:space="preserve"> 133 a 146 da Lei E</w:t>
      </w:r>
      <w:r>
        <w:rPr>
          <w:rFonts w:ascii="Arial" w:hAnsi="Arial" w:cs="Arial"/>
          <w:color w:val="000000"/>
          <w:sz w:val="24"/>
          <w:szCs w:val="24"/>
        </w:rPr>
        <w:t>stadual 15.608</w:t>
      </w:r>
      <w:r w:rsidR="00D12569">
        <w:rPr>
          <w:rFonts w:ascii="Arial" w:hAnsi="Arial" w:cs="Arial"/>
          <w:color w:val="000000"/>
          <w:sz w:val="24"/>
          <w:szCs w:val="24"/>
        </w:rPr>
        <w:t>, de 16 de agosto de 2007,</w:t>
      </w:r>
      <w:r>
        <w:rPr>
          <w:rFonts w:ascii="Arial" w:hAnsi="Arial" w:cs="Arial"/>
          <w:color w:val="000000"/>
          <w:sz w:val="24"/>
          <w:szCs w:val="24"/>
        </w:rPr>
        <w:t xml:space="preserve"> que estabelecem os requisitos para elaboração do ato cooperativo; </w:t>
      </w:r>
    </w:p>
    <w:p w14:paraId="668B7A3B" w14:textId="77777777" w:rsidR="00B125BD" w:rsidRPr="00EE3053" w:rsidRDefault="00B125BD" w:rsidP="00EA37C8">
      <w:pPr>
        <w:spacing w:before="120"/>
        <w:ind w:firstLine="1134"/>
        <w:jc w:val="both"/>
        <w:rPr>
          <w:rFonts w:ascii="Arial" w:hAnsi="Arial" w:cs="Arial"/>
          <w:color w:val="000000"/>
          <w:sz w:val="24"/>
          <w:szCs w:val="24"/>
        </w:rPr>
      </w:pPr>
      <w:r>
        <w:rPr>
          <w:rFonts w:ascii="Arial" w:hAnsi="Arial" w:cs="Arial"/>
          <w:color w:val="000000"/>
          <w:sz w:val="24"/>
          <w:szCs w:val="24"/>
        </w:rPr>
        <w:t>CONSIDERANDO a permanente necessidade de promover a adaptação do sistema eletrônico de controle de transferências voluntárias des</w:t>
      </w:r>
      <w:r w:rsidR="005174A4">
        <w:rPr>
          <w:rFonts w:ascii="Arial" w:hAnsi="Arial" w:cs="Arial"/>
          <w:color w:val="000000"/>
          <w:sz w:val="24"/>
          <w:szCs w:val="24"/>
        </w:rPr>
        <w:t>t</w:t>
      </w:r>
      <w:r>
        <w:rPr>
          <w:rFonts w:ascii="Arial" w:hAnsi="Arial" w:cs="Arial"/>
          <w:color w:val="000000"/>
          <w:sz w:val="24"/>
          <w:szCs w:val="24"/>
        </w:rPr>
        <w:t>a Corte de Contas à legislação vigente, conferindo maior agilidade no trâmite de processos e atribui</w:t>
      </w:r>
      <w:r w:rsidR="008B74E8">
        <w:rPr>
          <w:rFonts w:ascii="Arial" w:hAnsi="Arial" w:cs="Arial"/>
          <w:color w:val="000000"/>
          <w:sz w:val="24"/>
          <w:szCs w:val="24"/>
        </w:rPr>
        <w:t>ndo maior eficiência à Administração P</w:t>
      </w:r>
      <w:r>
        <w:rPr>
          <w:rFonts w:ascii="Arial" w:hAnsi="Arial" w:cs="Arial"/>
          <w:color w:val="000000"/>
          <w:sz w:val="24"/>
          <w:szCs w:val="24"/>
        </w:rPr>
        <w:t>ública, nos termos do que preceitua a Constituição Federal</w:t>
      </w:r>
      <w:r w:rsidR="005174A4">
        <w:rPr>
          <w:rFonts w:ascii="Arial" w:hAnsi="Arial" w:cs="Arial"/>
          <w:color w:val="000000"/>
          <w:sz w:val="24"/>
          <w:szCs w:val="24"/>
        </w:rPr>
        <w:t>,</w:t>
      </w:r>
      <w:r w:rsidR="00EE3053">
        <w:rPr>
          <w:rFonts w:ascii="Arial" w:hAnsi="Arial" w:cs="Arial"/>
          <w:color w:val="000000"/>
          <w:sz w:val="24"/>
          <w:szCs w:val="24"/>
        </w:rPr>
        <w:t xml:space="preserve"> </w:t>
      </w:r>
    </w:p>
    <w:p w14:paraId="0FDD0C58" w14:textId="77777777" w:rsidR="00B125BD" w:rsidRPr="00EE3053" w:rsidRDefault="00B125BD" w:rsidP="00EA37C8">
      <w:pPr>
        <w:spacing w:before="240" w:after="240"/>
        <w:ind w:firstLine="1134"/>
        <w:rPr>
          <w:rFonts w:ascii="Arial" w:hAnsi="Arial" w:cs="Arial"/>
          <w:b/>
          <w:sz w:val="24"/>
          <w:szCs w:val="24"/>
        </w:rPr>
      </w:pPr>
      <w:r>
        <w:rPr>
          <w:rFonts w:ascii="Arial" w:hAnsi="Arial" w:cs="Arial"/>
          <w:b/>
          <w:sz w:val="24"/>
          <w:szCs w:val="24"/>
        </w:rPr>
        <w:t>RESOLVE</w:t>
      </w:r>
    </w:p>
    <w:p w14:paraId="2E2F3674" w14:textId="59DADC0A" w:rsidR="00EE3053" w:rsidRDefault="00B125BD" w:rsidP="000122D4">
      <w:pPr>
        <w:spacing w:before="120"/>
        <w:ind w:firstLine="1134"/>
        <w:jc w:val="both"/>
        <w:rPr>
          <w:rFonts w:ascii="Arial" w:hAnsi="Arial" w:cs="Arial"/>
          <w:sz w:val="24"/>
          <w:szCs w:val="24"/>
        </w:rPr>
      </w:pPr>
      <w:r w:rsidRPr="0080551A">
        <w:rPr>
          <w:rFonts w:ascii="Arial" w:hAnsi="Arial" w:cs="Arial"/>
          <w:b/>
          <w:sz w:val="24"/>
          <w:szCs w:val="24"/>
        </w:rPr>
        <w:t>Art. 1º</w:t>
      </w:r>
      <w:r>
        <w:rPr>
          <w:rFonts w:ascii="Arial" w:hAnsi="Arial" w:cs="Arial"/>
          <w:sz w:val="24"/>
          <w:szCs w:val="24"/>
        </w:rPr>
        <w:t xml:space="preserve"> A ementa da </w:t>
      </w:r>
      <w:hyperlink r:id="rId9" w:history="1">
        <w:r w:rsidRPr="00EA37C8">
          <w:rPr>
            <w:rStyle w:val="Hyperlink"/>
            <w:rFonts w:ascii="Arial" w:hAnsi="Arial" w:cs="Arial"/>
            <w:sz w:val="24"/>
            <w:szCs w:val="24"/>
          </w:rPr>
          <w:t>Resolução nº 28/2011</w:t>
        </w:r>
      </w:hyperlink>
      <w:r>
        <w:rPr>
          <w:rFonts w:ascii="Arial" w:hAnsi="Arial" w:cs="Arial"/>
          <w:sz w:val="24"/>
          <w:szCs w:val="24"/>
        </w:rPr>
        <w:t xml:space="preserve"> passa a vigorar com a seguinte redação:</w:t>
      </w:r>
    </w:p>
    <w:p w14:paraId="6448D99A" w14:textId="77777777" w:rsidR="00B125BD" w:rsidRPr="00DA7B40" w:rsidRDefault="00DA7B40" w:rsidP="000122D4">
      <w:pPr>
        <w:spacing w:before="120"/>
        <w:ind w:firstLine="1134"/>
        <w:jc w:val="both"/>
        <w:rPr>
          <w:rFonts w:ascii="Arial" w:hAnsi="Arial" w:cs="Arial"/>
          <w:sz w:val="24"/>
          <w:szCs w:val="24"/>
        </w:rPr>
      </w:pPr>
      <w:r>
        <w:rPr>
          <w:rFonts w:ascii="Arial" w:hAnsi="Arial" w:cs="Arial"/>
          <w:sz w:val="24"/>
          <w:szCs w:val="24"/>
        </w:rPr>
        <w:t>“</w:t>
      </w:r>
      <w:r w:rsidR="00B125BD" w:rsidRPr="00DA7B40">
        <w:rPr>
          <w:rFonts w:ascii="Arial" w:hAnsi="Arial" w:cs="Arial"/>
          <w:sz w:val="24"/>
          <w:szCs w:val="24"/>
        </w:rPr>
        <w:t xml:space="preserve">Dispõe sobre a fiscalização e a prestação de contas ao Tribunal de Contas do Estado do Paraná quanto às transferências voluntárias de recursos </w:t>
      </w:r>
      <w:r w:rsidR="00B125BD" w:rsidRPr="00DA7B40">
        <w:rPr>
          <w:rFonts w:ascii="Arial" w:hAnsi="Arial" w:cs="Arial"/>
          <w:sz w:val="24"/>
          <w:szCs w:val="24"/>
        </w:rPr>
        <w:lastRenderedPageBreak/>
        <w:t>financeiros no âmbito estadual e municipal, institui o Sistema Integrado de Transferências - SIT e dá outras providências.</w:t>
      </w:r>
      <w:r w:rsidR="00AF3F9C">
        <w:rPr>
          <w:rFonts w:ascii="Arial" w:hAnsi="Arial" w:cs="Arial"/>
          <w:sz w:val="24"/>
          <w:szCs w:val="24"/>
        </w:rPr>
        <w:t>”</w:t>
      </w:r>
      <w:r w:rsidR="00B125BD" w:rsidRPr="00DA7B40">
        <w:rPr>
          <w:rFonts w:ascii="Arial" w:hAnsi="Arial" w:cs="Arial"/>
          <w:sz w:val="24"/>
          <w:szCs w:val="24"/>
        </w:rPr>
        <w:t xml:space="preserve"> </w:t>
      </w:r>
    </w:p>
    <w:p w14:paraId="59D0E480" w14:textId="515EC467" w:rsidR="00EE3053" w:rsidRPr="00DA7B40" w:rsidRDefault="00B125BD" w:rsidP="00C56909">
      <w:pPr>
        <w:spacing w:before="120"/>
        <w:ind w:firstLine="1134"/>
        <w:jc w:val="both"/>
        <w:rPr>
          <w:rFonts w:ascii="Arial" w:hAnsi="Arial" w:cs="Arial"/>
          <w:sz w:val="24"/>
          <w:szCs w:val="24"/>
        </w:rPr>
      </w:pPr>
      <w:r w:rsidRPr="00DA7B40">
        <w:rPr>
          <w:rFonts w:ascii="Arial" w:hAnsi="Arial" w:cs="Arial"/>
          <w:b/>
          <w:sz w:val="24"/>
          <w:szCs w:val="24"/>
        </w:rPr>
        <w:t>Art. 2º</w:t>
      </w:r>
      <w:r w:rsidRPr="00DA7B40">
        <w:rPr>
          <w:rFonts w:ascii="Arial" w:hAnsi="Arial" w:cs="Arial"/>
          <w:sz w:val="24"/>
          <w:szCs w:val="24"/>
        </w:rPr>
        <w:t xml:space="preserve"> Os artigos a</w:t>
      </w:r>
      <w:r w:rsidR="00B772CC">
        <w:rPr>
          <w:rFonts w:ascii="Arial" w:hAnsi="Arial" w:cs="Arial"/>
          <w:sz w:val="24"/>
          <w:szCs w:val="24"/>
        </w:rPr>
        <w:t xml:space="preserve">baixo indicados da </w:t>
      </w:r>
      <w:hyperlink r:id="rId10" w:history="1">
        <w:r w:rsidR="00B772CC" w:rsidRPr="00EA37C8">
          <w:rPr>
            <w:rStyle w:val="Hyperlink"/>
            <w:rFonts w:ascii="Arial" w:hAnsi="Arial" w:cs="Arial"/>
            <w:sz w:val="24"/>
            <w:szCs w:val="24"/>
          </w:rPr>
          <w:t>Resolução nº</w:t>
        </w:r>
        <w:r w:rsidRPr="00EA37C8">
          <w:rPr>
            <w:rStyle w:val="Hyperlink"/>
            <w:rFonts w:ascii="Arial" w:hAnsi="Arial" w:cs="Arial"/>
            <w:sz w:val="24"/>
            <w:szCs w:val="24"/>
          </w:rPr>
          <w:t xml:space="preserve"> 28/2011</w:t>
        </w:r>
      </w:hyperlink>
      <w:r w:rsidRPr="00DA7B40">
        <w:rPr>
          <w:rFonts w:ascii="Arial" w:hAnsi="Arial" w:cs="Arial"/>
          <w:sz w:val="24"/>
          <w:szCs w:val="24"/>
        </w:rPr>
        <w:t xml:space="preserve"> passam a </w:t>
      </w:r>
      <w:r w:rsidR="00EE3053">
        <w:rPr>
          <w:rFonts w:ascii="Arial" w:hAnsi="Arial" w:cs="Arial"/>
          <w:sz w:val="24"/>
          <w:szCs w:val="24"/>
        </w:rPr>
        <w:t>vigorar com a seguinte redação:</w:t>
      </w:r>
    </w:p>
    <w:p w14:paraId="3DDAF07F" w14:textId="77777777" w:rsidR="00B125BD" w:rsidRPr="00DA7B40" w:rsidRDefault="00DA7B40" w:rsidP="00936C5A">
      <w:pPr>
        <w:spacing w:before="120"/>
        <w:ind w:firstLine="1134"/>
        <w:jc w:val="both"/>
        <w:rPr>
          <w:rFonts w:ascii="Arial" w:hAnsi="Arial" w:cs="Arial"/>
          <w:sz w:val="24"/>
          <w:szCs w:val="24"/>
        </w:rPr>
      </w:pPr>
      <w:r>
        <w:rPr>
          <w:rFonts w:ascii="Arial" w:hAnsi="Arial" w:cs="Arial"/>
          <w:sz w:val="24"/>
          <w:szCs w:val="24"/>
        </w:rPr>
        <w:t>“</w:t>
      </w:r>
      <w:r w:rsidR="00B125BD" w:rsidRPr="00DA7B40">
        <w:rPr>
          <w:rFonts w:ascii="Arial" w:hAnsi="Arial" w:cs="Arial"/>
          <w:sz w:val="24"/>
          <w:szCs w:val="24"/>
          <w:u w:val="single"/>
        </w:rPr>
        <w:t>Art. 1º</w:t>
      </w:r>
      <w:r w:rsidR="00B125BD" w:rsidRPr="00DA7B40">
        <w:rPr>
          <w:rFonts w:ascii="Arial" w:hAnsi="Arial" w:cs="Arial"/>
          <w:sz w:val="24"/>
          <w:szCs w:val="24"/>
        </w:rPr>
        <w:t xml:space="preserve"> Esta Resolução regulamenta os requisitos para encaminhamento da prestação de contas quanto à formalização, execução e fiscalização das</w:t>
      </w:r>
      <w:r w:rsidR="008B74E8">
        <w:rPr>
          <w:rFonts w:ascii="Arial" w:hAnsi="Arial" w:cs="Arial"/>
          <w:sz w:val="24"/>
          <w:szCs w:val="24"/>
        </w:rPr>
        <w:t xml:space="preserve"> transferências voluntárias da Administração Pública Direta e I</w:t>
      </w:r>
      <w:r w:rsidR="00B125BD" w:rsidRPr="00DA7B40">
        <w:rPr>
          <w:rFonts w:ascii="Arial" w:hAnsi="Arial" w:cs="Arial"/>
          <w:sz w:val="24"/>
          <w:szCs w:val="24"/>
        </w:rPr>
        <w:t xml:space="preserve">ndireta de recursos estaduais e municipais repassados mediante convênio, termo de parceria, contrato de gestão ou outro instrumento congênere celebrado em regime de colaboração às entidades privadas sem fins lucrativos, inclusive àquelas qualificadas como Organizações da Sociedade Civil de Interesse </w:t>
      </w:r>
      <w:r w:rsidR="004D086C">
        <w:rPr>
          <w:rFonts w:ascii="Arial" w:hAnsi="Arial" w:cs="Arial"/>
          <w:sz w:val="24"/>
          <w:szCs w:val="24"/>
        </w:rPr>
        <w:t>Público – OSCIP e Organizações S</w:t>
      </w:r>
      <w:r w:rsidR="00B125BD" w:rsidRPr="00DA7B40">
        <w:rPr>
          <w:rFonts w:ascii="Arial" w:hAnsi="Arial" w:cs="Arial"/>
          <w:sz w:val="24"/>
          <w:szCs w:val="24"/>
        </w:rPr>
        <w:t>ociais – OS, e às pessoas jurídicas de direito público ou privado federal, estadual ou municipal e institui o Sistema Integrado de Transferências – SIT</w:t>
      </w:r>
      <w:r w:rsidR="00AF3F9C">
        <w:rPr>
          <w:rFonts w:ascii="Arial" w:hAnsi="Arial" w:cs="Arial"/>
          <w:sz w:val="24"/>
          <w:szCs w:val="24"/>
        </w:rPr>
        <w:t>.”</w:t>
      </w:r>
    </w:p>
    <w:p w14:paraId="1349047E" w14:textId="77777777" w:rsidR="00B125BD" w:rsidRPr="00DA7B40" w:rsidRDefault="00DA7B40" w:rsidP="00936C5A">
      <w:pPr>
        <w:spacing w:before="120"/>
        <w:ind w:firstLine="1134"/>
        <w:jc w:val="both"/>
        <w:rPr>
          <w:rFonts w:ascii="Arial" w:hAnsi="Arial" w:cs="Arial"/>
          <w:sz w:val="24"/>
          <w:szCs w:val="24"/>
        </w:rPr>
      </w:pPr>
      <w:r>
        <w:rPr>
          <w:rFonts w:ascii="Arial" w:hAnsi="Arial" w:cs="Arial"/>
          <w:sz w:val="24"/>
          <w:szCs w:val="24"/>
        </w:rPr>
        <w:t>“</w:t>
      </w:r>
      <w:r w:rsidR="00B125BD" w:rsidRPr="00DA7B40">
        <w:rPr>
          <w:rFonts w:ascii="Arial" w:hAnsi="Arial" w:cs="Arial"/>
          <w:sz w:val="24"/>
          <w:szCs w:val="24"/>
          <w:u w:val="single"/>
        </w:rPr>
        <w:t>Art. 3º</w:t>
      </w:r>
      <w:r w:rsidR="00B125BD" w:rsidRPr="00DA7B40">
        <w:rPr>
          <w:rFonts w:ascii="Arial" w:hAnsi="Arial" w:cs="Arial"/>
          <w:sz w:val="24"/>
          <w:szCs w:val="24"/>
        </w:rPr>
        <w:t xml:space="preserve"> A utilização do SIT será obrigatória para todos os órgãos públicos e entidades privadas sujeitas à jurisdição do Tribunal de Contas do Estado do Paraná, na condição de repassadores ou tomadores de recursos públicos oriundos de transferências voluntárias.</w:t>
      </w:r>
      <w:r w:rsidR="00AF3F9C">
        <w:rPr>
          <w:rFonts w:ascii="Arial" w:hAnsi="Arial" w:cs="Arial"/>
          <w:sz w:val="24"/>
          <w:szCs w:val="24"/>
        </w:rPr>
        <w:t>”</w:t>
      </w:r>
    </w:p>
    <w:p w14:paraId="733E0CC5" w14:textId="77777777" w:rsidR="00B125BD" w:rsidRPr="00DA7B40" w:rsidRDefault="00DA7B40" w:rsidP="00936C5A">
      <w:pPr>
        <w:spacing w:before="120"/>
        <w:ind w:firstLine="1134"/>
        <w:jc w:val="both"/>
        <w:rPr>
          <w:rFonts w:ascii="Arial" w:hAnsi="Arial" w:cs="Arial"/>
          <w:sz w:val="24"/>
          <w:szCs w:val="24"/>
        </w:rPr>
      </w:pPr>
      <w:r>
        <w:rPr>
          <w:rFonts w:ascii="Arial" w:hAnsi="Arial" w:cs="Arial"/>
          <w:sz w:val="24"/>
          <w:szCs w:val="24"/>
        </w:rPr>
        <w:t>“</w:t>
      </w:r>
      <w:r w:rsidR="00B125BD" w:rsidRPr="00DA7B40">
        <w:rPr>
          <w:rFonts w:ascii="Arial" w:hAnsi="Arial" w:cs="Arial"/>
          <w:sz w:val="24"/>
          <w:szCs w:val="24"/>
          <w:u w:val="single"/>
        </w:rPr>
        <w:t>Art. 5º</w:t>
      </w:r>
      <w:r w:rsidR="00B125BD" w:rsidRPr="00DA7B40">
        <w:rPr>
          <w:rFonts w:ascii="Arial" w:hAnsi="Arial" w:cs="Arial"/>
          <w:sz w:val="24"/>
          <w:szCs w:val="24"/>
        </w:rPr>
        <w:t xml:space="preserve"> Antes de celebrar o ato de transferência, a Administração Pública, nos termos da legislação federal, estadual e municipal pertinente à matéria de repasses voluntários, comprovará a prévia previsão e disponibilidade orçamentária e financeira e apresentará os critérios técnicos estabelecidos para fix</w:t>
      </w:r>
      <w:r w:rsidR="00EE3053">
        <w:rPr>
          <w:rFonts w:ascii="Arial" w:hAnsi="Arial" w:cs="Arial"/>
          <w:sz w:val="24"/>
          <w:szCs w:val="24"/>
        </w:rPr>
        <w:t>ação dos tomadores de recursos.</w:t>
      </w:r>
    </w:p>
    <w:p w14:paraId="2E7CC7D8" w14:textId="77777777" w:rsidR="00B125BD" w:rsidRPr="00DA7B40" w:rsidRDefault="00B125BD" w:rsidP="00936C5A">
      <w:pPr>
        <w:spacing w:before="120"/>
        <w:ind w:firstLine="1134"/>
        <w:jc w:val="both"/>
        <w:rPr>
          <w:rFonts w:ascii="Arial" w:hAnsi="Arial" w:cs="Arial"/>
          <w:sz w:val="24"/>
          <w:szCs w:val="24"/>
        </w:rPr>
      </w:pPr>
      <w:r w:rsidRPr="00DA7B40">
        <w:rPr>
          <w:rFonts w:ascii="Arial" w:hAnsi="Arial" w:cs="Arial"/>
          <w:sz w:val="24"/>
          <w:szCs w:val="24"/>
        </w:rPr>
        <w:t>§ 1° Nos termos da legislação pertinente, as finalidades institucionais do tomador de recursos deverão ser compatíveis com as atividades previstas no objeto do termo de transferência, bem como será atestado pelo órgão de fiscalização afeto à área de atuação da entidade beneficiária que ela dispõe de satisfatórias condições físicas e operacionais de funcionamento.</w:t>
      </w:r>
    </w:p>
    <w:p w14:paraId="040B8110" w14:textId="77777777" w:rsidR="00B125BD" w:rsidRPr="00DA7B40" w:rsidRDefault="00DA7B40" w:rsidP="00936C5A">
      <w:pPr>
        <w:spacing w:before="120"/>
        <w:ind w:firstLine="1134"/>
        <w:jc w:val="both"/>
        <w:rPr>
          <w:rFonts w:ascii="Arial" w:hAnsi="Arial" w:cs="Arial"/>
          <w:sz w:val="24"/>
          <w:szCs w:val="24"/>
        </w:rPr>
      </w:pPr>
      <w:r>
        <w:rPr>
          <w:rFonts w:ascii="Arial" w:hAnsi="Arial" w:cs="Arial"/>
          <w:sz w:val="24"/>
          <w:szCs w:val="24"/>
        </w:rPr>
        <w:t xml:space="preserve">§ </w:t>
      </w:r>
      <w:r w:rsidR="00B125BD" w:rsidRPr="00DA7B40">
        <w:rPr>
          <w:rFonts w:ascii="Arial" w:hAnsi="Arial" w:cs="Arial"/>
          <w:sz w:val="24"/>
          <w:szCs w:val="24"/>
        </w:rPr>
        <w:t>2º O procedimento administrativo para a formalização, execução, acompanhamento e prestação de contas do ato de transferência deverá ser instruído com a documentação prevista na legislação que, para fins de guarda e encaminhamento para fiscalização do Tribunal de Contas, será regulame</w:t>
      </w:r>
      <w:r w:rsidR="00EE3053">
        <w:rPr>
          <w:rFonts w:ascii="Arial" w:hAnsi="Arial" w:cs="Arial"/>
          <w:sz w:val="24"/>
          <w:szCs w:val="24"/>
        </w:rPr>
        <w:t xml:space="preserve">ntada por Instrução Normativa. </w:t>
      </w:r>
    </w:p>
    <w:p w14:paraId="48630340" w14:textId="77777777" w:rsidR="00B125BD" w:rsidRPr="00DA7B40" w:rsidRDefault="00B125BD" w:rsidP="00936C5A">
      <w:pPr>
        <w:spacing w:before="120"/>
        <w:ind w:firstLine="1134"/>
        <w:jc w:val="both"/>
        <w:rPr>
          <w:rFonts w:ascii="Arial" w:hAnsi="Arial" w:cs="Arial"/>
          <w:sz w:val="24"/>
          <w:szCs w:val="24"/>
        </w:rPr>
      </w:pPr>
      <w:r w:rsidRPr="00DA7B40">
        <w:rPr>
          <w:rFonts w:ascii="Arial" w:hAnsi="Arial" w:cs="Arial"/>
          <w:sz w:val="24"/>
          <w:szCs w:val="24"/>
        </w:rPr>
        <w:t>§ 3º Para fins de responsabilização quanto à gestão dos recursos públicos, as transferências voluntárias deverão ser disciplinadas por meio de instrumentos de repasses formalmente constituídos, firmados entre um único concedente e um único tomador, sendo a responsabilidade pelo encaminhamento da prestação de contas ao Tribunal atribuída ao concedente</w:t>
      </w:r>
      <w:r w:rsidR="00AF3F9C">
        <w:rPr>
          <w:rFonts w:ascii="Arial" w:hAnsi="Arial" w:cs="Arial"/>
          <w:sz w:val="24"/>
          <w:szCs w:val="24"/>
        </w:rPr>
        <w:t>.”</w:t>
      </w:r>
    </w:p>
    <w:p w14:paraId="1980902F" w14:textId="77777777" w:rsidR="00B125BD" w:rsidRDefault="00DA7B40" w:rsidP="00936C5A">
      <w:pPr>
        <w:spacing w:before="120"/>
        <w:ind w:firstLine="1134"/>
        <w:jc w:val="both"/>
        <w:rPr>
          <w:rFonts w:ascii="Arial" w:hAnsi="Arial" w:cs="Arial"/>
          <w:sz w:val="24"/>
          <w:szCs w:val="24"/>
        </w:rPr>
      </w:pPr>
      <w:r>
        <w:rPr>
          <w:rFonts w:ascii="Arial" w:hAnsi="Arial" w:cs="Arial"/>
          <w:sz w:val="24"/>
          <w:szCs w:val="24"/>
        </w:rPr>
        <w:t>“</w:t>
      </w:r>
      <w:r w:rsidR="00B125BD" w:rsidRPr="008B74E8">
        <w:rPr>
          <w:rFonts w:ascii="Arial" w:hAnsi="Arial" w:cs="Arial"/>
          <w:sz w:val="24"/>
          <w:szCs w:val="24"/>
          <w:u w:val="single"/>
        </w:rPr>
        <w:t>Art. 6º</w:t>
      </w:r>
      <w:r>
        <w:rPr>
          <w:rFonts w:ascii="Arial" w:hAnsi="Arial" w:cs="Arial"/>
          <w:sz w:val="24"/>
          <w:szCs w:val="24"/>
        </w:rPr>
        <w:t xml:space="preserve"> ...</w:t>
      </w:r>
    </w:p>
    <w:p w14:paraId="74281E0F" w14:textId="77777777" w:rsidR="00B125BD" w:rsidRPr="00DA7B40" w:rsidRDefault="00EE3053" w:rsidP="00936C5A">
      <w:pPr>
        <w:spacing w:before="120"/>
        <w:ind w:firstLine="1134"/>
        <w:jc w:val="both"/>
        <w:rPr>
          <w:rFonts w:ascii="Arial" w:hAnsi="Arial" w:cs="Arial"/>
          <w:sz w:val="24"/>
          <w:szCs w:val="24"/>
        </w:rPr>
      </w:pPr>
      <w:r>
        <w:rPr>
          <w:rFonts w:ascii="Arial" w:hAnsi="Arial" w:cs="Arial"/>
          <w:sz w:val="24"/>
          <w:szCs w:val="24"/>
        </w:rPr>
        <w:t>...</w:t>
      </w:r>
    </w:p>
    <w:p w14:paraId="42160E20" w14:textId="77777777" w:rsidR="00B125BD" w:rsidRPr="00DA7B40" w:rsidRDefault="00B125BD" w:rsidP="00936C5A">
      <w:pPr>
        <w:spacing w:before="120"/>
        <w:ind w:firstLine="1134"/>
        <w:jc w:val="both"/>
        <w:rPr>
          <w:rFonts w:ascii="Arial" w:hAnsi="Arial" w:cs="Arial"/>
          <w:sz w:val="24"/>
          <w:szCs w:val="24"/>
        </w:rPr>
      </w:pPr>
      <w:r w:rsidRPr="00DA7B40">
        <w:rPr>
          <w:rFonts w:ascii="Arial" w:hAnsi="Arial" w:cs="Arial"/>
          <w:sz w:val="24"/>
          <w:szCs w:val="24"/>
        </w:rPr>
        <w:t xml:space="preserve">V – indicação de pessoa responsável pelo acompanhamento e fiscalização do termo de transferência, preferencialmente entre os agentes </w:t>
      </w:r>
      <w:r w:rsidRPr="00DA7B40">
        <w:rPr>
          <w:rFonts w:ascii="Arial" w:hAnsi="Arial" w:cs="Arial"/>
          <w:sz w:val="24"/>
          <w:szCs w:val="24"/>
        </w:rPr>
        <w:lastRenderedPageBreak/>
        <w:t>ocupantes de cargo efetivo do quadro permanente da Administraçã</w:t>
      </w:r>
      <w:r w:rsidR="00E568B9">
        <w:rPr>
          <w:rFonts w:ascii="Arial" w:hAnsi="Arial" w:cs="Arial"/>
          <w:sz w:val="24"/>
          <w:szCs w:val="24"/>
        </w:rPr>
        <w:t>o – art. 118, inciso I, da Lei E</w:t>
      </w:r>
      <w:r w:rsidRPr="00DA7B40">
        <w:rPr>
          <w:rFonts w:ascii="Arial" w:hAnsi="Arial" w:cs="Arial"/>
          <w:sz w:val="24"/>
          <w:szCs w:val="24"/>
        </w:rPr>
        <w:t>stadual nº 15</w:t>
      </w:r>
      <w:r w:rsidR="008B74E8">
        <w:rPr>
          <w:rFonts w:ascii="Arial" w:hAnsi="Arial" w:cs="Arial"/>
          <w:sz w:val="24"/>
          <w:szCs w:val="24"/>
        </w:rPr>
        <w:t>.</w:t>
      </w:r>
      <w:r w:rsidRPr="00DA7B40">
        <w:rPr>
          <w:rFonts w:ascii="Arial" w:hAnsi="Arial" w:cs="Arial"/>
          <w:sz w:val="24"/>
          <w:szCs w:val="24"/>
        </w:rPr>
        <w:t>608/</w:t>
      </w:r>
      <w:r w:rsidR="008B74E8">
        <w:rPr>
          <w:rFonts w:ascii="Arial" w:hAnsi="Arial" w:cs="Arial"/>
          <w:sz w:val="24"/>
          <w:szCs w:val="24"/>
        </w:rPr>
        <w:t>20</w:t>
      </w:r>
      <w:r w:rsidRPr="00DA7B40">
        <w:rPr>
          <w:rFonts w:ascii="Arial" w:hAnsi="Arial" w:cs="Arial"/>
          <w:sz w:val="24"/>
          <w:szCs w:val="24"/>
        </w:rPr>
        <w:t>07, ou nos termos que dispuser a legislação municipal pertinente;</w:t>
      </w:r>
      <w:r w:rsidR="00AF3F9C">
        <w:rPr>
          <w:rFonts w:ascii="Arial" w:hAnsi="Arial" w:cs="Arial"/>
          <w:sz w:val="24"/>
          <w:szCs w:val="24"/>
        </w:rPr>
        <w:t>”</w:t>
      </w:r>
    </w:p>
    <w:p w14:paraId="6328B205" w14:textId="77777777" w:rsidR="00B125BD" w:rsidRPr="00DA7B40" w:rsidRDefault="00AF3F9C" w:rsidP="00936C5A">
      <w:pPr>
        <w:spacing w:before="120"/>
        <w:ind w:firstLine="1134"/>
        <w:jc w:val="both"/>
        <w:rPr>
          <w:rFonts w:ascii="Arial" w:hAnsi="Arial" w:cs="Arial"/>
          <w:sz w:val="24"/>
          <w:szCs w:val="24"/>
        </w:rPr>
      </w:pPr>
      <w:r>
        <w:rPr>
          <w:rFonts w:ascii="Arial" w:hAnsi="Arial" w:cs="Arial"/>
          <w:sz w:val="24"/>
          <w:szCs w:val="24"/>
          <w:u w:val="single"/>
        </w:rPr>
        <w:t>“</w:t>
      </w:r>
      <w:r w:rsidR="00B125BD" w:rsidRPr="00AF3F9C">
        <w:rPr>
          <w:rFonts w:ascii="Arial" w:hAnsi="Arial" w:cs="Arial"/>
          <w:sz w:val="24"/>
          <w:szCs w:val="24"/>
          <w:u w:val="single"/>
        </w:rPr>
        <w:t>Art. 7º</w:t>
      </w:r>
      <w:r w:rsidR="00B125BD" w:rsidRPr="00DA7B40">
        <w:rPr>
          <w:rFonts w:ascii="Arial" w:hAnsi="Arial" w:cs="Arial"/>
          <w:sz w:val="24"/>
          <w:szCs w:val="24"/>
        </w:rPr>
        <w:t xml:space="preserve"> </w:t>
      </w:r>
      <w:r>
        <w:rPr>
          <w:rFonts w:ascii="Arial" w:hAnsi="Arial" w:cs="Arial"/>
          <w:sz w:val="24"/>
          <w:szCs w:val="24"/>
        </w:rPr>
        <w:t>...</w:t>
      </w:r>
    </w:p>
    <w:p w14:paraId="2B426633" w14:textId="77777777" w:rsidR="00B125BD" w:rsidRPr="00DA7B40" w:rsidRDefault="00B125BD" w:rsidP="00936C5A">
      <w:pPr>
        <w:spacing w:before="120"/>
        <w:ind w:firstLine="1134"/>
        <w:jc w:val="both"/>
        <w:rPr>
          <w:rFonts w:ascii="Arial" w:hAnsi="Arial" w:cs="Arial"/>
          <w:sz w:val="24"/>
          <w:szCs w:val="24"/>
        </w:rPr>
      </w:pPr>
      <w:r w:rsidRPr="00DA7B40">
        <w:rPr>
          <w:rFonts w:ascii="Arial" w:hAnsi="Arial" w:cs="Arial"/>
          <w:sz w:val="24"/>
          <w:szCs w:val="24"/>
        </w:rPr>
        <w:t>I - certificado de qualificação</w:t>
      </w:r>
      <w:r w:rsidR="00EE3053">
        <w:rPr>
          <w:rFonts w:ascii="Arial" w:hAnsi="Arial" w:cs="Arial"/>
          <w:sz w:val="24"/>
          <w:szCs w:val="24"/>
        </w:rPr>
        <w:t xml:space="preserve"> emitido pelo órgão competente;</w:t>
      </w:r>
    </w:p>
    <w:p w14:paraId="2D577A16" w14:textId="77777777" w:rsidR="00B125BD" w:rsidRPr="00DA7B40" w:rsidRDefault="00AF3F9C" w:rsidP="00936C5A">
      <w:pPr>
        <w:spacing w:before="120"/>
        <w:ind w:firstLine="1134"/>
        <w:jc w:val="both"/>
        <w:rPr>
          <w:rFonts w:ascii="Arial" w:hAnsi="Arial" w:cs="Arial"/>
          <w:sz w:val="24"/>
          <w:szCs w:val="24"/>
        </w:rPr>
      </w:pPr>
      <w:r>
        <w:rPr>
          <w:rFonts w:ascii="Arial" w:hAnsi="Arial" w:cs="Arial"/>
          <w:sz w:val="24"/>
          <w:szCs w:val="24"/>
        </w:rPr>
        <w:t>...</w:t>
      </w:r>
    </w:p>
    <w:p w14:paraId="0FF36361" w14:textId="77777777" w:rsidR="006A3080" w:rsidRPr="00DA7B40" w:rsidRDefault="00B125BD" w:rsidP="00936C5A">
      <w:pPr>
        <w:spacing w:before="120"/>
        <w:ind w:firstLine="1134"/>
        <w:jc w:val="both"/>
        <w:rPr>
          <w:rFonts w:ascii="Arial" w:hAnsi="Arial" w:cs="Arial"/>
          <w:sz w:val="24"/>
          <w:szCs w:val="24"/>
        </w:rPr>
      </w:pPr>
      <w:r w:rsidRPr="00DA7B40">
        <w:rPr>
          <w:rFonts w:ascii="Arial" w:hAnsi="Arial" w:cs="Arial"/>
          <w:sz w:val="24"/>
          <w:szCs w:val="24"/>
        </w:rPr>
        <w:t>III - comprovação de consulta prévia ao Conselho de Política Pública da área de atuação correspondente ao objeto da parceria, em se tratando de OSCIP, ou prévia manifestação da Secretaria de Estado da área correspondente, em parecer favorável, demonstrando a sua conveniência e oportunidade, em se tratando de OS estadual, ressalvadas as disposições próprias das legislações municipais afetas às Organizações Sociais e Organizações da Sociedade Civil de Interesse Público.</w:t>
      </w:r>
      <w:r w:rsidR="00AF3F9C">
        <w:rPr>
          <w:rFonts w:ascii="Arial" w:hAnsi="Arial" w:cs="Arial"/>
          <w:sz w:val="24"/>
          <w:szCs w:val="24"/>
        </w:rPr>
        <w:t>”</w:t>
      </w:r>
    </w:p>
    <w:p w14:paraId="07383B5C" w14:textId="77777777" w:rsidR="00B125BD" w:rsidRPr="00DA7B40" w:rsidRDefault="00AF3F9C" w:rsidP="00936C5A">
      <w:pPr>
        <w:spacing w:before="120"/>
        <w:ind w:firstLine="1134"/>
        <w:jc w:val="both"/>
        <w:rPr>
          <w:rFonts w:ascii="Arial" w:hAnsi="Arial" w:cs="Arial"/>
          <w:sz w:val="24"/>
          <w:szCs w:val="24"/>
        </w:rPr>
      </w:pPr>
      <w:r>
        <w:rPr>
          <w:rFonts w:ascii="Arial" w:hAnsi="Arial" w:cs="Arial"/>
          <w:sz w:val="24"/>
          <w:szCs w:val="24"/>
          <w:u w:val="single"/>
        </w:rPr>
        <w:t>“</w:t>
      </w:r>
      <w:r w:rsidRPr="00AF3F9C">
        <w:rPr>
          <w:rFonts w:ascii="Arial" w:hAnsi="Arial" w:cs="Arial"/>
          <w:sz w:val="24"/>
          <w:szCs w:val="24"/>
          <w:u w:val="single"/>
        </w:rPr>
        <w:t>Art. 9º</w:t>
      </w:r>
      <w:r w:rsidR="00B125BD" w:rsidRPr="00DA7B40">
        <w:rPr>
          <w:rFonts w:ascii="Arial" w:hAnsi="Arial" w:cs="Arial"/>
          <w:sz w:val="24"/>
          <w:szCs w:val="24"/>
        </w:rPr>
        <w:t xml:space="preserve"> Sem prejuízo da nulidade ou sustação do ato e da responsabilização pessoal do gestor e do representante legal do concedente, será considerada irregular a inclusão, no termo de transferência, de cláusula ou c</w:t>
      </w:r>
      <w:r w:rsidR="00EE3053">
        <w:rPr>
          <w:rFonts w:ascii="Arial" w:hAnsi="Arial" w:cs="Arial"/>
          <w:sz w:val="24"/>
          <w:szCs w:val="24"/>
        </w:rPr>
        <w:t>ondição que preveja ou permita:</w:t>
      </w:r>
    </w:p>
    <w:p w14:paraId="1349F7F7" w14:textId="77777777" w:rsidR="00B125BD" w:rsidRPr="00DA7B40" w:rsidRDefault="00AF3F9C" w:rsidP="00936C5A">
      <w:pPr>
        <w:spacing w:before="120"/>
        <w:ind w:firstLine="1134"/>
        <w:jc w:val="both"/>
        <w:rPr>
          <w:rFonts w:ascii="Arial" w:hAnsi="Arial" w:cs="Arial"/>
          <w:sz w:val="24"/>
          <w:szCs w:val="24"/>
        </w:rPr>
      </w:pPr>
      <w:r>
        <w:rPr>
          <w:rFonts w:ascii="Arial" w:hAnsi="Arial" w:cs="Arial"/>
          <w:sz w:val="24"/>
          <w:szCs w:val="24"/>
        </w:rPr>
        <w:t>...</w:t>
      </w:r>
    </w:p>
    <w:p w14:paraId="17BA7368" w14:textId="77777777" w:rsidR="00B125BD" w:rsidRPr="00DA7B40" w:rsidRDefault="00B125BD" w:rsidP="00936C5A">
      <w:pPr>
        <w:spacing w:before="120"/>
        <w:ind w:firstLine="1134"/>
        <w:jc w:val="both"/>
        <w:rPr>
          <w:rFonts w:ascii="Arial" w:hAnsi="Arial" w:cs="Arial"/>
          <w:sz w:val="24"/>
          <w:szCs w:val="24"/>
        </w:rPr>
      </w:pPr>
      <w:r w:rsidRPr="00DA7B40">
        <w:rPr>
          <w:rFonts w:ascii="Arial" w:hAnsi="Arial" w:cs="Arial"/>
          <w:sz w:val="24"/>
          <w:szCs w:val="24"/>
        </w:rPr>
        <w:t>XI – a transferência de recursos a título de contribuição, auxílio ou subvenção social a instituições privadas com fins lucrativos e a instituições privadas sem fins lucrativos não declaradas de utilidade pública, ressalvada a hipótese prevista no artigo</w:t>
      </w:r>
      <w:r w:rsidR="00EE3053">
        <w:rPr>
          <w:rFonts w:ascii="Arial" w:hAnsi="Arial" w:cs="Arial"/>
          <w:sz w:val="24"/>
          <w:szCs w:val="24"/>
        </w:rPr>
        <w:t xml:space="preserve"> 19 da Lei Federal nº 4.320/</w:t>
      </w:r>
      <w:r w:rsidR="00FC3B58">
        <w:rPr>
          <w:rFonts w:ascii="Arial" w:hAnsi="Arial" w:cs="Arial"/>
          <w:sz w:val="24"/>
          <w:szCs w:val="24"/>
        </w:rPr>
        <w:t>19</w:t>
      </w:r>
      <w:r w:rsidR="00EE3053">
        <w:rPr>
          <w:rFonts w:ascii="Arial" w:hAnsi="Arial" w:cs="Arial"/>
          <w:sz w:val="24"/>
          <w:szCs w:val="24"/>
        </w:rPr>
        <w:t>64;</w:t>
      </w:r>
    </w:p>
    <w:p w14:paraId="66EA2ADB" w14:textId="77777777" w:rsidR="00B125BD" w:rsidRPr="00DA7B40" w:rsidRDefault="00AF3F9C" w:rsidP="00936C5A">
      <w:pPr>
        <w:spacing w:before="120"/>
        <w:ind w:firstLine="1134"/>
        <w:jc w:val="both"/>
        <w:rPr>
          <w:rFonts w:ascii="Arial" w:hAnsi="Arial" w:cs="Arial"/>
          <w:sz w:val="24"/>
          <w:szCs w:val="24"/>
        </w:rPr>
      </w:pPr>
      <w:r>
        <w:rPr>
          <w:rFonts w:ascii="Arial" w:hAnsi="Arial" w:cs="Arial"/>
          <w:sz w:val="24"/>
          <w:szCs w:val="24"/>
        </w:rPr>
        <w:t>...</w:t>
      </w:r>
    </w:p>
    <w:p w14:paraId="407AF7BD" w14:textId="77777777" w:rsidR="00B125BD" w:rsidRPr="00DA7B40" w:rsidRDefault="00B125BD" w:rsidP="00936C5A">
      <w:pPr>
        <w:spacing w:before="120"/>
        <w:ind w:firstLine="1134"/>
        <w:jc w:val="both"/>
        <w:rPr>
          <w:rFonts w:ascii="Arial" w:hAnsi="Arial" w:cs="Arial"/>
          <w:sz w:val="24"/>
          <w:szCs w:val="24"/>
        </w:rPr>
      </w:pPr>
      <w:r w:rsidRPr="00DA7B40">
        <w:rPr>
          <w:rFonts w:ascii="Arial" w:hAnsi="Arial" w:cs="Arial"/>
          <w:sz w:val="24"/>
          <w:szCs w:val="24"/>
        </w:rPr>
        <w:t>Parágrafo único. Ressalvadas as disposições constantes na legislação estadual e municipal, os recursos públicos serão repassados diretamente à entidade executora do objeto do termo de transferência.</w:t>
      </w:r>
      <w:r w:rsidR="00AF3F9C">
        <w:rPr>
          <w:rFonts w:ascii="Arial" w:hAnsi="Arial" w:cs="Arial"/>
          <w:sz w:val="24"/>
          <w:szCs w:val="24"/>
        </w:rPr>
        <w:t>”</w:t>
      </w:r>
    </w:p>
    <w:p w14:paraId="487EE1E1" w14:textId="77777777" w:rsidR="00B125BD" w:rsidRPr="00DA7B40" w:rsidRDefault="00AF3F9C" w:rsidP="00936C5A">
      <w:pPr>
        <w:spacing w:before="120"/>
        <w:ind w:firstLine="1134"/>
        <w:jc w:val="both"/>
        <w:rPr>
          <w:rFonts w:ascii="Arial" w:hAnsi="Arial" w:cs="Arial"/>
          <w:sz w:val="24"/>
          <w:szCs w:val="24"/>
        </w:rPr>
      </w:pPr>
      <w:r>
        <w:rPr>
          <w:rFonts w:ascii="Arial" w:hAnsi="Arial" w:cs="Arial"/>
          <w:sz w:val="24"/>
          <w:szCs w:val="24"/>
          <w:u w:val="single"/>
        </w:rPr>
        <w:t>“</w:t>
      </w:r>
      <w:r w:rsidRPr="00AF3F9C">
        <w:rPr>
          <w:rFonts w:ascii="Arial" w:hAnsi="Arial" w:cs="Arial"/>
          <w:sz w:val="24"/>
          <w:szCs w:val="24"/>
          <w:u w:val="single"/>
        </w:rPr>
        <w:t>Art.10</w:t>
      </w:r>
      <w:r>
        <w:rPr>
          <w:rFonts w:ascii="Arial" w:hAnsi="Arial" w:cs="Arial"/>
          <w:sz w:val="24"/>
          <w:szCs w:val="24"/>
        </w:rPr>
        <w:t>. ...</w:t>
      </w:r>
    </w:p>
    <w:p w14:paraId="46AC54DF" w14:textId="77777777" w:rsidR="00B125BD" w:rsidRPr="00DA7B40" w:rsidRDefault="00B125BD" w:rsidP="00936C5A">
      <w:pPr>
        <w:spacing w:before="120"/>
        <w:ind w:firstLine="1134"/>
        <w:jc w:val="both"/>
        <w:rPr>
          <w:rFonts w:ascii="Arial" w:hAnsi="Arial" w:cs="Arial"/>
          <w:sz w:val="24"/>
          <w:szCs w:val="24"/>
        </w:rPr>
      </w:pPr>
      <w:r w:rsidRPr="00DA7B40">
        <w:rPr>
          <w:rFonts w:ascii="Arial" w:hAnsi="Arial" w:cs="Arial"/>
          <w:sz w:val="24"/>
          <w:szCs w:val="24"/>
        </w:rPr>
        <w:t>§ 1º A aplicação de recursos públicos na construção, ampliação ou reforma de imóvel pertencente à entidade privada sem fins lucrativos somente poderá ocorrer quando o estatuto social da entidade previr, em caso de sua extinção ou de cessação de suas atividades, a destinação do imóvel para outra instituição congênere ou ao Poder Público, obs</w:t>
      </w:r>
      <w:r w:rsidR="00E43E94">
        <w:rPr>
          <w:rFonts w:ascii="Arial" w:hAnsi="Arial" w:cs="Arial"/>
          <w:sz w:val="24"/>
          <w:szCs w:val="24"/>
        </w:rPr>
        <w:t>ervadas as disposições do art.</w:t>
      </w:r>
      <w:r w:rsidRPr="00DA7B40">
        <w:rPr>
          <w:rFonts w:ascii="Arial" w:hAnsi="Arial" w:cs="Arial"/>
          <w:sz w:val="24"/>
          <w:szCs w:val="24"/>
        </w:rPr>
        <w:t xml:space="preserve"> 1º, </w:t>
      </w:r>
      <w:r w:rsidR="00E43E94">
        <w:rPr>
          <w:rFonts w:ascii="Arial" w:hAnsi="Arial" w:cs="Arial"/>
          <w:sz w:val="24"/>
          <w:szCs w:val="24"/>
        </w:rPr>
        <w:t>§ 10, da Lei Estadual nº 16.244, de 22 de outubro de 20</w:t>
      </w:r>
      <w:r w:rsidRPr="00DA7B40">
        <w:rPr>
          <w:rFonts w:ascii="Arial" w:hAnsi="Arial" w:cs="Arial"/>
          <w:sz w:val="24"/>
          <w:szCs w:val="24"/>
        </w:rPr>
        <w:t>09 e legislação municipal pertinente.</w:t>
      </w:r>
      <w:r w:rsidR="00AF3F9C">
        <w:rPr>
          <w:rFonts w:ascii="Arial" w:hAnsi="Arial" w:cs="Arial"/>
          <w:sz w:val="24"/>
          <w:szCs w:val="24"/>
        </w:rPr>
        <w:t>”</w:t>
      </w:r>
    </w:p>
    <w:p w14:paraId="5C40CA93" w14:textId="77777777" w:rsidR="00B125BD" w:rsidRPr="00DA7B40" w:rsidRDefault="00AF3F9C" w:rsidP="00936C5A">
      <w:pPr>
        <w:spacing w:before="120"/>
        <w:ind w:firstLine="1134"/>
        <w:jc w:val="both"/>
        <w:rPr>
          <w:rFonts w:ascii="Arial" w:hAnsi="Arial" w:cs="Arial"/>
          <w:sz w:val="24"/>
          <w:szCs w:val="24"/>
        </w:rPr>
      </w:pPr>
      <w:r>
        <w:rPr>
          <w:rFonts w:ascii="Arial" w:hAnsi="Arial" w:cs="Arial"/>
          <w:sz w:val="24"/>
          <w:szCs w:val="24"/>
          <w:u w:val="single"/>
        </w:rPr>
        <w:t>“</w:t>
      </w:r>
      <w:r w:rsidR="00B125BD" w:rsidRPr="00AF3F9C">
        <w:rPr>
          <w:rFonts w:ascii="Arial" w:hAnsi="Arial" w:cs="Arial"/>
          <w:sz w:val="24"/>
          <w:szCs w:val="24"/>
          <w:u w:val="single"/>
        </w:rPr>
        <w:t>Art. 12</w:t>
      </w:r>
      <w:r w:rsidR="00B125BD" w:rsidRPr="00DA7B40">
        <w:rPr>
          <w:rFonts w:ascii="Arial" w:hAnsi="Arial" w:cs="Arial"/>
          <w:sz w:val="24"/>
          <w:szCs w:val="24"/>
        </w:rPr>
        <w:t>. A liberação de recursos financeiros deverá obedecer ao cronograma de desembolso previsto no Plano de Trabalho de que trata o art. 8º, VI, desta Resolução</w:t>
      </w:r>
      <w:r w:rsidR="00B63A40">
        <w:rPr>
          <w:rFonts w:ascii="Arial" w:hAnsi="Arial" w:cs="Arial"/>
          <w:sz w:val="24"/>
          <w:szCs w:val="24"/>
        </w:rPr>
        <w:t>,</w:t>
      </w:r>
      <w:r w:rsidR="00B125BD" w:rsidRPr="00DA7B40">
        <w:rPr>
          <w:rFonts w:ascii="Arial" w:hAnsi="Arial" w:cs="Arial"/>
          <w:sz w:val="24"/>
          <w:szCs w:val="24"/>
        </w:rPr>
        <w:t xml:space="preserve"> e guardar consonância com as fases ou etapas de execução do objeto do ato de transferência voluntária, sob pena de aplicação das penalidades previstas na Lei Complementar </w:t>
      </w:r>
      <w:r w:rsidR="00EE3053">
        <w:rPr>
          <w:rFonts w:ascii="Arial" w:hAnsi="Arial" w:cs="Arial"/>
          <w:sz w:val="24"/>
          <w:szCs w:val="24"/>
        </w:rPr>
        <w:t>nº 113/2005.</w:t>
      </w:r>
      <w:r w:rsidR="00AE4F84">
        <w:rPr>
          <w:rFonts w:ascii="Arial" w:hAnsi="Arial" w:cs="Arial"/>
          <w:sz w:val="24"/>
          <w:szCs w:val="24"/>
        </w:rPr>
        <w:t>”</w:t>
      </w:r>
      <w:r w:rsidR="00EE3053">
        <w:rPr>
          <w:rFonts w:ascii="Arial" w:hAnsi="Arial" w:cs="Arial"/>
          <w:sz w:val="24"/>
          <w:szCs w:val="24"/>
        </w:rPr>
        <w:t xml:space="preserve"> </w:t>
      </w:r>
    </w:p>
    <w:p w14:paraId="3CA841E5" w14:textId="77777777" w:rsidR="00B125BD" w:rsidRPr="00DA7B40" w:rsidRDefault="00AF3F9C" w:rsidP="00936C5A">
      <w:pPr>
        <w:spacing w:before="120"/>
        <w:ind w:firstLine="1134"/>
        <w:jc w:val="both"/>
        <w:rPr>
          <w:rFonts w:ascii="Arial" w:hAnsi="Arial" w:cs="Arial"/>
          <w:sz w:val="24"/>
          <w:szCs w:val="24"/>
        </w:rPr>
      </w:pPr>
      <w:r>
        <w:rPr>
          <w:rFonts w:ascii="Arial" w:hAnsi="Arial" w:cs="Arial"/>
          <w:sz w:val="24"/>
          <w:szCs w:val="24"/>
          <w:u w:val="single"/>
        </w:rPr>
        <w:t>“</w:t>
      </w:r>
      <w:r w:rsidR="00B125BD" w:rsidRPr="00AF3F9C">
        <w:rPr>
          <w:rFonts w:ascii="Arial" w:hAnsi="Arial" w:cs="Arial"/>
          <w:sz w:val="24"/>
          <w:szCs w:val="24"/>
          <w:u w:val="single"/>
        </w:rPr>
        <w:t>Art. 20.</w:t>
      </w:r>
      <w:r w:rsidR="00B125BD" w:rsidRPr="00DA7B40">
        <w:rPr>
          <w:rFonts w:ascii="Arial" w:hAnsi="Arial" w:cs="Arial"/>
          <w:sz w:val="24"/>
          <w:szCs w:val="24"/>
        </w:rPr>
        <w:t xml:space="preserve"> Além da fiscalização exercida pelo Tribunal de Contas, a execução do objeto da transferência será fiscalizada pelo concedente, por meio </w:t>
      </w:r>
      <w:r w:rsidR="00B125BD" w:rsidRPr="00DA7B40">
        <w:rPr>
          <w:rFonts w:ascii="Arial" w:hAnsi="Arial" w:cs="Arial"/>
          <w:sz w:val="24"/>
          <w:szCs w:val="24"/>
        </w:rPr>
        <w:lastRenderedPageBreak/>
        <w:t>do Fiscal Responsável indicado no termo de transferência e do seu Sistema de Controle Interno.</w:t>
      </w:r>
      <w:r>
        <w:rPr>
          <w:rFonts w:ascii="Arial" w:hAnsi="Arial" w:cs="Arial"/>
          <w:sz w:val="24"/>
          <w:szCs w:val="24"/>
        </w:rPr>
        <w:t>”</w:t>
      </w:r>
    </w:p>
    <w:p w14:paraId="1DF4B587" w14:textId="77777777" w:rsidR="00B125BD" w:rsidRPr="00DA7B40" w:rsidRDefault="00AF3F9C" w:rsidP="00936C5A">
      <w:pPr>
        <w:spacing w:before="120"/>
        <w:ind w:firstLine="1134"/>
        <w:jc w:val="both"/>
        <w:rPr>
          <w:rFonts w:ascii="Arial" w:hAnsi="Arial" w:cs="Arial"/>
          <w:sz w:val="24"/>
          <w:szCs w:val="24"/>
        </w:rPr>
      </w:pPr>
      <w:r>
        <w:rPr>
          <w:rFonts w:ascii="Arial" w:hAnsi="Arial" w:cs="Arial"/>
          <w:sz w:val="24"/>
          <w:szCs w:val="24"/>
          <w:u w:val="single"/>
        </w:rPr>
        <w:t>“</w:t>
      </w:r>
      <w:r w:rsidR="00B125BD" w:rsidRPr="00AF3F9C">
        <w:rPr>
          <w:rFonts w:ascii="Arial" w:hAnsi="Arial" w:cs="Arial"/>
          <w:sz w:val="24"/>
          <w:szCs w:val="24"/>
          <w:u w:val="single"/>
        </w:rPr>
        <w:t>Art. 21</w:t>
      </w:r>
      <w:r w:rsidR="00B125BD" w:rsidRPr="00DA7B40">
        <w:rPr>
          <w:rFonts w:ascii="Arial" w:hAnsi="Arial" w:cs="Arial"/>
          <w:sz w:val="24"/>
          <w:szCs w:val="24"/>
        </w:rPr>
        <w:t>. Nos termos da legislação pertinente, o concedente acompanhará e fiscalizará a transferência e a execução do respectivo objeto, sendo que a adequada utilização dos recursos será demonstrada pela em</w:t>
      </w:r>
      <w:r w:rsidR="00EE3053">
        <w:rPr>
          <w:rFonts w:ascii="Arial" w:hAnsi="Arial" w:cs="Arial"/>
          <w:sz w:val="24"/>
          <w:szCs w:val="24"/>
        </w:rPr>
        <w:t>issão dos seguintes documentos:</w:t>
      </w:r>
    </w:p>
    <w:p w14:paraId="4FE4AC85" w14:textId="77777777" w:rsidR="00B125BD" w:rsidRPr="00DA7B40" w:rsidRDefault="00EE3053" w:rsidP="00936C5A">
      <w:pPr>
        <w:spacing w:before="120"/>
        <w:ind w:firstLine="1134"/>
        <w:jc w:val="both"/>
        <w:rPr>
          <w:rFonts w:ascii="Arial" w:hAnsi="Arial" w:cs="Arial"/>
          <w:sz w:val="24"/>
          <w:szCs w:val="24"/>
        </w:rPr>
      </w:pPr>
      <w:r>
        <w:rPr>
          <w:rFonts w:ascii="Arial" w:hAnsi="Arial" w:cs="Arial"/>
          <w:sz w:val="24"/>
          <w:szCs w:val="24"/>
        </w:rPr>
        <w:t>...</w:t>
      </w:r>
    </w:p>
    <w:p w14:paraId="12BB582A" w14:textId="77777777" w:rsidR="00B125BD" w:rsidRPr="00DA7B40" w:rsidRDefault="00B125BD" w:rsidP="00936C5A">
      <w:pPr>
        <w:spacing w:before="120"/>
        <w:ind w:firstLine="1134"/>
        <w:jc w:val="both"/>
        <w:rPr>
          <w:rFonts w:ascii="Arial" w:hAnsi="Arial" w:cs="Arial"/>
          <w:sz w:val="24"/>
          <w:szCs w:val="24"/>
        </w:rPr>
      </w:pPr>
      <w:r w:rsidRPr="00DA7B40">
        <w:rPr>
          <w:rFonts w:ascii="Arial" w:hAnsi="Arial" w:cs="Arial"/>
          <w:sz w:val="24"/>
          <w:szCs w:val="24"/>
        </w:rPr>
        <w:t>§ 1º O responsável designado pelo concedente, quando exigível por legislação profissional, deverá ser profissional detentor de qualificação técnica compatível para a análise da execução do objeto a ser aferido, devendo constar dos termos ou certificados por ele emitidos: nome, assinatura, matrícula funcional, data de emissão, número do ato da autoridade que o designou para a fiscalização e acompanhamento da aplicação dos recursos e manifestação quanto à qualidade do serviço prestado ou da obra executada.</w:t>
      </w:r>
      <w:r w:rsidR="00AF3F9C">
        <w:rPr>
          <w:rFonts w:ascii="Arial" w:hAnsi="Arial" w:cs="Arial"/>
          <w:sz w:val="24"/>
          <w:szCs w:val="24"/>
        </w:rPr>
        <w:t>”</w:t>
      </w:r>
    </w:p>
    <w:p w14:paraId="383201AD" w14:textId="77777777" w:rsidR="00B125BD" w:rsidRPr="00DA7B40" w:rsidRDefault="00AF3F9C" w:rsidP="00936C5A">
      <w:pPr>
        <w:spacing w:before="120"/>
        <w:ind w:firstLine="1134"/>
        <w:jc w:val="both"/>
        <w:rPr>
          <w:rFonts w:ascii="Arial" w:hAnsi="Arial" w:cs="Arial"/>
          <w:sz w:val="24"/>
          <w:szCs w:val="24"/>
        </w:rPr>
      </w:pPr>
      <w:r>
        <w:rPr>
          <w:rFonts w:ascii="Arial" w:hAnsi="Arial" w:cs="Arial"/>
          <w:sz w:val="24"/>
          <w:szCs w:val="24"/>
          <w:u w:val="single"/>
        </w:rPr>
        <w:t>“</w:t>
      </w:r>
      <w:r w:rsidR="00B125BD" w:rsidRPr="00AF3F9C">
        <w:rPr>
          <w:rFonts w:ascii="Arial" w:hAnsi="Arial" w:cs="Arial"/>
          <w:sz w:val="24"/>
          <w:szCs w:val="24"/>
          <w:u w:val="single"/>
        </w:rPr>
        <w:t>Art. 22</w:t>
      </w:r>
      <w:r w:rsidR="00B125BD" w:rsidRPr="00DA7B40">
        <w:rPr>
          <w:rFonts w:ascii="Arial" w:hAnsi="Arial" w:cs="Arial"/>
          <w:sz w:val="24"/>
          <w:szCs w:val="24"/>
        </w:rPr>
        <w:t>. Compete ao Controle Interno do concedente, no exercício de sua função constitucional, emitir parecer sobre os recursos repassados e a sua utilização.</w:t>
      </w:r>
      <w:r>
        <w:rPr>
          <w:rFonts w:ascii="Arial" w:hAnsi="Arial" w:cs="Arial"/>
          <w:sz w:val="24"/>
          <w:szCs w:val="24"/>
        </w:rPr>
        <w:t>”</w:t>
      </w:r>
    </w:p>
    <w:p w14:paraId="71770916" w14:textId="77777777" w:rsidR="00B125BD" w:rsidRPr="00DA7B40" w:rsidRDefault="00AF3F9C" w:rsidP="00936C5A">
      <w:pPr>
        <w:spacing w:before="120"/>
        <w:ind w:firstLine="1134"/>
        <w:jc w:val="both"/>
        <w:rPr>
          <w:rFonts w:ascii="Arial" w:hAnsi="Arial" w:cs="Arial"/>
          <w:sz w:val="24"/>
          <w:szCs w:val="24"/>
        </w:rPr>
      </w:pPr>
      <w:r>
        <w:rPr>
          <w:rFonts w:ascii="Arial" w:hAnsi="Arial" w:cs="Arial"/>
          <w:sz w:val="24"/>
          <w:szCs w:val="24"/>
          <w:u w:val="single"/>
        </w:rPr>
        <w:t>“</w:t>
      </w:r>
      <w:r w:rsidR="00B125BD" w:rsidRPr="00AF3F9C">
        <w:rPr>
          <w:rFonts w:ascii="Arial" w:hAnsi="Arial" w:cs="Arial"/>
          <w:sz w:val="24"/>
          <w:szCs w:val="24"/>
          <w:u w:val="single"/>
        </w:rPr>
        <w:t>Art. 26.</w:t>
      </w:r>
      <w:r w:rsidR="00B125BD" w:rsidRPr="00DA7B40">
        <w:rPr>
          <w:rFonts w:ascii="Arial" w:hAnsi="Arial" w:cs="Arial"/>
          <w:sz w:val="24"/>
          <w:szCs w:val="24"/>
        </w:rPr>
        <w:t xml:space="preserve"> Além das informações constantes do SIT, ao final da vigência da transferência, o concedente dos recursos encaminhará ao Tribunal o respectivo processo de prestação de contas, para j</w:t>
      </w:r>
      <w:r w:rsidR="00EE3053">
        <w:rPr>
          <w:rFonts w:ascii="Arial" w:hAnsi="Arial" w:cs="Arial"/>
          <w:sz w:val="24"/>
          <w:szCs w:val="24"/>
        </w:rPr>
        <w:t>ulgamento, na forma do art. 25.</w:t>
      </w:r>
    </w:p>
    <w:p w14:paraId="7EA47684" w14:textId="77777777" w:rsidR="00B125BD" w:rsidRPr="00DA7B40" w:rsidRDefault="00B125BD" w:rsidP="00936C5A">
      <w:pPr>
        <w:spacing w:before="120"/>
        <w:ind w:firstLine="1134"/>
        <w:jc w:val="both"/>
        <w:rPr>
          <w:rFonts w:ascii="Arial" w:hAnsi="Arial" w:cs="Arial"/>
          <w:sz w:val="24"/>
          <w:szCs w:val="24"/>
        </w:rPr>
      </w:pPr>
      <w:r w:rsidRPr="00DA7B40">
        <w:rPr>
          <w:rFonts w:ascii="Arial" w:hAnsi="Arial" w:cs="Arial"/>
          <w:sz w:val="24"/>
          <w:szCs w:val="24"/>
        </w:rPr>
        <w:t>§ 1º A prestação de contas, parcial e final, encaminhada pelo concedente ao Tribunal, deverá ser instruída com o relatório circunstanciado, juntamente com outros documentos exigidos por esta Resol</w:t>
      </w:r>
      <w:r w:rsidR="00EE3053">
        <w:rPr>
          <w:rFonts w:ascii="Arial" w:hAnsi="Arial" w:cs="Arial"/>
          <w:sz w:val="24"/>
          <w:szCs w:val="24"/>
        </w:rPr>
        <w:t>ução e por Instrução Normativa.</w:t>
      </w:r>
    </w:p>
    <w:p w14:paraId="0663AAF4" w14:textId="77777777" w:rsidR="00B125BD" w:rsidRPr="00DA7B40" w:rsidRDefault="00B125BD" w:rsidP="00936C5A">
      <w:pPr>
        <w:spacing w:before="120"/>
        <w:ind w:firstLine="1134"/>
        <w:jc w:val="both"/>
        <w:rPr>
          <w:rFonts w:ascii="Arial" w:hAnsi="Arial" w:cs="Arial"/>
          <w:sz w:val="24"/>
          <w:szCs w:val="24"/>
        </w:rPr>
      </w:pPr>
      <w:r w:rsidRPr="00DA7B40">
        <w:rPr>
          <w:rFonts w:ascii="Arial" w:hAnsi="Arial" w:cs="Arial"/>
          <w:sz w:val="24"/>
          <w:szCs w:val="24"/>
        </w:rPr>
        <w:t>§ 2º Por meio de Instrução de Serviço, o Tribunal poderá fixar um valor mínimo para processamento das prestações de contas de transferência voluntária, sem prejuízo de exame dos dados constantes do SIT, da instauração de tomada de contas, da utilização dos procedimentos de fiscalização previstos no Regimento Interno ou mesmo do processamento da respectiva prestação de contas, a critério do Tribunal.</w:t>
      </w:r>
      <w:r w:rsidR="00AF3F9C">
        <w:rPr>
          <w:rFonts w:ascii="Arial" w:hAnsi="Arial" w:cs="Arial"/>
          <w:sz w:val="24"/>
          <w:szCs w:val="24"/>
        </w:rPr>
        <w:t>”</w:t>
      </w:r>
    </w:p>
    <w:p w14:paraId="38A21600" w14:textId="77777777" w:rsidR="00B125BD" w:rsidRPr="00DA7B40" w:rsidRDefault="00AF3F9C" w:rsidP="00936C5A">
      <w:pPr>
        <w:spacing w:before="120"/>
        <w:ind w:firstLine="1134"/>
        <w:jc w:val="both"/>
        <w:rPr>
          <w:rFonts w:ascii="Arial" w:hAnsi="Arial" w:cs="Arial"/>
          <w:sz w:val="24"/>
          <w:szCs w:val="24"/>
        </w:rPr>
      </w:pPr>
      <w:r>
        <w:rPr>
          <w:rFonts w:ascii="Arial" w:hAnsi="Arial" w:cs="Arial"/>
          <w:sz w:val="24"/>
          <w:szCs w:val="24"/>
          <w:u w:val="single"/>
        </w:rPr>
        <w:t>“</w:t>
      </w:r>
      <w:r w:rsidR="00B125BD" w:rsidRPr="00AF3F9C">
        <w:rPr>
          <w:rFonts w:ascii="Arial" w:hAnsi="Arial" w:cs="Arial"/>
          <w:sz w:val="24"/>
          <w:szCs w:val="24"/>
          <w:u w:val="single"/>
        </w:rPr>
        <w:t>Art. 27.</w:t>
      </w:r>
      <w:r w:rsidR="00B125BD" w:rsidRPr="00DA7B40">
        <w:rPr>
          <w:rFonts w:ascii="Arial" w:hAnsi="Arial" w:cs="Arial"/>
          <w:sz w:val="24"/>
          <w:szCs w:val="24"/>
        </w:rPr>
        <w:t xml:space="preserve"> Não sendo prestadas as contas ou informações devidas pelo tomador, nos prazos estabelecidos e nos termos dispostos nesta Resolução e na Instrução Normativa nº 61/2011, ou verificada a prática de qualquer ato ilegal, ilegítimo ou antieconômico de que resulte dano ao erário, a autoridade administrativa competente do órgão concedente, sob pena de responsabilidade solidária e demais cominações legais, deverá instaurar, dentro de 30 (trinta) dias, a Tomada de Contas Especial, observados o art. 13 da Lei Complementar nº 113/05 e </w:t>
      </w:r>
      <w:proofErr w:type="spellStart"/>
      <w:r w:rsidR="00B125BD" w:rsidRPr="00DA7B40">
        <w:rPr>
          <w:rFonts w:ascii="Arial" w:hAnsi="Arial" w:cs="Arial"/>
          <w:sz w:val="24"/>
          <w:szCs w:val="24"/>
        </w:rPr>
        <w:t>arts</w:t>
      </w:r>
      <w:proofErr w:type="spellEnd"/>
      <w:r w:rsidR="00B125BD" w:rsidRPr="00DA7B40">
        <w:rPr>
          <w:rFonts w:ascii="Arial" w:hAnsi="Arial" w:cs="Arial"/>
          <w:sz w:val="24"/>
          <w:szCs w:val="24"/>
        </w:rPr>
        <w:t>. 233 e 234 do Regimento Interno.</w:t>
      </w:r>
      <w:r>
        <w:rPr>
          <w:rFonts w:ascii="Arial" w:hAnsi="Arial" w:cs="Arial"/>
          <w:sz w:val="24"/>
          <w:szCs w:val="24"/>
        </w:rPr>
        <w:t>”</w:t>
      </w:r>
    </w:p>
    <w:p w14:paraId="3D32E327" w14:textId="77777777" w:rsidR="00EE3053" w:rsidRPr="00DA7B40" w:rsidRDefault="00AF3F9C" w:rsidP="000122D4">
      <w:pPr>
        <w:spacing w:before="120"/>
        <w:ind w:firstLine="1134"/>
        <w:jc w:val="both"/>
        <w:rPr>
          <w:rFonts w:ascii="Arial" w:hAnsi="Arial" w:cs="Arial"/>
          <w:sz w:val="24"/>
          <w:szCs w:val="24"/>
        </w:rPr>
      </w:pPr>
      <w:r>
        <w:rPr>
          <w:rFonts w:ascii="Arial" w:hAnsi="Arial" w:cs="Arial"/>
          <w:sz w:val="24"/>
          <w:szCs w:val="24"/>
          <w:u w:val="single"/>
        </w:rPr>
        <w:t>“</w:t>
      </w:r>
      <w:r w:rsidR="00B125BD" w:rsidRPr="00AF3F9C">
        <w:rPr>
          <w:rFonts w:ascii="Arial" w:hAnsi="Arial" w:cs="Arial"/>
          <w:sz w:val="24"/>
          <w:szCs w:val="24"/>
          <w:u w:val="single"/>
        </w:rPr>
        <w:t>Art. 33.</w:t>
      </w:r>
      <w:r w:rsidR="00B125BD" w:rsidRPr="00DA7B40">
        <w:rPr>
          <w:rFonts w:ascii="Arial" w:hAnsi="Arial" w:cs="Arial"/>
          <w:sz w:val="24"/>
          <w:szCs w:val="24"/>
        </w:rPr>
        <w:t xml:space="preserve"> Ficam dispensados da prestação de contas na forma desta Resolução os recursos públicos destinados ao atendimento da Lei Estadual nº 14.551, de 2 de dezembro de 2004, alusiva ao Programa Estadual de Assistência a Vítimas e a Testemunhas Ameaçadas – PROVITA PARANÁ, e os </w:t>
      </w:r>
      <w:r w:rsidR="00B125BD" w:rsidRPr="00DA7B40">
        <w:rPr>
          <w:rFonts w:ascii="Arial" w:hAnsi="Arial" w:cs="Arial"/>
          <w:sz w:val="24"/>
          <w:szCs w:val="24"/>
        </w:rPr>
        <w:lastRenderedPageBreak/>
        <w:t>destinados ao  Programa de Proteção a Crianças e Adolescentes Ameaçados de Morte</w:t>
      </w:r>
      <w:r w:rsidR="00B63A40">
        <w:rPr>
          <w:rFonts w:ascii="Arial" w:hAnsi="Arial" w:cs="Arial"/>
          <w:sz w:val="24"/>
          <w:szCs w:val="24"/>
        </w:rPr>
        <w:t xml:space="preserve"> </w:t>
      </w:r>
      <w:r w:rsidR="00B125BD" w:rsidRPr="00DA7B40">
        <w:rPr>
          <w:rFonts w:ascii="Arial" w:hAnsi="Arial" w:cs="Arial"/>
          <w:sz w:val="24"/>
          <w:szCs w:val="24"/>
        </w:rPr>
        <w:t>–PPCAAM/PR/SESP, instituído no</w:t>
      </w:r>
      <w:r w:rsidR="00B63A40">
        <w:rPr>
          <w:rFonts w:ascii="Arial" w:hAnsi="Arial" w:cs="Arial"/>
          <w:sz w:val="24"/>
          <w:szCs w:val="24"/>
        </w:rPr>
        <w:t xml:space="preserve">s termos do Decreto Estadual nº 6.489, de 16 de março de </w:t>
      </w:r>
      <w:r w:rsidR="00B125BD" w:rsidRPr="00DA7B40">
        <w:rPr>
          <w:rFonts w:ascii="Arial" w:hAnsi="Arial" w:cs="Arial"/>
          <w:sz w:val="24"/>
          <w:szCs w:val="24"/>
        </w:rPr>
        <w:t xml:space="preserve">2010, sem prejuízo da fiscalização pelo Tribunal de </w:t>
      </w:r>
      <w:r w:rsidR="00E568B9">
        <w:rPr>
          <w:rFonts w:ascii="Arial" w:hAnsi="Arial" w:cs="Arial"/>
          <w:sz w:val="24"/>
          <w:szCs w:val="24"/>
        </w:rPr>
        <w:t>Contas</w:t>
      </w:r>
      <w:r w:rsidR="00B63A40">
        <w:rPr>
          <w:rFonts w:ascii="Arial" w:hAnsi="Arial" w:cs="Arial"/>
          <w:sz w:val="24"/>
          <w:szCs w:val="24"/>
        </w:rPr>
        <w:t>,</w:t>
      </w:r>
      <w:r w:rsidR="00E568B9">
        <w:rPr>
          <w:rFonts w:ascii="Arial" w:hAnsi="Arial" w:cs="Arial"/>
          <w:sz w:val="24"/>
          <w:szCs w:val="24"/>
        </w:rPr>
        <w:t xml:space="preserve"> nos termos do art. 524-</w:t>
      </w:r>
      <w:r w:rsidR="00B125BD" w:rsidRPr="00DA7B40">
        <w:rPr>
          <w:rFonts w:ascii="Arial" w:hAnsi="Arial" w:cs="Arial"/>
          <w:sz w:val="24"/>
          <w:szCs w:val="24"/>
        </w:rPr>
        <w:t>B, do Regimento Interno.</w:t>
      </w:r>
      <w:r>
        <w:rPr>
          <w:rFonts w:ascii="Arial" w:hAnsi="Arial" w:cs="Arial"/>
          <w:sz w:val="24"/>
          <w:szCs w:val="24"/>
        </w:rPr>
        <w:t>”</w:t>
      </w:r>
    </w:p>
    <w:p w14:paraId="6441313F" w14:textId="77777777" w:rsidR="00B125BD" w:rsidRPr="00DA7B40" w:rsidRDefault="00B125BD" w:rsidP="000122D4">
      <w:pPr>
        <w:spacing w:before="120"/>
        <w:ind w:firstLine="1134"/>
        <w:jc w:val="both"/>
        <w:rPr>
          <w:rFonts w:ascii="Arial" w:hAnsi="Arial" w:cs="Arial"/>
          <w:sz w:val="24"/>
          <w:szCs w:val="24"/>
        </w:rPr>
      </w:pPr>
      <w:r w:rsidRPr="00DA7B40">
        <w:rPr>
          <w:rFonts w:ascii="Arial" w:hAnsi="Arial" w:cs="Arial"/>
          <w:b/>
          <w:sz w:val="24"/>
          <w:szCs w:val="24"/>
        </w:rPr>
        <w:t>Art. 3º</w:t>
      </w:r>
      <w:r w:rsidRPr="00DA7B40">
        <w:rPr>
          <w:rFonts w:ascii="Arial" w:hAnsi="Arial" w:cs="Arial"/>
          <w:sz w:val="24"/>
          <w:szCs w:val="24"/>
        </w:rPr>
        <w:t xml:space="preserve"> Ficam incluídos na Resolução 28/</w:t>
      </w:r>
      <w:r w:rsidR="000122D4">
        <w:rPr>
          <w:rFonts w:ascii="Arial" w:hAnsi="Arial" w:cs="Arial"/>
          <w:sz w:val="24"/>
          <w:szCs w:val="24"/>
        </w:rPr>
        <w:t>2011 os seguintes dispositivos:</w:t>
      </w:r>
    </w:p>
    <w:p w14:paraId="340B352C" w14:textId="77777777" w:rsidR="00B125BD" w:rsidRPr="00DA7B40" w:rsidRDefault="00D23CB4" w:rsidP="00936C5A">
      <w:pPr>
        <w:spacing w:before="120"/>
        <w:ind w:firstLine="1134"/>
        <w:jc w:val="both"/>
        <w:rPr>
          <w:rFonts w:ascii="Arial" w:hAnsi="Arial" w:cs="Arial"/>
          <w:sz w:val="24"/>
          <w:szCs w:val="24"/>
        </w:rPr>
      </w:pPr>
      <w:r>
        <w:rPr>
          <w:rFonts w:ascii="Arial" w:hAnsi="Arial" w:cs="Arial"/>
          <w:sz w:val="24"/>
          <w:szCs w:val="24"/>
        </w:rPr>
        <w:t>“</w:t>
      </w:r>
      <w:r w:rsidR="00B125BD" w:rsidRPr="00D23CB4">
        <w:rPr>
          <w:rFonts w:ascii="Arial" w:hAnsi="Arial" w:cs="Arial"/>
          <w:sz w:val="24"/>
          <w:szCs w:val="24"/>
          <w:u w:val="single"/>
        </w:rPr>
        <w:t>Art. 3º</w:t>
      </w:r>
      <w:r>
        <w:rPr>
          <w:rFonts w:ascii="Arial" w:hAnsi="Arial" w:cs="Arial"/>
          <w:sz w:val="24"/>
          <w:szCs w:val="24"/>
        </w:rPr>
        <w:t xml:space="preserve"> ...</w:t>
      </w:r>
    </w:p>
    <w:p w14:paraId="2D03B96B" w14:textId="77777777" w:rsidR="00B125BD" w:rsidRPr="00DA7B40" w:rsidRDefault="00B125BD" w:rsidP="00936C5A">
      <w:pPr>
        <w:spacing w:before="120"/>
        <w:ind w:firstLine="1134"/>
        <w:jc w:val="both"/>
        <w:rPr>
          <w:rFonts w:ascii="Arial" w:hAnsi="Arial" w:cs="Arial"/>
          <w:sz w:val="24"/>
          <w:szCs w:val="24"/>
        </w:rPr>
      </w:pPr>
      <w:r w:rsidRPr="00DA7B40">
        <w:rPr>
          <w:rFonts w:ascii="Arial" w:hAnsi="Arial" w:cs="Arial"/>
          <w:sz w:val="24"/>
          <w:szCs w:val="24"/>
        </w:rPr>
        <w:t>§ 1º As informações deverão ser prestadas por intermédio do SIT a partir da formalização do termo de transferência, ainda que nenhum recurso tenha sido repassado ou que não tenha sido executada qualquer despesa, situações em que o gestor infor</w:t>
      </w:r>
      <w:r w:rsidR="00EE3053">
        <w:rPr>
          <w:rFonts w:ascii="Arial" w:hAnsi="Arial" w:cs="Arial"/>
          <w:sz w:val="24"/>
          <w:szCs w:val="24"/>
        </w:rPr>
        <w:t xml:space="preserve">mará os motivos de tais fatos. </w:t>
      </w:r>
    </w:p>
    <w:p w14:paraId="02ED0EF3" w14:textId="77777777" w:rsidR="00B125BD" w:rsidRPr="00DA7B40" w:rsidRDefault="00B125BD" w:rsidP="00936C5A">
      <w:pPr>
        <w:spacing w:before="120"/>
        <w:ind w:firstLine="1134"/>
        <w:jc w:val="both"/>
        <w:rPr>
          <w:rFonts w:ascii="Arial" w:hAnsi="Arial" w:cs="Arial"/>
          <w:sz w:val="24"/>
          <w:szCs w:val="24"/>
        </w:rPr>
      </w:pPr>
      <w:r w:rsidRPr="00DA7B40">
        <w:rPr>
          <w:rFonts w:ascii="Arial" w:hAnsi="Arial" w:cs="Arial"/>
          <w:sz w:val="24"/>
          <w:szCs w:val="24"/>
        </w:rPr>
        <w:t xml:space="preserve">§ 2º Para utilização do sistema, todas as entidades deverão manter cadastro atualizado, conforme estabelecido no art. 525-B do Regimento Interno, contendo o registro dos gestores e dos servidores encarregados da fiscalização do ato de transferência, que será feito previamente ao ato de </w:t>
      </w:r>
      <w:r w:rsidR="00EE3053">
        <w:rPr>
          <w:rFonts w:ascii="Arial" w:hAnsi="Arial" w:cs="Arial"/>
          <w:sz w:val="24"/>
          <w:szCs w:val="24"/>
        </w:rPr>
        <w:t>transferência, quando possível.</w:t>
      </w:r>
    </w:p>
    <w:p w14:paraId="5B6321EB" w14:textId="77777777" w:rsidR="00B125BD" w:rsidRPr="00DA7B40" w:rsidRDefault="00B125BD" w:rsidP="00936C5A">
      <w:pPr>
        <w:spacing w:before="120"/>
        <w:ind w:firstLine="1134"/>
        <w:jc w:val="both"/>
        <w:rPr>
          <w:rFonts w:ascii="Arial" w:hAnsi="Arial" w:cs="Arial"/>
          <w:sz w:val="24"/>
          <w:szCs w:val="24"/>
        </w:rPr>
      </w:pPr>
      <w:r w:rsidRPr="00DA7B40">
        <w:rPr>
          <w:rFonts w:ascii="Arial" w:hAnsi="Arial" w:cs="Arial"/>
          <w:sz w:val="24"/>
          <w:szCs w:val="24"/>
        </w:rPr>
        <w:t>§ 3º Sem prejuízo das informações coletadas pelo SIT, poderá ser exigido que sejam encaminhados ao Tribunal outros documentos relacionados com a concessão dos recursos ou com a execução do ato d</w:t>
      </w:r>
      <w:r w:rsidR="00D23CB4">
        <w:rPr>
          <w:rFonts w:ascii="Arial" w:hAnsi="Arial" w:cs="Arial"/>
          <w:sz w:val="24"/>
          <w:szCs w:val="24"/>
        </w:rPr>
        <w:t>e transferência.”</w:t>
      </w:r>
    </w:p>
    <w:p w14:paraId="05192392" w14:textId="77777777" w:rsidR="00D23CB4" w:rsidRDefault="00D23CB4" w:rsidP="00936C5A">
      <w:pPr>
        <w:spacing w:before="120"/>
        <w:ind w:firstLine="1134"/>
        <w:jc w:val="both"/>
        <w:rPr>
          <w:rFonts w:ascii="Arial" w:hAnsi="Arial" w:cs="Arial"/>
          <w:sz w:val="24"/>
          <w:szCs w:val="24"/>
        </w:rPr>
      </w:pPr>
      <w:r>
        <w:rPr>
          <w:rFonts w:ascii="Arial" w:hAnsi="Arial" w:cs="Arial"/>
          <w:sz w:val="24"/>
          <w:szCs w:val="24"/>
        </w:rPr>
        <w:t>“</w:t>
      </w:r>
      <w:r w:rsidR="00B125BD" w:rsidRPr="00D23CB4">
        <w:rPr>
          <w:rFonts w:ascii="Arial" w:hAnsi="Arial" w:cs="Arial"/>
          <w:sz w:val="24"/>
          <w:szCs w:val="24"/>
          <w:u w:val="single"/>
        </w:rPr>
        <w:t>Art. 9º</w:t>
      </w:r>
      <w:r w:rsidR="00B125BD" w:rsidRPr="00DA7B40">
        <w:rPr>
          <w:rFonts w:ascii="Arial" w:hAnsi="Arial" w:cs="Arial"/>
          <w:sz w:val="24"/>
          <w:szCs w:val="24"/>
        </w:rPr>
        <w:t xml:space="preserve"> </w:t>
      </w:r>
      <w:r>
        <w:rPr>
          <w:rFonts w:ascii="Arial" w:hAnsi="Arial" w:cs="Arial"/>
          <w:sz w:val="24"/>
          <w:szCs w:val="24"/>
        </w:rPr>
        <w:t>...</w:t>
      </w:r>
    </w:p>
    <w:p w14:paraId="3076516F" w14:textId="77777777" w:rsidR="00B125BD" w:rsidRPr="00DA7B40" w:rsidRDefault="00D23CB4" w:rsidP="00936C5A">
      <w:pPr>
        <w:spacing w:before="120"/>
        <w:ind w:firstLine="1134"/>
        <w:jc w:val="both"/>
        <w:rPr>
          <w:rFonts w:ascii="Arial" w:hAnsi="Arial" w:cs="Arial"/>
          <w:sz w:val="24"/>
          <w:szCs w:val="24"/>
        </w:rPr>
      </w:pPr>
      <w:r>
        <w:rPr>
          <w:rFonts w:ascii="Arial" w:hAnsi="Arial" w:cs="Arial"/>
          <w:sz w:val="24"/>
          <w:szCs w:val="24"/>
        </w:rPr>
        <w:t>...</w:t>
      </w:r>
    </w:p>
    <w:p w14:paraId="461EEE68" w14:textId="77777777" w:rsidR="00B125BD" w:rsidRPr="00DA7B40" w:rsidRDefault="00B125BD" w:rsidP="00936C5A">
      <w:pPr>
        <w:spacing w:before="120"/>
        <w:ind w:firstLine="1134"/>
        <w:jc w:val="both"/>
        <w:rPr>
          <w:rFonts w:ascii="Arial" w:hAnsi="Arial" w:cs="Arial"/>
          <w:sz w:val="24"/>
          <w:szCs w:val="24"/>
        </w:rPr>
      </w:pPr>
      <w:r w:rsidRPr="00DA7B40">
        <w:rPr>
          <w:rFonts w:ascii="Arial" w:hAnsi="Arial" w:cs="Arial"/>
          <w:sz w:val="24"/>
          <w:szCs w:val="24"/>
        </w:rPr>
        <w:t>XIII - transferência de recursos para a contratação de pessoal em substituição ao quadro de servidores do concedente sem a realização do concurso público</w:t>
      </w:r>
      <w:r w:rsidR="00E25054" w:rsidRPr="00DA7B40">
        <w:rPr>
          <w:rFonts w:ascii="Arial" w:hAnsi="Arial" w:cs="Arial"/>
          <w:sz w:val="24"/>
          <w:szCs w:val="24"/>
        </w:rPr>
        <w:t>,</w:t>
      </w:r>
      <w:r w:rsidRPr="00DA7B40">
        <w:rPr>
          <w:rFonts w:ascii="Arial" w:hAnsi="Arial" w:cs="Arial"/>
          <w:sz w:val="24"/>
          <w:szCs w:val="24"/>
        </w:rPr>
        <w:t xml:space="preserve"> nos termos do art. 37</w:t>
      </w:r>
      <w:r w:rsidR="00EE3053">
        <w:rPr>
          <w:rFonts w:ascii="Arial" w:hAnsi="Arial" w:cs="Arial"/>
          <w:sz w:val="24"/>
          <w:szCs w:val="24"/>
        </w:rPr>
        <w:t xml:space="preserve">, II, da Constituição Federal; </w:t>
      </w:r>
    </w:p>
    <w:p w14:paraId="2BACF8E1" w14:textId="77777777" w:rsidR="00B125BD" w:rsidRPr="00DA7B40" w:rsidRDefault="00B125BD" w:rsidP="00936C5A">
      <w:pPr>
        <w:spacing w:before="120"/>
        <w:ind w:firstLine="1134"/>
        <w:jc w:val="both"/>
        <w:rPr>
          <w:rFonts w:ascii="Arial" w:hAnsi="Arial" w:cs="Arial"/>
          <w:sz w:val="24"/>
          <w:szCs w:val="24"/>
        </w:rPr>
      </w:pPr>
      <w:r w:rsidRPr="00DA7B40">
        <w:rPr>
          <w:rFonts w:ascii="Arial" w:hAnsi="Arial" w:cs="Arial"/>
          <w:sz w:val="24"/>
          <w:szCs w:val="24"/>
        </w:rPr>
        <w:t>XIV – transferência de recursos para a contratação de serviços, compras ou execução de obras, em atendimento às demandas de manutenção e expansão do patrimônio do concedente sem a realização do devido processo licitatório</w:t>
      </w:r>
      <w:r w:rsidR="00E25054" w:rsidRPr="00DA7B40">
        <w:rPr>
          <w:rFonts w:ascii="Arial" w:hAnsi="Arial" w:cs="Arial"/>
          <w:sz w:val="24"/>
          <w:szCs w:val="24"/>
        </w:rPr>
        <w:t>,</w:t>
      </w:r>
      <w:r w:rsidRPr="00DA7B40">
        <w:rPr>
          <w:rFonts w:ascii="Arial" w:hAnsi="Arial" w:cs="Arial"/>
          <w:sz w:val="24"/>
          <w:szCs w:val="24"/>
        </w:rPr>
        <w:t xml:space="preserve"> nos termos do art. 3</w:t>
      </w:r>
      <w:r w:rsidR="00BA21E3">
        <w:rPr>
          <w:rFonts w:ascii="Arial" w:hAnsi="Arial" w:cs="Arial"/>
          <w:sz w:val="24"/>
          <w:szCs w:val="24"/>
        </w:rPr>
        <w:t>7, XXI, da Constituição Federal.</w:t>
      </w:r>
      <w:r w:rsidR="00D23CB4">
        <w:rPr>
          <w:rFonts w:ascii="Arial" w:hAnsi="Arial" w:cs="Arial"/>
          <w:sz w:val="24"/>
          <w:szCs w:val="24"/>
        </w:rPr>
        <w:t>”</w:t>
      </w:r>
      <w:r w:rsidR="00EE3053">
        <w:rPr>
          <w:rFonts w:ascii="Arial" w:hAnsi="Arial" w:cs="Arial"/>
          <w:sz w:val="24"/>
          <w:szCs w:val="24"/>
        </w:rPr>
        <w:t xml:space="preserve"> </w:t>
      </w:r>
    </w:p>
    <w:p w14:paraId="25D49533" w14:textId="77777777" w:rsidR="0092784B" w:rsidRDefault="0092784B" w:rsidP="00936C5A">
      <w:pPr>
        <w:spacing w:before="120"/>
        <w:ind w:firstLine="1134"/>
        <w:jc w:val="both"/>
        <w:rPr>
          <w:rFonts w:ascii="Arial" w:hAnsi="Arial" w:cs="Arial"/>
          <w:sz w:val="24"/>
          <w:szCs w:val="24"/>
        </w:rPr>
      </w:pPr>
      <w:r>
        <w:rPr>
          <w:rFonts w:ascii="Arial" w:hAnsi="Arial" w:cs="Arial"/>
          <w:sz w:val="24"/>
          <w:szCs w:val="24"/>
          <w:u w:val="single"/>
        </w:rPr>
        <w:t>“</w:t>
      </w:r>
      <w:r w:rsidRPr="0092784B">
        <w:rPr>
          <w:rFonts w:ascii="Arial" w:hAnsi="Arial" w:cs="Arial"/>
          <w:sz w:val="24"/>
          <w:szCs w:val="24"/>
          <w:u w:val="single"/>
        </w:rPr>
        <w:t>Art. 21</w:t>
      </w:r>
      <w:r>
        <w:rPr>
          <w:rFonts w:ascii="Arial" w:hAnsi="Arial" w:cs="Arial"/>
          <w:sz w:val="24"/>
          <w:szCs w:val="24"/>
        </w:rPr>
        <w:t>. ...</w:t>
      </w:r>
    </w:p>
    <w:p w14:paraId="676C879D" w14:textId="77777777" w:rsidR="00B125BD" w:rsidRPr="00DA7B40" w:rsidRDefault="0092784B" w:rsidP="00936C5A">
      <w:pPr>
        <w:spacing w:before="120"/>
        <w:ind w:firstLine="1134"/>
        <w:jc w:val="both"/>
        <w:rPr>
          <w:rFonts w:ascii="Arial" w:hAnsi="Arial" w:cs="Arial"/>
          <w:sz w:val="24"/>
          <w:szCs w:val="24"/>
        </w:rPr>
      </w:pPr>
      <w:r>
        <w:rPr>
          <w:rFonts w:ascii="Arial" w:hAnsi="Arial" w:cs="Arial"/>
          <w:sz w:val="24"/>
          <w:szCs w:val="24"/>
        </w:rPr>
        <w:t>...</w:t>
      </w:r>
    </w:p>
    <w:p w14:paraId="499B73D1" w14:textId="77777777" w:rsidR="00B125BD" w:rsidRPr="00DA7B40" w:rsidRDefault="00B125BD" w:rsidP="00936C5A">
      <w:pPr>
        <w:spacing w:before="120"/>
        <w:ind w:firstLine="1134"/>
        <w:jc w:val="both"/>
        <w:rPr>
          <w:rFonts w:ascii="Arial" w:hAnsi="Arial" w:cs="Arial"/>
          <w:sz w:val="24"/>
          <w:szCs w:val="24"/>
        </w:rPr>
      </w:pPr>
      <w:r w:rsidRPr="00DA7B40">
        <w:rPr>
          <w:rFonts w:ascii="Arial" w:hAnsi="Arial" w:cs="Arial"/>
          <w:sz w:val="24"/>
          <w:szCs w:val="24"/>
        </w:rPr>
        <w:t xml:space="preserve">VI - Relatório Circunstanciado Sobre a Execução do Objeto da Transferência, </w:t>
      </w:r>
      <w:r w:rsidR="00EE3053">
        <w:rPr>
          <w:rFonts w:ascii="Arial" w:hAnsi="Arial" w:cs="Arial"/>
          <w:sz w:val="24"/>
          <w:szCs w:val="24"/>
        </w:rPr>
        <w:t xml:space="preserve">contendo no mínimo o seguinte: </w:t>
      </w:r>
    </w:p>
    <w:p w14:paraId="6BB6F456" w14:textId="77777777" w:rsidR="00B125BD" w:rsidRPr="00DA7B40" w:rsidRDefault="00B125BD" w:rsidP="00936C5A">
      <w:pPr>
        <w:spacing w:before="120"/>
        <w:ind w:firstLine="1134"/>
        <w:jc w:val="both"/>
        <w:rPr>
          <w:rFonts w:ascii="Arial" w:hAnsi="Arial" w:cs="Arial"/>
          <w:sz w:val="24"/>
          <w:szCs w:val="24"/>
        </w:rPr>
      </w:pPr>
      <w:r w:rsidRPr="00DA7B40">
        <w:rPr>
          <w:rFonts w:ascii="Arial" w:hAnsi="Arial" w:cs="Arial"/>
          <w:sz w:val="24"/>
          <w:szCs w:val="24"/>
        </w:rPr>
        <w:t>a) histórico de acompanhamento da execução do termo de transferência, apontando eventuais suspensões de repasse, a motivação das suspensões e a</w:t>
      </w:r>
      <w:r w:rsidR="00EE3053">
        <w:rPr>
          <w:rFonts w:ascii="Arial" w:hAnsi="Arial" w:cs="Arial"/>
          <w:sz w:val="24"/>
          <w:szCs w:val="24"/>
        </w:rPr>
        <w:t xml:space="preserve">s medidas saneadoras adotadas; </w:t>
      </w:r>
    </w:p>
    <w:p w14:paraId="64C87828" w14:textId="77777777" w:rsidR="00B125BD" w:rsidRPr="00DA7B40" w:rsidRDefault="00B125BD" w:rsidP="00936C5A">
      <w:pPr>
        <w:spacing w:before="120"/>
        <w:ind w:firstLine="1134"/>
        <w:jc w:val="both"/>
        <w:rPr>
          <w:rFonts w:ascii="Arial" w:hAnsi="Arial" w:cs="Arial"/>
          <w:sz w:val="24"/>
          <w:szCs w:val="24"/>
        </w:rPr>
      </w:pPr>
      <w:r w:rsidRPr="00DA7B40">
        <w:rPr>
          <w:rFonts w:ascii="Arial" w:hAnsi="Arial" w:cs="Arial"/>
          <w:sz w:val="24"/>
          <w:szCs w:val="24"/>
        </w:rPr>
        <w:t>b) manifestação conclusiva do órgão concedente sobre a regularidade da aplicação dos recursos, considerando o cumprimento dos objetivos e das metas, a observância às normas legais e regulamentares pertinentes e às cláusulas pactuadas</w:t>
      </w:r>
      <w:r w:rsidR="00E25054" w:rsidRPr="00DA7B40">
        <w:rPr>
          <w:rFonts w:ascii="Arial" w:hAnsi="Arial" w:cs="Arial"/>
          <w:sz w:val="24"/>
          <w:szCs w:val="24"/>
        </w:rPr>
        <w:t>;</w:t>
      </w:r>
    </w:p>
    <w:p w14:paraId="79B68C8A" w14:textId="77777777" w:rsidR="00B125BD" w:rsidRPr="00DA7B40" w:rsidRDefault="00B125BD" w:rsidP="00936C5A">
      <w:pPr>
        <w:spacing w:before="120"/>
        <w:ind w:firstLine="1134"/>
        <w:jc w:val="both"/>
        <w:rPr>
          <w:rFonts w:ascii="Arial" w:hAnsi="Arial" w:cs="Arial"/>
          <w:sz w:val="24"/>
          <w:szCs w:val="24"/>
        </w:rPr>
      </w:pPr>
      <w:r w:rsidRPr="00DA7B40">
        <w:rPr>
          <w:rFonts w:ascii="Arial" w:hAnsi="Arial" w:cs="Arial"/>
          <w:sz w:val="24"/>
          <w:szCs w:val="24"/>
        </w:rPr>
        <w:t>c) a qualidade do serviço prestado ou da obra execut</w:t>
      </w:r>
      <w:r w:rsidR="00EE3053">
        <w:rPr>
          <w:rFonts w:ascii="Arial" w:hAnsi="Arial" w:cs="Arial"/>
          <w:sz w:val="24"/>
          <w:szCs w:val="24"/>
        </w:rPr>
        <w:t>ada; e</w:t>
      </w:r>
    </w:p>
    <w:p w14:paraId="6B3A8D8E" w14:textId="77777777" w:rsidR="00B125BD" w:rsidRPr="00DA7B40" w:rsidRDefault="00B125BD" w:rsidP="00936C5A">
      <w:pPr>
        <w:spacing w:before="120"/>
        <w:ind w:firstLine="1134"/>
        <w:jc w:val="both"/>
        <w:rPr>
          <w:rFonts w:ascii="Arial" w:hAnsi="Arial" w:cs="Arial"/>
          <w:sz w:val="24"/>
          <w:szCs w:val="24"/>
        </w:rPr>
      </w:pPr>
      <w:r w:rsidRPr="00DA7B40">
        <w:rPr>
          <w:rFonts w:ascii="Arial" w:hAnsi="Arial" w:cs="Arial"/>
          <w:sz w:val="24"/>
          <w:szCs w:val="24"/>
        </w:rPr>
        <w:lastRenderedPageBreak/>
        <w:t>d) a avaliação das metas e dos resultados estabelecidos pelo termo de transferência, contendo um comparativo analítico entre a situação anterior e a posterior à celebração do termo.</w:t>
      </w:r>
      <w:r w:rsidR="0092784B">
        <w:rPr>
          <w:rFonts w:ascii="Arial" w:hAnsi="Arial" w:cs="Arial"/>
          <w:sz w:val="24"/>
          <w:szCs w:val="24"/>
        </w:rPr>
        <w:t>”</w:t>
      </w:r>
      <w:r w:rsidR="00EE3053">
        <w:rPr>
          <w:rFonts w:ascii="Arial" w:hAnsi="Arial" w:cs="Arial"/>
          <w:sz w:val="24"/>
          <w:szCs w:val="24"/>
        </w:rPr>
        <w:t xml:space="preserve"> </w:t>
      </w:r>
    </w:p>
    <w:p w14:paraId="40557181" w14:textId="77777777" w:rsidR="0092784B" w:rsidRDefault="0092784B" w:rsidP="00936C5A">
      <w:pPr>
        <w:spacing w:before="120"/>
        <w:ind w:firstLine="1134"/>
        <w:jc w:val="both"/>
        <w:rPr>
          <w:rFonts w:ascii="Arial" w:hAnsi="Arial" w:cs="Arial"/>
          <w:sz w:val="24"/>
          <w:szCs w:val="24"/>
        </w:rPr>
      </w:pPr>
      <w:r>
        <w:rPr>
          <w:rFonts w:ascii="Arial" w:hAnsi="Arial" w:cs="Arial"/>
          <w:sz w:val="24"/>
          <w:szCs w:val="24"/>
          <w:u w:val="single"/>
        </w:rPr>
        <w:t>“</w:t>
      </w:r>
      <w:r w:rsidR="00B125BD" w:rsidRPr="0092784B">
        <w:rPr>
          <w:rFonts w:ascii="Arial" w:hAnsi="Arial" w:cs="Arial"/>
          <w:sz w:val="24"/>
          <w:szCs w:val="24"/>
          <w:u w:val="single"/>
        </w:rPr>
        <w:t>Art. 25</w:t>
      </w:r>
      <w:r>
        <w:rPr>
          <w:rFonts w:ascii="Arial" w:hAnsi="Arial" w:cs="Arial"/>
          <w:sz w:val="24"/>
          <w:szCs w:val="24"/>
        </w:rPr>
        <w:t>. ...</w:t>
      </w:r>
    </w:p>
    <w:p w14:paraId="28F03184" w14:textId="77777777" w:rsidR="00B125BD" w:rsidRPr="00DA7B40" w:rsidRDefault="0092784B" w:rsidP="00936C5A">
      <w:pPr>
        <w:spacing w:before="120"/>
        <w:ind w:firstLine="1134"/>
        <w:jc w:val="both"/>
        <w:rPr>
          <w:rFonts w:ascii="Arial" w:hAnsi="Arial" w:cs="Arial"/>
          <w:sz w:val="24"/>
          <w:szCs w:val="24"/>
        </w:rPr>
      </w:pPr>
      <w:r>
        <w:rPr>
          <w:rFonts w:ascii="Arial" w:hAnsi="Arial" w:cs="Arial"/>
          <w:sz w:val="24"/>
          <w:szCs w:val="24"/>
        </w:rPr>
        <w:t>...</w:t>
      </w:r>
    </w:p>
    <w:p w14:paraId="21A84BA7" w14:textId="77777777" w:rsidR="00B125BD" w:rsidRPr="00DA7B40" w:rsidRDefault="00B125BD" w:rsidP="000122D4">
      <w:pPr>
        <w:spacing w:before="120"/>
        <w:ind w:firstLine="1134"/>
        <w:jc w:val="both"/>
        <w:rPr>
          <w:rFonts w:ascii="Arial" w:hAnsi="Arial" w:cs="Arial"/>
          <w:sz w:val="24"/>
          <w:szCs w:val="24"/>
        </w:rPr>
      </w:pPr>
      <w:r w:rsidRPr="00DA7B40">
        <w:rPr>
          <w:rFonts w:ascii="Arial" w:hAnsi="Arial" w:cs="Arial"/>
          <w:sz w:val="24"/>
          <w:szCs w:val="24"/>
        </w:rPr>
        <w:t>§ 3º A remessa de informações por meio do SIT corresponde à prestação de contas para o fim de aplicação das sanções dispostas na Lei Complementar Estadual nº 113/2005, sem prejuízo da possibilidade de adoção de medidas acautelatórias, instrutórias e sancionatórias, na forma do disposto no artigo 24.</w:t>
      </w:r>
      <w:r w:rsidR="0092784B">
        <w:rPr>
          <w:rFonts w:ascii="Arial" w:hAnsi="Arial" w:cs="Arial"/>
          <w:sz w:val="24"/>
          <w:szCs w:val="24"/>
        </w:rPr>
        <w:t>”</w:t>
      </w:r>
      <w:r w:rsidR="000122D4">
        <w:rPr>
          <w:rFonts w:ascii="Arial" w:hAnsi="Arial" w:cs="Arial"/>
          <w:sz w:val="24"/>
          <w:szCs w:val="24"/>
        </w:rPr>
        <w:t xml:space="preserve"> </w:t>
      </w:r>
    </w:p>
    <w:p w14:paraId="506B1012" w14:textId="77777777" w:rsidR="000122D4" w:rsidRDefault="0092784B" w:rsidP="000122D4">
      <w:pPr>
        <w:spacing w:before="120"/>
        <w:ind w:firstLine="1134"/>
        <w:jc w:val="both"/>
        <w:rPr>
          <w:rFonts w:ascii="Arial" w:hAnsi="Arial" w:cs="Arial"/>
          <w:sz w:val="24"/>
          <w:szCs w:val="24"/>
        </w:rPr>
      </w:pPr>
      <w:r>
        <w:rPr>
          <w:rFonts w:ascii="Arial" w:hAnsi="Arial" w:cs="Arial"/>
          <w:sz w:val="24"/>
          <w:szCs w:val="24"/>
          <w:u w:val="single"/>
        </w:rPr>
        <w:t>“</w:t>
      </w:r>
      <w:r w:rsidR="00B125BD" w:rsidRPr="0092784B">
        <w:rPr>
          <w:rFonts w:ascii="Arial" w:hAnsi="Arial" w:cs="Arial"/>
          <w:sz w:val="24"/>
          <w:szCs w:val="24"/>
          <w:u w:val="single"/>
        </w:rPr>
        <w:t>Art. 26-A</w:t>
      </w:r>
      <w:r w:rsidRPr="0092784B">
        <w:rPr>
          <w:rFonts w:ascii="Arial" w:hAnsi="Arial" w:cs="Arial"/>
          <w:sz w:val="24"/>
          <w:szCs w:val="24"/>
          <w:u w:val="single"/>
        </w:rPr>
        <w:t>.</w:t>
      </w:r>
      <w:r w:rsidR="00B125BD" w:rsidRPr="00DA7B40">
        <w:rPr>
          <w:rFonts w:ascii="Arial" w:hAnsi="Arial" w:cs="Arial"/>
          <w:sz w:val="24"/>
          <w:szCs w:val="24"/>
        </w:rPr>
        <w:t xml:space="preserve"> Para efeito desta Resolução</w:t>
      </w:r>
      <w:r w:rsidR="00E25054" w:rsidRPr="00DA7B40">
        <w:rPr>
          <w:rFonts w:ascii="Arial" w:hAnsi="Arial" w:cs="Arial"/>
          <w:sz w:val="24"/>
          <w:szCs w:val="24"/>
        </w:rPr>
        <w:t>,</w:t>
      </w:r>
      <w:r w:rsidR="00B125BD" w:rsidRPr="00DA7B40">
        <w:rPr>
          <w:rFonts w:ascii="Arial" w:hAnsi="Arial" w:cs="Arial"/>
          <w:sz w:val="24"/>
          <w:szCs w:val="24"/>
        </w:rPr>
        <w:t xml:space="preserve"> considera-se Tomada de Contas o procedimento excepcional com a finalidade de apurar omissões, desvios, desfalques, fraudes ou a prática de qualquer ato ileg</w:t>
      </w:r>
      <w:r w:rsidR="00EE3053">
        <w:rPr>
          <w:rFonts w:ascii="Arial" w:hAnsi="Arial" w:cs="Arial"/>
          <w:sz w:val="24"/>
          <w:szCs w:val="24"/>
        </w:rPr>
        <w:t>al, ilegítimo ou antieconômico.</w:t>
      </w:r>
    </w:p>
    <w:p w14:paraId="36546A8A" w14:textId="77777777" w:rsidR="00B125BD" w:rsidRPr="00DA7B40" w:rsidRDefault="00B125BD" w:rsidP="000122D4">
      <w:pPr>
        <w:spacing w:before="120"/>
        <w:ind w:firstLine="1134"/>
        <w:jc w:val="both"/>
        <w:rPr>
          <w:rFonts w:ascii="Arial" w:hAnsi="Arial" w:cs="Arial"/>
          <w:sz w:val="24"/>
          <w:szCs w:val="24"/>
        </w:rPr>
      </w:pPr>
      <w:r w:rsidRPr="00DA7B40">
        <w:rPr>
          <w:rFonts w:ascii="Arial" w:hAnsi="Arial" w:cs="Arial"/>
          <w:sz w:val="24"/>
          <w:szCs w:val="24"/>
        </w:rPr>
        <w:t>Parágrafo Único. Uma vez instaurado o processo de Tomada de Contas, configuradas as hipóteses do art. 116, § 3°, da Lei n° 8.666/1993, do art. 25, § 1°, a, da Lei Complementar n° 101/2000, do art. 139 da Lei Estadual n° 15.608/2007 e demais disposições da legislação dos municípios, deverão ser suspensos os repasses ao tomador, sob pena de responsabilização solidária da autoridade administrativa responsável do concedente que não o fizer, nos termos dos artigos 13 e 14 da Lei Complementar nº 113/</w:t>
      </w:r>
      <w:r w:rsidR="008C204A">
        <w:rPr>
          <w:rFonts w:ascii="Arial" w:hAnsi="Arial" w:cs="Arial"/>
          <w:sz w:val="24"/>
          <w:szCs w:val="24"/>
        </w:rPr>
        <w:t>20</w:t>
      </w:r>
      <w:r w:rsidRPr="00DA7B40">
        <w:rPr>
          <w:rFonts w:ascii="Arial" w:hAnsi="Arial" w:cs="Arial"/>
          <w:sz w:val="24"/>
          <w:szCs w:val="24"/>
        </w:rPr>
        <w:t>05 do Tribunal de Contas do Estado do Paraná, respeitado o devido processo legal e ressalvada a possibilidade de concessão liminar da medida de suspensão de repasse, nos termos do art</w:t>
      </w:r>
      <w:r w:rsidR="008C204A">
        <w:rPr>
          <w:rFonts w:ascii="Arial" w:hAnsi="Arial" w:cs="Arial"/>
          <w:sz w:val="24"/>
          <w:szCs w:val="24"/>
        </w:rPr>
        <w:t>.</w:t>
      </w:r>
      <w:r w:rsidRPr="00DA7B40">
        <w:rPr>
          <w:rFonts w:ascii="Arial" w:hAnsi="Arial" w:cs="Arial"/>
          <w:sz w:val="24"/>
          <w:szCs w:val="24"/>
        </w:rPr>
        <w:t xml:space="preserve"> 53 da Lei Complementar nº 113/05 e do artigo 400 do Regimento Interno da Corte de Contas.</w:t>
      </w:r>
      <w:r w:rsidR="0092784B">
        <w:rPr>
          <w:rFonts w:ascii="Arial" w:hAnsi="Arial" w:cs="Arial"/>
          <w:sz w:val="24"/>
          <w:szCs w:val="24"/>
        </w:rPr>
        <w:t>”</w:t>
      </w:r>
    </w:p>
    <w:p w14:paraId="5F880E77" w14:textId="77777777" w:rsidR="00B125BD" w:rsidRPr="00DA7B40" w:rsidRDefault="0092784B" w:rsidP="00936C5A">
      <w:pPr>
        <w:spacing w:before="120"/>
        <w:ind w:firstLine="1134"/>
        <w:jc w:val="both"/>
        <w:rPr>
          <w:rFonts w:ascii="Arial" w:hAnsi="Arial" w:cs="Arial"/>
          <w:sz w:val="24"/>
          <w:szCs w:val="24"/>
        </w:rPr>
      </w:pPr>
      <w:r>
        <w:rPr>
          <w:rFonts w:ascii="Arial" w:hAnsi="Arial" w:cs="Arial"/>
          <w:sz w:val="24"/>
          <w:szCs w:val="24"/>
        </w:rPr>
        <w:t>“</w:t>
      </w:r>
      <w:r w:rsidR="00B125BD" w:rsidRPr="0092784B">
        <w:rPr>
          <w:rFonts w:ascii="Arial" w:hAnsi="Arial" w:cs="Arial"/>
          <w:sz w:val="24"/>
          <w:szCs w:val="24"/>
          <w:u w:val="single"/>
        </w:rPr>
        <w:t>Art. 27</w:t>
      </w:r>
      <w:r>
        <w:rPr>
          <w:rFonts w:ascii="Arial" w:hAnsi="Arial" w:cs="Arial"/>
          <w:sz w:val="24"/>
          <w:szCs w:val="24"/>
        </w:rPr>
        <w:t>. ...</w:t>
      </w:r>
    </w:p>
    <w:p w14:paraId="019FDF60" w14:textId="77777777" w:rsidR="00B125BD" w:rsidRPr="00DA7B40" w:rsidRDefault="00B125BD" w:rsidP="00936C5A">
      <w:pPr>
        <w:spacing w:before="120"/>
        <w:ind w:firstLine="1134"/>
        <w:jc w:val="both"/>
        <w:rPr>
          <w:rFonts w:ascii="Arial" w:hAnsi="Arial" w:cs="Arial"/>
          <w:sz w:val="24"/>
          <w:szCs w:val="24"/>
        </w:rPr>
      </w:pPr>
      <w:r w:rsidRPr="00DA7B40">
        <w:rPr>
          <w:rFonts w:ascii="Arial" w:hAnsi="Arial" w:cs="Arial"/>
          <w:sz w:val="24"/>
          <w:szCs w:val="24"/>
        </w:rPr>
        <w:t>§ 1º Instaurada a Tomada de Contas Especial, o concedente dos recursos deverá comunicar imediatamente ao Tribunal de Contas</w:t>
      </w:r>
      <w:r w:rsidR="008C204A">
        <w:rPr>
          <w:rFonts w:ascii="Arial" w:hAnsi="Arial" w:cs="Arial"/>
          <w:sz w:val="24"/>
          <w:szCs w:val="24"/>
        </w:rPr>
        <w:t>,</w:t>
      </w:r>
      <w:r w:rsidRPr="00DA7B40">
        <w:rPr>
          <w:rFonts w:ascii="Arial" w:hAnsi="Arial" w:cs="Arial"/>
          <w:sz w:val="24"/>
          <w:szCs w:val="24"/>
        </w:rPr>
        <w:t xml:space="preserve"> informando os dados do r</w:t>
      </w:r>
      <w:r w:rsidR="00EE3053">
        <w:rPr>
          <w:rFonts w:ascii="Arial" w:hAnsi="Arial" w:cs="Arial"/>
          <w:sz w:val="24"/>
          <w:szCs w:val="24"/>
        </w:rPr>
        <w:t xml:space="preserve">espectivo procedimento no SIT. </w:t>
      </w:r>
    </w:p>
    <w:p w14:paraId="6D4907D1" w14:textId="77777777" w:rsidR="00B125BD" w:rsidRPr="00DA7B40" w:rsidRDefault="00B125BD" w:rsidP="00936C5A">
      <w:pPr>
        <w:spacing w:before="120"/>
        <w:ind w:firstLine="1134"/>
        <w:jc w:val="both"/>
        <w:rPr>
          <w:rFonts w:ascii="Arial" w:hAnsi="Arial" w:cs="Arial"/>
          <w:sz w:val="24"/>
          <w:szCs w:val="24"/>
        </w:rPr>
      </w:pPr>
      <w:r w:rsidRPr="00DA7B40">
        <w:rPr>
          <w:rFonts w:ascii="Arial" w:hAnsi="Arial" w:cs="Arial"/>
          <w:sz w:val="24"/>
          <w:szCs w:val="24"/>
        </w:rPr>
        <w:t xml:space="preserve">§ 2º Os responsáveis pelo controle interno e o fiscal da transferência, ao tomarem conhecimento de ocorrência de irregularidades, deverão alertar formalmente a autoridade administrativa competente para a instauração da tomada de contas, sob pena </w:t>
      </w:r>
      <w:r w:rsidR="00EE3053">
        <w:rPr>
          <w:rFonts w:ascii="Arial" w:hAnsi="Arial" w:cs="Arial"/>
          <w:sz w:val="24"/>
          <w:szCs w:val="24"/>
        </w:rPr>
        <w:t xml:space="preserve">de responsabilidade solidária. </w:t>
      </w:r>
    </w:p>
    <w:p w14:paraId="25BDC1A2" w14:textId="77777777" w:rsidR="00B125BD" w:rsidRPr="00DA7B40" w:rsidRDefault="00B125BD" w:rsidP="00936C5A">
      <w:pPr>
        <w:spacing w:before="120"/>
        <w:ind w:firstLine="1134"/>
        <w:jc w:val="both"/>
        <w:rPr>
          <w:rFonts w:ascii="Arial" w:hAnsi="Arial" w:cs="Arial"/>
          <w:sz w:val="24"/>
          <w:szCs w:val="24"/>
        </w:rPr>
      </w:pPr>
      <w:r w:rsidRPr="00DA7B40">
        <w:rPr>
          <w:rFonts w:ascii="Arial" w:hAnsi="Arial" w:cs="Arial"/>
          <w:sz w:val="24"/>
          <w:szCs w:val="24"/>
        </w:rPr>
        <w:t xml:space="preserve">§ 3º Se não atendido o processo administrativo, os conhecedores da irregularidade deverão encaminhar representação ao Tribunal de Contas, sob pena </w:t>
      </w:r>
      <w:r w:rsidR="00EE3053">
        <w:rPr>
          <w:rFonts w:ascii="Arial" w:hAnsi="Arial" w:cs="Arial"/>
          <w:sz w:val="24"/>
          <w:szCs w:val="24"/>
        </w:rPr>
        <w:t xml:space="preserve">de responsabilidade solidária. </w:t>
      </w:r>
    </w:p>
    <w:p w14:paraId="7BBA27A9" w14:textId="77777777" w:rsidR="0092784B" w:rsidRPr="00DA7B40" w:rsidRDefault="00B125BD" w:rsidP="00936C5A">
      <w:pPr>
        <w:spacing w:before="120"/>
        <w:ind w:firstLine="1134"/>
        <w:jc w:val="both"/>
        <w:rPr>
          <w:rFonts w:ascii="Arial" w:hAnsi="Arial" w:cs="Arial"/>
          <w:sz w:val="24"/>
          <w:szCs w:val="24"/>
        </w:rPr>
      </w:pPr>
      <w:r w:rsidRPr="00DA7B40">
        <w:rPr>
          <w:rFonts w:ascii="Arial" w:hAnsi="Arial" w:cs="Arial"/>
          <w:sz w:val="24"/>
          <w:szCs w:val="24"/>
        </w:rPr>
        <w:t>§ 4º Os procedimentos das tomadas de contas serão objeto de regulam</w:t>
      </w:r>
      <w:r w:rsidR="0092784B">
        <w:rPr>
          <w:rFonts w:ascii="Arial" w:hAnsi="Arial" w:cs="Arial"/>
          <w:sz w:val="24"/>
          <w:szCs w:val="24"/>
        </w:rPr>
        <w:t>entação em Instrução Normativa.”</w:t>
      </w:r>
    </w:p>
    <w:p w14:paraId="2F9066FF" w14:textId="77777777" w:rsidR="00B125BD" w:rsidRPr="00DA7B40" w:rsidRDefault="0092784B" w:rsidP="00936C5A">
      <w:pPr>
        <w:spacing w:before="120"/>
        <w:ind w:firstLine="1134"/>
        <w:jc w:val="both"/>
        <w:rPr>
          <w:rFonts w:ascii="Arial" w:hAnsi="Arial" w:cs="Arial"/>
          <w:sz w:val="24"/>
          <w:szCs w:val="24"/>
        </w:rPr>
      </w:pPr>
      <w:r>
        <w:rPr>
          <w:rFonts w:ascii="Arial" w:hAnsi="Arial" w:cs="Arial"/>
          <w:sz w:val="24"/>
          <w:szCs w:val="24"/>
          <w:u w:val="single"/>
        </w:rPr>
        <w:t>“</w:t>
      </w:r>
      <w:r w:rsidR="00B125BD" w:rsidRPr="0092784B">
        <w:rPr>
          <w:rFonts w:ascii="Arial" w:hAnsi="Arial" w:cs="Arial"/>
          <w:sz w:val="24"/>
          <w:szCs w:val="24"/>
          <w:u w:val="single"/>
        </w:rPr>
        <w:t>Art. 31</w:t>
      </w:r>
      <w:r>
        <w:rPr>
          <w:rFonts w:ascii="Arial" w:hAnsi="Arial" w:cs="Arial"/>
          <w:sz w:val="24"/>
          <w:szCs w:val="24"/>
        </w:rPr>
        <w:t>. ...</w:t>
      </w:r>
    </w:p>
    <w:p w14:paraId="51CC0DFE" w14:textId="77777777" w:rsidR="00B125BD" w:rsidRPr="00DA7B40" w:rsidRDefault="00B125BD" w:rsidP="00936C5A">
      <w:pPr>
        <w:spacing w:before="120"/>
        <w:ind w:firstLine="1134"/>
        <w:jc w:val="both"/>
        <w:rPr>
          <w:rFonts w:ascii="Arial" w:hAnsi="Arial" w:cs="Arial"/>
          <w:sz w:val="24"/>
          <w:szCs w:val="24"/>
        </w:rPr>
      </w:pPr>
      <w:r w:rsidRPr="00DA7B40">
        <w:rPr>
          <w:rFonts w:ascii="Arial" w:hAnsi="Arial" w:cs="Arial"/>
          <w:sz w:val="24"/>
          <w:szCs w:val="24"/>
        </w:rPr>
        <w:t xml:space="preserve">§ 1º Os saldos existentes em 31/12/2011, relativos a instrumentos de transferências em andamento, e demais repasses que ocorrerem a partir de </w:t>
      </w:r>
      <w:r w:rsidRPr="00DA7B40">
        <w:rPr>
          <w:rFonts w:ascii="Arial" w:hAnsi="Arial" w:cs="Arial"/>
          <w:sz w:val="24"/>
          <w:szCs w:val="24"/>
        </w:rPr>
        <w:lastRenderedPageBreak/>
        <w:t>01/01/2012, observarão as regras de prestação de contas junto ao SIT</w:t>
      </w:r>
      <w:r w:rsidR="00EE3053">
        <w:rPr>
          <w:rFonts w:ascii="Arial" w:hAnsi="Arial" w:cs="Arial"/>
          <w:sz w:val="24"/>
          <w:szCs w:val="24"/>
        </w:rPr>
        <w:t>, nos termos desta Resolução.</w:t>
      </w:r>
    </w:p>
    <w:p w14:paraId="1C419C72" w14:textId="77777777" w:rsidR="00B125BD" w:rsidRDefault="00B125BD" w:rsidP="000122D4">
      <w:pPr>
        <w:spacing w:before="120"/>
        <w:ind w:firstLine="1134"/>
        <w:jc w:val="both"/>
        <w:rPr>
          <w:rFonts w:ascii="Arial" w:hAnsi="Arial" w:cs="Arial"/>
          <w:sz w:val="24"/>
          <w:szCs w:val="24"/>
        </w:rPr>
      </w:pPr>
      <w:r w:rsidRPr="00DA7B40">
        <w:rPr>
          <w:rFonts w:ascii="Arial" w:hAnsi="Arial" w:cs="Arial"/>
          <w:sz w:val="24"/>
          <w:szCs w:val="24"/>
        </w:rPr>
        <w:t>§ 2º Os processos relativos a recursos recebidos e não utilizados até 31/12/2011 poderão ser encerrados nos termos do Capítulo XVII, Título IV, do Regimento Interno, com a inscrição do respectivo saldo no sistema de controle de pendências da DAT, desde que exista o registro da transferência no Siste</w:t>
      </w:r>
      <w:r w:rsidR="0092784B">
        <w:rPr>
          <w:rFonts w:ascii="Arial" w:hAnsi="Arial" w:cs="Arial"/>
          <w:sz w:val="24"/>
          <w:szCs w:val="24"/>
        </w:rPr>
        <w:t>ma Integrado de Transferências.”</w:t>
      </w:r>
    </w:p>
    <w:p w14:paraId="1C1B8CB8" w14:textId="44358687" w:rsidR="00B125BD" w:rsidRDefault="0028278A" w:rsidP="00936C5A">
      <w:pPr>
        <w:spacing w:before="120"/>
        <w:ind w:firstLine="1134"/>
        <w:jc w:val="both"/>
        <w:rPr>
          <w:rFonts w:ascii="Arial" w:hAnsi="Arial" w:cs="Arial"/>
          <w:sz w:val="24"/>
          <w:szCs w:val="24"/>
        </w:rPr>
      </w:pPr>
      <w:r>
        <w:rPr>
          <w:rFonts w:ascii="Arial" w:hAnsi="Arial" w:cs="Arial"/>
          <w:b/>
          <w:sz w:val="24"/>
          <w:szCs w:val="24"/>
        </w:rPr>
        <w:t xml:space="preserve">Art. </w:t>
      </w:r>
      <w:r w:rsidR="00B125BD" w:rsidRPr="0080551A">
        <w:rPr>
          <w:rFonts w:ascii="Arial" w:hAnsi="Arial" w:cs="Arial"/>
          <w:b/>
          <w:sz w:val="24"/>
          <w:szCs w:val="24"/>
        </w:rPr>
        <w:t>4º</w:t>
      </w:r>
      <w:r w:rsidR="00B125BD">
        <w:rPr>
          <w:rFonts w:ascii="Arial" w:hAnsi="Arial" w:cs="Arial"/>
          <w:sz w:val="24"/>
          <w:szCs w:val="24"/>
        </w:rPr>
        <w:t xml:space="preserve"> Ficam revogados os seguintes dispositi</w:t>
      </w:r>
      <w:r w:rsidR="008C204A">
        <w:rPr>
          <w:rFonts w:ascii="Arial" w:hAnsi="Arial" w:cs="Arial"/>
          <w:sz w:val="24"/>
          <w:szCs w:val="24"/>
        </w:rPr>
        <w:t xml:space="preserve">vos da </w:t>
      </w:r>
      <w:hyperlink r:id="rId11" w:history="1">
        <w:r w:rsidR="008C204A" w:rsidRPr="00EA37C8">
          <w:rPr>
            <w:rStyle w:val="Hyperlink"/>
            <w:rFonts w:ascii="Arial" w:hAnsi="Arial" w:cs="Arial"/>
            <w:sz w:val="24"/>
            <w:szCs w:val="24"/>
          </w:rPr>
          <w:t>Resolução nº 28/2011</w:t>
        </w:r>
      </w:hyperlink>
      <w:r w:rsidR="008C204A">
        <w:rPr>
          <w:rFonts w:ascii="Arial" w:hAnsi="Arial" w:cs="Arial"/>
          <w:sz w:val="24"/>
          <w:szCs w:val="24"/>
        </w:rPr>
        <w:t>: o parágrafo ú</w:t>
      </w:r>
      <w:r w:rsidR="00B125BD">
        <w:rPr>
          <w:rFonts w:ascii="Arial" w:hAnsi="Arial" w:cs="Arial"/>
          <w:sz w:val="24"/>
          <w:szCs w:val="24"/>
        </w:rPr>
        <w:t xml:space="preserve">nico do art. 3º; o art. 4º, </w:t>
      </w:r>
      <w:r w:rsidR="00B125BD">
        <w:rPr>
          <w:rFonts w:ascii="Arial" w:hAnsi="Arial" w:cs="Arial"/>
          <w:i/>
          <w:sz w:val="24"/>
          <w:szCs w:val="24"/>
        </w:rPr>
        <w:t xml:space="preserve">caput </w:t>
      </w:r>
      <w:r w:rsidR="008C204A">
        <w:rPr>
          <w:rFonts w:ascii="Arial" w:hAnsi="Arial" w:cs="Arial"/>
          <w:sz w:val="24"/>
          <w:szCs w:val="24"/>
        </w:rPr>
        <w:t>e parágrafo ú</w:t>
      </w:r>
      <w:r w:rsidR="00B125BD">
        <w:rPr>
          <w:rFonts w:ascii="Arial" w:hAnsi="Arial" w:cs="Arial"/>
          <w:sz w:val="24"/>
          <w:szCs w:val="24"/>
        </w:rPr>
        <w:t>nico; os i</w:t>
      </w:r>
      <w:r w:rsidR="008C204A">
        <w:rPr>
          <w:rFonts w:ascii="Arial" w:hAnsi="Arial" w:cs="Arial"/>
          <w:sz w:val="24"/>
          <w:szCs w:val="24"/>
        </w:rPr>
        <w:t>ncisos I, II, III e IV do art.</w:t>
      </w:r>
      <w:r w:rsidR="00B125BD">
        <w:rPr>
          <w:rFonts w:ascii="Arial" w:hAnsi="Arial" w:cs="Arial"/>
          <w:sz w:val="24"/>
          <w:szCs w:val="24"/>
        </w:rPr>
        <w:t xml:space="preserve"> 22; o art. 23, </w:t>
      </w:r>
      <w:r w:rsidR="00B125BD">
        <w:rPr>
          <w:rFonts w:ascii="Arial" w:hAnsi="Arial" w:cs="Arial"/>
          <w:i/>
          <w:sz w:val="24"/>
          <w:szCs w:val="24"/>
        </w:rPr>
        <w:t>caput</w:t>
      </w:r>
      <w:r w:rsidR="00B125BD">
        <w:rPr>
          <w:rFonts w:ascii="Arial" w:hAnsi="Arial" w:cs="Arial"/>
          <w:sz w:val="24"/>
          <w:szCs w:val="24"/>
        </w:rPr>
        <w:t xml:space="preserve">, incisos I, II, III, IV, V e VI, </w:t>
      </w:r>
      <w:r w:rsidR="008C204A">
        <w:rPr>
          <w:rFonts w:ascii="Arial" w:hAnsi="Arial" w:cs="Arial"/>
          <w:sz w:val="24"/>
          <w:szCs w:val="24"/>
        </w:rPr>
        <w:t>e §1º e § 2º; o parágrafo ú</w:t>
      </w:r>
      <w:r w:rsidR="00B125BD">
        <w:rPr>
          <w:rFonts w:ascii="Arial" w:hAnsi="Arial" w:cs="Arial"/>
          <w:sz w:val="24"/>
          <w:szCs w:val="24"/>
        </w:rPr>
        <w:t>nico do art. 2</w:t>
      </w:r>
      <w:r w:rsidR="008C204A">
        <w:rPr>
          <w:rFonts w:ascii="Arial" w:hAnsi="Arial" w:cs="Arial"/>
          <w:sz w:val="24"/>
          <w:szCs w:val="24"/>
        </w:rPr>
        <w:t>7; o parágrafo ú</w:t>
      </w:r>
      <w:r w:rsidR="00B125BD">
        <w:rPr>
          <w:rFonts w:ascii="Arial" w:hAnsi="Arial" w:cs="Arial"/>
          <w:sz w:val="24"/>
          <w:szCs w:val="24"/>
        </w:rPr>
        <w:t xml:space="preserve">nico do art. 31; o </w:t>
      </w:r>
      <w:r w:rsidR="00B125BD">
        <w:rPr>
          <w:rFonts w:ascii="Arial" w:hAnsi="Arial" w:cs="Arial"/>
          <w:i/>
          <w:sz w:val="24"/>
          <w:szCs w:val="24"/>
        </w:rPr>
        <w:t>caput</w:t>
      </w:r>
      <w:r w:rsidR="00B125BD">
        <w:rPr>
          <w:rFonts w:ascii="Arial" w:hAnsi="Arial" w:cs="Arial"/>
          <w:sz w:val="24"/>
          <w:szCs w:val="24"/>
        </w:rPr>
        <w:t xml:space="preserve"> e § 2º do art. 34; e o </w:t>
      </w:r>
      <w:r w:rsidR="00B125BD">
        <w:rPr>
          <w:rFonts w:ascii="Arial" w:hAnsi="Arial" w:cs="Arial"/>
          <w:i/>
          <w:sz w:val="24"/>
          <w:szCs w:val="24"/>
        </w:rPr>
        <w:t>caput</w:t>
      </w:r>
      <w:r w:rsidR="00B125BD">
        <w:rPr>
          <w:rFonts w:ascii="Arial" w:hAnsi="Arial" w:cs="Arial"/>
          <w:sz w:val="24"/>
          <w:szCs w:val="24"/>
        </w:rPr>
        <w:t xml:space="preserve"> do art. 35. </w:t>
      </w:r>
    </w:p>
    <w:p w14:paraId="67F2375F" w14:textId="7B5CC0BE" w:rsidR="00B125BD" w:rsidRDefault="00B125BD" w:rsidP="00936C5A">
      <w:pPr>
        <w:spacing w:before="120"/>
        <w:ind w:firstLine="1134"/>
        <w:jc w:val="both"/>
        <w:rPr>
          <w:rFonts w:ascii="Arial" w:hAnsi="Arial" w:cs="Arial"/>
          <w:sz w:val="24"/>
          <w:szCs w:val="24"/>
        </w:rPr>
      </w:pPr>
      <w:r w:rsidRPr="0080551A">
        <w:rPr>
          <w:rFonts w:ascii="Arial" w:hAnsi="Arial" w:cs="Arial"/>
          <w:b/>
          <w:sz w:val="24"/>
          <w:szCs w:val="24"/>
        </w:rPr>
        <w:t>Art.</w:t>
      </w:r>
      <w:r w:rsidR="0028278A">
        <w:rPr>
          <w:rFonts w:ascii="Arial" w:hAnsi="Arial" w:cs="Arial"/>
          <w:b/>
          <w:sz w:val="24"/>
          <w:szCs w:val="24"/>
        </w:rPr>
        <w:t xml:space="preserve"> </w:t>
      </w:r>
      <w:r w:rsidRPr="0080551A">
        <w:rPr>
          <w:rFonts w:ascii="Arial" w:hAnsi="Arial" w:cs="Arial"/>
          <w:b/>
          <w:sz w:val="24"/>
          <w:szCs w:val="24"/>
        </w:rPr>
        <w:t>5º</w:t>
      </w:r>
      <w:r>
        <w:rPr>
          <w:rFonts w:ascii="Arial" w:hAnsi="Arial" w:cs="Arial"/>
          <w:sz w:val="24"/>
          <w:szCs w:val="24"/>
        </w:rPr>
        <w:t xml:space="preserve"> Esta Resolução entra em vigor na data de sua publicação.</w:t>
      </w:r>
    </w:p>
    <w:p w14:paraId="305B3FD2" w14:textId="77777777" w:rsidR="0021130D" w:rsidRDefault="0021130D" w:rsidP="00936C5A">
      <w:pPr>
        <w:spacing w:before="120"/>
        <w:ind w:firstLine="1134"/>
        <w:jc w:val="both"/>
        <w:rPr>
          <w:rFonts w:ascii="Arial" w:hAnsi="Arial" w:cs="Arial"/>
          <w:sz w:val="24"/>
          <w:szCs w:val="24"/>
        </w:rPr>
      </w:pPr>
    </w:p>
    <w:p w14:paraId="5243311F" w14:textId="77777777" w:rsidR="0028278A" w:rsidRDefault="0028278A" w:rsidP="00872AD7">
      <w:pPr>
        <w:jc w:val="center"/>
        <w:rPr>
          <w:rFonts w:ascii="Arial" w:hAnsi="Arial" w:cs="Arial"/>
          <w:sz w:val="24"/>
          <w:szCs w:val="24"/>
        </w:rPr>
      </w:pPr>
    </w:p>
    <w:p w14:paraId="76C04488" w14:textId="37AC2C70" w:rsidR="00B125BD" w:rsidRDefault="00872AD7" w:rsidP="00872AD7">
      <w:pPr>
        <w:jc w:val="center"/>
        <w:rPr>
          <w:rFonts w:ascii="Arial" w:hAnsi="Arial" w:cs="Arial"/>
          <w:sz w:val="24"/>
          <w:szCs w:val="24"/>
        </w:rPr>
      </w:pPr>
      <w:r>
        <w:rPr>
          <w:rFonts w:ascii="Arial" w:hAnsi="Arial" w:cs="Arial"/>
          <w:sz w:val="24"/>
          <w:szCs w:val="24"/>
        </w:rPr>
        <w:t>Curitiba, 12 de junho de 2014.</w:t>
      </w:r>
    </w:p>
    <w:p w14:paraId="633193A9" w14:textId="77777777" w:rsidR="0021130D" w:rsidRDefault="0021130D" w:rsidP="00872AD7">
      <w:pPr>
        <w:jc w:val="center"/>
        <w:rPr>
          <w:rFonts w:ascii="Arial" w:hAnsi="Arial" w:cs="Arial"/>
          <w:sz w:val="24"/>
          <w:szCs w:val="24"/>
        </w:rPr>
      </w:pPr>
    </w:p>
    <w:p w14:paraId="4912002E" w14:textId="77777777" w:rsidR="00B125BD" w:rsidRDefault="00B125BD" w:rsidP="00B125BD">
      <w:pPr>
        <w:rPr>
          <w:rFonts w:ascii="Arial" w:hAnsi="Arial" w:cs="Arial"/>
          <w:sz w:val="24"/>
          <w:szCs w:val="24"/>
        </w:rPr>
      </w:pPr>
    </w:p>
    <w:p w14:paraId="529DB868" w14:textId="77777777" w:rsidR="00B125BD" w:rsidRPr="00872AD7" w:rsidRDefault="00B125BD" w:rsidP="00872AD7">
      <w:pPr>
        <w:jc w:val="center"/>
        <w:rPr>
          <w:rFonts w:ascii="Arial" w:hAnsi="Arial" w:cs="Arial"/>
          <w:b/>
          <w:sz w:val="24"/>
          <w:szCs w:val="24"/>
        </w:rPr>
      </w:pPr>
      <w:r w:rsidRPr="00872AD7">
        <w:rPr>
          <w:rFonts w:ascii="Arial" w:hAnsi="Arial" w:cs="Arial"/>
          <w:b/>
          <w:sz w:val="24"/>
          <w:szCs w:val="24"/>
        </w:rPr>
        <w:t>ARTAGÃO DE MATTOS LEÃO</w:t>
      </w:r>
    </w:p>
    <w:p w14:paraId="07B84381" w14:textId="77777777" w:rsidR="00747211" w:rsidRPr="000122D4" w:rsidRDefault="00B125BD" w:rsidP="000122D4">
      <w:pPr>
        <w:jc w:val="center"/>
        <w:rPr>
          <w:rFonts w:ascii="Arial" w:hAnsi="Arial" w:cs="Arial"/>
          <w:sz w:val="24"/>
          <w:szCs w:val="24"/>
        </w:rPr>
      </w:pPr>
      <w:r>
        <w:rPr>
          <w:rFonts w:ascii="Arial" w:hAnsi="Arial" w:cs="Arial"/>
          <w:sz w:val="24"/>
          <w:szCs w:val="24"/>
        </w:rPr>
        <w:t>Presidente</w:t>
      </w:r>
    </w:p>
    <w:sectPr w:rsidR="00747211" w:rsidRPr="000122D4" w:rsidSect="00D25879">
      <w:headerReference w:type="default" r:id="rId12"/>
      <w:footnotePr>
        <w:numFmt w:val="chicago"/>
      </w:footnotePr>
      <w:pgSz w:w="11907" w:h="16840" w:code="9"/>
      <w:pgMar w:top="1418" w:right="1701" w:bottom="1418"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10CC0" w14:textId="77777777" w:rsidR="007C4D9B" w:rsidRDefault="007C4D9B">
      <w:r>
        <w:separator/>
      </w:r>
    </w:p>
  </w:endnote>
  <w:endnote w:type="continuationSeparator" w:id="0">
    <w:p w14:paraId="197B6460" w14:textId="77777777" w:rsidR="007C4D9B" w:rsidRDefault="007C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C802D" w14:textId="77777777" w:rsidR="007C4D9B" w:rsidRDefault="007C4D9B">
      <w:r>
        <w:separator/>
      </w:r>
    </w:p>
  </w:footnote>
  <w:footnote w:type="continuationSeparator" w:id="0">
    <w:p w14:paraId="2E936F4E" w14:textId="77777777" w:rsidR="007C4D9B" w:rsidRDefault="007C4D9B">
      <w:r>
        <w:continuationSeparator/>
      </w:r>
    </w:p>
  </w:footnote>
  <w:footnote w:id="1">
    <w:p w14:paraId="08624E29" w14:textId="77777777" w:rsidR="00EE434B" w:rsidRPr="00EA37C8" w:rsidRDefault="00EE434B" w:rsidP="00EE434B">
      <w:pPr>
        <w:pStyle w:val="Textodenotaderodap"/>
        <w:jc w:val="both"/>
        <w:rPr>
          <w:rFonts w:ascii="Arial" w:hAnsi="Arial" w:cs="Arial"/>
        </w:rPr>
      </w:pPr>
      <w:r>
        <w:rPr>
          <w:rStyle w:val="Refdenotaderodap"/>
        </w:rPr>
        <w:footnoteRef/>
      </w:r>
      <w:r>
        <w:t xml:space="preserve"> </w:t>
      </w:r>
      <w:r w:rsidRPr="00EA37C8">
        <w:rPr>
          <w:rFonts w:ascii="Arial" w:hAnsi="Arial" w:cs="Arial"/>
          <w:b/>
        </w:rPr>
        <w:t>Notas da Biblioteca:</w:t>
      </w:r>
    </w:p>
    <w:p w14:paraId="3E5D1F89" w14:textId="5807D222" w:rsidR="00EE434B" w:rsidRPr="00EA37C8" w:rsidRDefault="00EE434B" w:rsidP="00EE434B">
      <w:pPr>
        <w:pStyle w:val="Textodenotaderodap"/>
        <w:numPr>
          <w:ilvl w:val="0"/>
          <w:numId w:val="1"/>
        </w:numPr>
        <w:autoSpaceDE/>
        <w:autoSpaceDN/>
        <w:ind w:left="452" w:hanging="283"/>
        <w:jc w:val="both"/>
        <w:rPr>
          <w:rFonts w:ascii="Arial" w:hAnsi="Arial" w:cs="Arial"/>
        </w:rPr>
      </w:pPr>
      <w:r w:rsidRPr="00EA37C8">
        <w:rPr>
          <w:rFonts w:ascii="Arial" w:hAnsi="Arial" w:cs="Arial"/>
        </w:rPr>
        <w:t xml:space="preserve">Este texto não substitui o publicado no periódico: </w:t>
      </w:r>
      <w:hyperlink r:id="rId1" w:history="1">
        <w:r w:rsidR="00EA37C8" w:rsidRPr="00EA37C8">
          <w:rPr>
            <w:rStyle w:val="Hyperlink"/>
            <w:rFonts w:ascii="Arial" w:hAnsi="Arial" w:cs="Arial"/>
            <w:b/>
          </w:rPr>
          <w:t>Diário Eletrônico do Tribunal de Contas do Estado do Paraná</w:t>
        </w:r>
        <w:r w:rsidR="00EA37C8" w:rsidRPr="00EA37C8">
          <w:rPr>
            <w:rStyle w:val="Hyperlink"/>
            <w:rFonts w:ascii="Arial" w:hAnsi="Arial" w:cs="Arial"/>
          </w:rPr>
          <w:t>, Curitiba, PR, n. 935, 4 ago. 2014, p. 54-55</w:t>
        </w:r>
      </w:hyperlink>
      <w:r w:rsidR="00EA37C8" w:rsidRPr="00EA37C8">
        <w:rPr>
          <w:rFonts w:ascii="Arial" w:hAnsi="Arial" w:cs="Arial"/>
        </w:rPr>
        <w:t>.</w:t>
      </w:r>
    </w:p>
    <w:p w14:paraId="29754ADE" w14:textId="08702ECF" w:rsidR="00EE434B" w:rsidRDefault="00EE434B" w:rsidP="00CC2D35">
      <w:pPr>
        <w:pStyle w:val="Textodenotaderodap"/>
        <w:numPr>
          <w:ilvl w:val="0"/>
          <w:numId w:val="1"/>
        </w:numPr>
        <w:autoSpaceDE/>
        <w:autoSpaceDN/>
        <w:ind w:left="426" w:hanging="284"/>
        <w:jc w:val="both"/>
      </w:pPr>
      <w:r w:rsidRPr="00EA37C8">
        <w:rPr>
          <w:rFonts w:ascii="Arial" w:hAnsi="Arial" w:cs="Arial"/>
          <w:b/>
          <w:bCs/>
        </w:rPr>
        <w:t>Altera</w:t>
      </w:r>
      <w:r w:rsidRPr="00EA37C8">
        <w:rPr>
          <w:rFonts w:ascii="Arial" w:hAnsi="Arial" w:cs="Arial"/>
        </w:rPr>
        <w:t xml:space="preserve">: </w:t>
      </w:r>
      <w:hyperlink r:id="rId2" w:history="1">
        <w:r w:rsidR="00CC2D35" w:rsidRPr="00EA37C8">
          <w:rPr>
            <w:rStyle w:val="Hyperlink"/>
            <w:rFonts w:ascii="Arial" w:hAnsi="Arial" w:cs="Arial"/>
          </w:rPr>
          <w:t>Resolução n. 28, de 2 de outubro de 2011</w:t>
        </w:r>
      </w:hyperlink>
      <w:r w:rsidR="00CC2D35" w:rsidRPr="00EA37C8">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BC72A" w14:textId="48841531" w:rsidR="00D40BAD" w:rsidRDefault="00872AD7" w:rsidP="00A84EAF">
    <w:pPr>
      <w:pStyle w:val="Cabealho"/>
      <w:spacing w:before="480"/>
      <w:ind w:left="1134"/>
      <w:rPr>
        <w:rFonts w:ascii="Arial" w:hAnsi="Arial" w:cs="Arial"/>
        <w:b/>
        <w:sz w:val="30"/>
        <w:szCs w:val="30"/>
      </w:rPr>
    </w:pPr>
    <w:r>
      <w:rPr>
        <w:noProof/>
      </w:rPr>
      <w:pict w14:anchorId="43BA54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6" type="#_x0000_t75" alt="logo TC colorido - medio" style="position:absolute;left:0;text-align:left;margin-left:-.25pt;margin-top:4.55pt;width:47.7pt;height:56.1pt;z-index:1;visibility:visible">
          <v:imagedata r:id="rId1" o:title="logo TC colorido - medio"/>
          <w10:wrap type="square"/>
        </v:shape>
      </w:pict>
    </w:r>
    <w:r w:rsidR="00A84EAF">
      <w:rPr>
        <w:rFonts w:ascii="Arial" w:hAnsi="Arial" w:cs="Arial"/>
        <w:b/>
        <w:sz w:val="30"/>
        <w:szCs w:val="30"/>
      </w:rPr>
      <w:t xml:space="preserve"> </w:t>
    </w:r>
    <w:r w:rsidR="00D40BAD">
      <w:rPr>
        <w:rFonts w:ascii="Arial" w:hAnsi="Arial" w:cs="Arial"/>
        <w:b/>
        <w:sz w:val="30"/>
        <w:szCs w:val="30"/>
      </w:rPr>
      <w:t>TRIBUNAL DE CONTAS DO ESTADO DO PARANÁ</w:t>
    </w:r>
  </w:p>
  <w:p w14:paraId="0E2DD2A5" w14:textId="77777777" w:rsidR="00D25879" w:rsidRDefault="00D25879" w:rsidP="00A84EAF">
    <w:pPr>
      <w:pStyle w:val="Cabealho"/>
      <w:spacing w:before="480"/>
      <w:ind w:left="1134"/>
      <w:rPr>
        <w:rFonts w:ascii="Arial" w:hAnsi="Arial" w:cs="Arial"/>
        <w:b/>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F75AC"/>
    <w:multiLevelType w:val="hybridMultilevel"/>
    <w:tmpl w:val="E1D412E6"/>
    <w:lvl w:ilvl="0" w:tplc="FFFFFFFF">
      <w:start w:val="1"/>
      <w:numFmt w:val="lowerLetter"/>
      <w:lvlText w:val="%1)"/>
      <w:lvlJc w:val="left"/>
      <w:pPr>
        <w:ind w:left="72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58826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25BD"/>
    <w:rsid w:val="000122D4"/>
    <w:rsid w:val="000344A2"/>
    <w:rsid w:val="00107555"/>
    <w:rsid w:val="00161AEF"/>
    <w:rsid w:val="00190B9A"/>
    <w:rsid w:val="00203111"/>
    <w:rsid w:val="0021130D"/>
    <w:rsid w:val="00274EB6"/>
    <w:rsid w:val="0028278A"/>
    <w:rsid w:val="003C2AEF"/>
    <w:rsid w:val="004D086C"/>
    <w:rsid w:val="004D3E45"/>
    <w:rsid w:val="00511809"/>
    <w:rsid w:val="005174A4"/>
    <w:rsid w:val="005448F8"/>
    <w:rsid w:val="00587DED"/>
    <w:rsid w:val="00592965"/>
    <w:rsid w:val="00597C6D"/>
    <w:rsid w:val="005F7310"/>
    <w:rsid w:val="006A3080"/>
    <w:rsid w:val="00726DAD"/>
    <w:rsid w:val="00747211"/>
    <w:rsid w:val="00795139"/>
    <w:rsid w:val="007A0EE9"/>
    <w:rsid w:val="007C4D9B"/>
    <w:rsid w:val="00804AC8"/>
    <w:rsid w:val="0080551A"/>
    <w:rsid w:val="00872AD7"/>
    <w:rsid w:val="008B74E8"/>
    <w:rsid w:val="008C204A"/>
    <w:rsid w:val="008F41C6"/>
    <w:rsid w:val="00915377"/>
    <w:rsid w:val="0092784B"/>
    <w:rsid w:val="0093138E"/>
    <w:rsid w:val="00936C5A"/>
    <w:rsid w:val="009D15C8"/>
    <w:rsid w:val="00A10438"/>
    <w:rsid w:val="00A2242C"/>
    <w:rsid w:val="00A3185D"/>
    <w:rsid w:val="00A84EAF"/>
    <w:rsid w:val="00AD5337"/>
    <w:rsid w:val="00AE4F84"/>
    <w:rsid w:val="00AF3F9C"/>
    <w:rsid w:val="00B125BD"/>
    <w:rsid w:val="00B63A40"/>
    <w:rsid w:val="00B772CC"/>
    <w:rsid w:val="00BA21E3"/>
    <w:rsid w:val="00C56909"/>
    <w:rsid w:val="00C8573C"/>
    <w:rsid w:val="00CC2D35"/>
    <w:rsid w:val="00D00F10"/>
    <w:rsid w:val="00D12569"/>
    <w:rsid w:val="00D23CB4"/>
    <w:rsid w:val="00D25879"/>
    <w:rsid w:val="00D406B6"/>
    <w:rsid w:val="00D40BAD"/>
    <w:rsid w:val="00DA7B40"/>
    <w:rsid w:val="00DC1620"/>
    <w:rsid w:val="00E25054"/>
    <w:rsid w:val="00E43E94"/>
    <w:rsid w:val="00E467DE"/>
    <w:rsid w:val="00E50924"/>
    <w:rsid w:val="00E568B9"/>
    <w:rsid w:val="00EA37C8"/>
    <w:rsid w:val="00EB05B0"/>
    <w:rsid w:val="00EE3053"/>
    <w:rsid w:val="00EE434B"/>
    <w:rsid w:val="00F64139"/>
    <w:rsid w:val="00F67CAB"/>
    <w:rsid w:val="00FC1C25"/>
    <w:rsid w:val="00FC3B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175DA"/>
  <w15:chartTrackingRefBased/>
  <w15:docId w15:val="{38242531-D1C4-499C-9F75-CC1FAB869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5BD"/>
    <w:pPr>
      <w:autoSpaceDE w:val="0"/>
      <w:autoSpaceDN w:val="0"/>
    </w:pPr>
    <w:rPr>
      <w:rFonts w:ascii="Times New Roman" w:eastAsia="Times New Roman" w:hAnsi="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125BD"/>
    <w:pPr>
      <w:tabs>
        <w:tab w:val="center" w:pos="4252"/>
        <w:tab w:val="right" w:pos="8504"/>
      </w:tabs>
    </w:pPr>
  </w:style>
  <w:style w:type="character" w:customStyle="1" w:styleId="CabealhoChar">
    <w:name w:val="Cabeçalho Char"/>
    <w:link w:val="Cabealho"/>
    <w:rsid w:val="00B125BD"/>
    <w:rPr>
      <w:rFonts w:ascii="Times New Roman" w:eastAsia="Times New Roman" w:hAnsi="Times New Roman" w:cs="Times New Roman"/>
      <w:sz w:val="20"/>
      <w:szCs w:val="20"/>
      <w:lang w:eastAsia="pt-BR"/>
    </w:rPr>
  </w:style>
  <w:style w:type="paragraph" w:styleId="NormalWeb">
    <w:name w:val="Normal (Web)"/>
    <w:basedOn w:val="Normal"/>
    <w:uiPriority w:val="99"/>
    <w:unhideWhenUsed/>
    <w:rsid w:val="00B125BD"/>
    <w:pPr>
      <w:autoSpaceDE/>
      <w:autoSpaceDN/>
      <w:spacing w:before="100" w:beforeAutospacing="1" w:after="100" w:afterAutospacing="1"/>
    </w:pPr>
    <w:rPr>
      <w:sz w:val="24"/>
      <w:szCs w:val="24"/>
    </w:rPr>
  </w:style>
  <w:style w:type="paragraph" w:styleId="Rodap">
    <w:name w:val="footer"/>
    <w:basedOn w:val="Normal"/>
    <w:link w:val="RodapChar"/>
    <w:uiPriority w:val="99"/>
    <w:unhideWhenUsed/>
    <w:rsid w:val="0092784B"/>
    <w:pPr>
      <w:tabs>
        <w:tab w:val="center" w:pos="4252"/>
        <w:tab w:val="right" w:pos="8504"/>
      </w:tabs>
    </w:pPr>
  </w:style>
  <w:style w:type="character" w:customStyle="1" w:styleId="RodapChar">
    <w:name w:val="Rodapé Char"/>
    <w:link w:val="Rodap"/>
    <w:uiPriority w:val="99"/>
    <w:rsid w:val="0092784B"/>
    <w:rPr>
      <w:rFonts w:ascii="Times New Roman" w:eastAsia="Times New Roman" w:hAnsi="Times New Roman"/>
    </w:rPr>
  </w:style>
  <w:style w:type="paragraph" w:styleId="Textodenotaderodap">
    <w:name w:val="footnote text"/>
    <w:basedOn w:val="Normal"/>
    <w:link w:val="TextodenotaderodapChar"/>
    <w:unhideWhenUsed/>
    <w:rsid w:val="00EE434B"/>
  </w:style>
  <w:style w:type="character" w:customStyle="1" w:styleId="TextodenotaderodapChar">
    <w:name w:val="Texto de nota de rodapé Char"/>
    <w:link w:val="Textodenotaderodap"/>
    <w:rsid w:val="00EE434B"/>
    <w:rPr>
      <w:rFonts w:ascii="Times New Roman" w:eastAsia="Times New Roman" w:hAnsi="Times New Roman"/>
    </w:rPr>
  </w:style>
  <w:style w:type="character" w:styleId="Refdenotaderodap">
    <w:name w:val="footnote reference"/>
    <w:uiPriority w:val="99"/>
    <w:semiHidden/>
    <w:unhideWhenUsed/>
    <w:rsid w:val="00EE434B"/>
    <w:rPr>
      <w:vertAlign w:val="superscript"/>
    </w:rPr>
  </w:style>
  <w:style w:type="character" w:styleId="Hyperlink">
    <w:name w:val="Hyperlink"/>
    <w:uiPriority w:val="99"/>
    <w:rsid w:val="00EE434B"/>
    <w:rPr>
      <w:color w:val="0000FF"/>
      <w:u w:val="single"/>
    </w:rPr>
  </w:style>
  <w:style w:type="character" w:styleId="MenoPendente">
    <w:name w:val="Unresolved Mention"/>
    <w:uiPriority w:val="99"/>
    <w:semiHidden/>
    <w:unhideWhenUsed/>
    <w:rsid w:val="00EA3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conteudo/resolucao-n-28-de-2-de-outubro-de-2011/1376/area/1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conteudo/resolucao-n-28-de-2-de-outubro-de-2011/1376/area/10" TargetMode="External"/><Relationship Id="rId5" Type="http://schemas.openxmlformats.org/officeDocument/2006/relationships/webSettings" Target="webSettings.xml"/><Relationship Id="rId10" Type="http://schemas.openxmlformats.org/officeDocument/2006/relationships/hyperlink" Target="http://www1.tce.pr.gov.br/conteudo/resolucao-n-28-de-2-de-outubro-de-2011/1376/area/10" TargetMode="External"/><Relationship Id="rId4" Type="http://schemas.openxmlformats.org/officeDocument/2006/relationships/settings" Target="settings.xml"/><Relationship Id="rId9" Type="http://schemas.openxmlformats.org/officeDocument/2006/relationships/hyperlink" Target="http://www1.tce.pr.gov.br/conteudo/resolucao-n-28-de-2-de-outubro-de-2011/1376/area/10"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1.tce.pr.gov.br/conteudo/resolucao-n-28-de-2-de-outubro-de-2011/1376/area/10" TargetMode="External"/><Relationship Id="rId1" Type="http://schemas.openxmlformats.org/officeDocument/2006/relationships/hyperlink" Target="http://www1.tce.pr.gov.br/multimidia/2014/8/pdf/0026064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69992-9B2D-4186-83C8-CF1D6C747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2480</Words>
  <Characters>13397</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Heloisa Caldas Ferreira</dc:creator>
  <cp:keywords/>
  <cp:lastModifiedBy>Yarusya Fonseca</cp:lastModifiedBy>
  <cp:revision>7</cp:revision>
  <cp:lastPrinted>2014-07-25T13:44:00Z</cp:lastPrinted>
  <dcterms:created xsi:type="dcterms:W3CDTF">2022-07-05T23:53:00Z</dcterms:created>
  <dcterms:modified xsi:type="dcterms:W3CDTF">2022-07-05T23:59:00Z</dcterms:modified>
</cp:coreProperties>
</file>