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95A7" w14:textId="63561CB7" w:rsidR="00CB3A8A" w:rsidRDefault="00CB3A8A" w:rsidP="009973DB">
      <w:pPr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7364E">
        <w:rPr>
          <w:rFonts w:ascii="Arial" w:eastAsia="Calibri" w:hAnsi="Arial" w:cs="Arial"/>
          <w:b/>
          <w:bCs/>
          <w:sz w:val="28"/>
          <w:szCs w:val="28"/>
        </w:rPr>
        <w:t>RESOLUÇ</w:t>
      </w:r>
      <w:r w:rsidR="009F5012">
        <w:rPr>
          <w:rFonts w:ascii="Arial" w:eastAsia="Calibri" w:hAnsi="Arial" w:cs="Arial"/>
          <w:b/>
          <w:bCs/>
          <w:sz w:val="28"/>
          <w:szCs w:val="28"/>
        </w:rPr>
        <w:t>Ã</w:t>
      </w:r>
      <w:r w:rsidRPr="0037364E">
        <w:rPr>
          <w:rFonts w:ascii="Arial" w:eastAsia="Calibri" w:hAnsi="Arial" w:cs="Arial"/>
          <w:b/>
          <w:bCs/>
          <w:sz w:val="28"/>
          <w:szCs w:val="28"/>
        </w:rPr>
        <w:t>O</w:t>
      </w:r>
      <w:r w:rsidR="0038666C" w:rsidRPr="0037364E">
        <w:rPr>
          <w:rFonts w:ascii="Arial" w:eastAsia="Calibri" w:hAnsi="Arial" w:cs="Arial"/>
          <w:b/>
          <w:bCs/>
          <w:sz w:val="28"/>
          <w:szCs w:val="28"/>
        </w:rPr>
        <w:t xml:space="preserve"> Nº</w:t>
      </w:r>
      <w:r w:rsidR="00A721EF" w:rsidRPr="0037364E">
        <w:rPr>
          <w:rFonts w:ascii="Arial" w:eastAsia="Calibri" w:hAnsi="Arial" w:cs="Arial"/>
          <w:b/>
          <w:bCs/>
          <w:sz w:val="28"/>
          <w:szCs w:val="28"/>
        </w:rPr>
        <w:t xml:space="preserve"> 47/2014</w:t>
      </w:r>
      <w:r w:rsidR="00917D6A">
        <w:rPr>
          <w:rStyle w:val="Refdenotaderodap"/>
          <w:rFonts w:ascii="Arial" w:eastAsia="Calibri" w:hAnsi="Arial" w:cs="Arial"/>
          <w:b/>
          <w:bCs/>
          <w:sz w:val="28"/>
          <w:szCs w:val="28"/>
        </w:rPr>
        <w:footnoteReference w:id="1"/>
      </w:r>
    </w:p>
    <w:p w14:paraId="7521A5FC" w14:textId="77777777" w:rsidR="00CB3A8A" w:rsidRPr="009F5012" w:rsidRDefault="00CB3A8A" w:rsidP="009F5012">
      <w:pPr>
        <w:adjustRightInd w:val="0"/>
        <w:spacing w:before="360" w:after="360"/>
        <w:ind w:left="4536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9F5012">
        <w:rPr>
          <w:rFonts w:ascii="Arial" w:eastAsia="Calibri" w:hAnsi="Arial" w:cs="Arial"/>
          <w:i/>
          <w:iCs/>
          <w:sz w:val="22"/>
          <w:szCs w:val="22"/>
        </w:rPr>
        <w:t>Dispõe sobre os parâmetros para composição da lista tríplice de Auditores, critério merecimento, para preenchimento de vaga no cargo de Conselheiro do Tribunal de Contas.</w:t>
      </w:r>
    </w:p>
    <w:p w14:paraId="47D66B40" w14:textId="77777777" w:rsidR="00CB3A8A" w:rsidRDefault="00CB3A8A" w:rsidP="00035E9E">
      <w:pPr>
        <w:adjustRightInd w:val="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9F5012">
        <w:rPr>
          <w:rFonts w:ascii="Arial" w:eastAsia="Calibri" w:hAnsi="Arial" w:cs="Arial"/>
          <w:sz w:val="24"/>
          <w:szCs w:val="24"/>
        </w:rPr>
        <w:t xml:space="preserve">O </w:t>
      </w:r>
      <w:r w:rsidRPr="0037364E">
        <w:rPr>
          <w:rFonts w:ascii="Arial" w:eastAsia="Calibri" w:hAnsi="Arial" w:cs="Arial"/>
          <w:b/>
          <w:bCs/>
          <w:sz w:val="24"/>
          <w:szCs w:val="24"/>
        </w:rPr>
        <w:t>TRIBUNAL DE CONTAS DO ESTADO DO PARANÁ</w:t>
      </w:r>
      <w:r w:rsidRPr="0037364E">
        <w:rPr>
          <w:rFonts w:ascii="Arial" w:eastAsia="Calibri" w:hAnsi="Arial" w:cs="Arial"/>
          <w:sz w:val="24"/>
          <w:szCs w:val="24"/>
        </w:rPr>
        <w:t>, no uso da</w:t>
      </w:r>
      <w:r w:rsidR="0040087F">
        <w:rPr>
          <w:rFonts w:ascii="Arial" w:eastAsia="Calibri" w:hAnsi="Arial" w:cs="Arial"/>
          <w:sz w:val="24"/>
          <w:szCs w:val="24"/>
        </w:rPr>
        <w:t>s atribuições</w:t>
      </w:r>
      <w:r w:rsidRPr="0037364E">
        <w:rPr>
          <w:rFonts w:ascii="Arial" w:eastAsia="Calibri" w:hAnsi="Arial" w:cs="Arial"/>
          <w:sz w:val="24"/>
          <w:szCs w:val="24"/>
        </w:rPr>
        <w:t xml:space="preserve"> que lhe confere</w:t>
      </w:r>
      <w:r w:rsidR="0040087F">
        <w:rPr>
          <w:rFonts w:ascii="Arial" w:eastAsia="Calibri" w:hAnsi="Arial" w:cs="Arial"/>
          <w:sz w:val="24"/>
          <w:szCs w:val="24"/>
        </w:rPr>
        <w:t>m</w:t>
      </w:r>
      <w:r w:rsidRPr="0037364E">
        <w:rPr>
          <w:rFonts w:ascii="Arial" w:eastAsia="Calibri" w:hAnsi="Arial" w:cs="Arial"/>
          <w:sz w:val="24"/>
          <w:szCs w:val="24"/>
        </w:rPr>
        <w:t xml:space="preserve"> o art. 2º, I, e 116, XII, e parágrafo único da Lei Complementar nº 113, de 15 de dezembro de 2005, e nos termos do art. 188, do Regimento Interno, e</w:t>
      </w:r>
    </w:p>
    <w:p w14:paraId="07DD441B" w14:textId="77777777" w:rsidR="00695476" w:rsidRPr="0037364E" w:rsidRDefault="00695476" w:rsidP="00035E9E">
      <w:pPr>
        <w:adjustRightInd w:val="0"/>
        <w:ind w:firstLine="1134"/>
        <w:jc w:val="both"/>
        <w:rPr>
          <w:rFonts w:ascii="Arial" w:eastAsia="Calibri" w:hAnsi="Arial" w:cs="Arial"/>
          <w:sz w:val="24"/>
          <w:szCs w:val="24"/>
        </w:rPr>
      </w:pPr>
    </w:p>
    <w:p w14:paraId="4E8A68B8" w14:textId="77777777" w:rsidR="00CB3A8A" w:rsidRPr="0037364E" w:rsidRDefault="00CB3A8A" w:rsidP="00035E9E">
      <w:pPr>
        <w:adjustRightInd w:val="0"/>
        <w:ind w:firstLine="1134"/>
        <w:jc w:val="both"/>
        <w:rPr>
          <w:rFonts w:ascii="Arial" w:eastAsia="Calibri" w:hAnsi="Arial" w:cs="Arial"/>
          <w:iCs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 xml:space="preserve">CONSIDERANDO o disposto no art. 126, </w:t>
      </w:r>
      <w:r w:rsidRPr="003A0632">
        <w:rPr>
          <w:rFonts w:ascii="Arial" w:eastAsia="Calibri" w:hAnsi="Arial" w:cs="Arial"/>
          <w:i/>
          <w:iCs/>
          <w:sz w:val="24"/>
          <w:szCs w:val="24"/>
        </w:rPr>
        <w:t>caput</w:t>
      </w:r>
      <w:r w:rsidRPr="0037364E">
        <w:rPr>
          <w:rFonts w:ascii="Arial" w:eastAsia="Calibri" w:hAnsi="Arial" w:cs="Arial"/>
          <w:iCs/>
          <w:sz w:val="24"/>
          <w:szCs w:val="24"/>
        </w:rPr>
        <w:t xml:space="preserve">, </w:t>
      </w:r>
      <w:r w:rsidRPr="0037364E">
        <w:rPr>
          <w:rFonts w:ascii="Arial" w:eastAsia="Calibri" w:hAnsi="Arial" w:cs="Arial"/>
          <w:sz w:val="24"/>
          <w:szCs w:val="24"/>
        </w:rPr>
        <w:t>e inciso I, da Lei Complementar 113/2005, que estabelece “</w:t>
      </w:r>
      <w:r w:rsidRPr="0037364E">
        <w:rPr>
          <w:rFonts w:ascii="Arial" w:eastAsia="Calibri" w:hAnsi="Arial" w:cs="Arial"/>
          <w:iCs/>
          <w:sz w:val="24"/>
          <w:szCs w:val="24"/>
        </w:rPr>
        <w:t xml:space="preserve">Os Conselheiros do Tribunal de Contas do Estado do Paraná, em número de sete, serão nomeados pelo Governador do Estado, observados os requisitos constitucionais e escolhidos: </w:t>
      </w:r>
      <w:r w:rsidRPr="0037364E">
        <w:rPr>
          <w:rFonts w:ascii="Arial" w:eastAsia="Calibri" w:hAnsi="Arial" w:cs="Arial"/>
          <w:sz w:val="24"/>
          <w:szCs w:val="24"/>
        </w:rPr>
        <w:t xml:space="preserve">I - </w:t>
      </w:r>
      <w:r w:rsidRPr="0037364E">
        <w:rPr>
          <w:rFonts w:ascii="Arial" w:eastAsia="Calibri" w:hAnsi="Arial" w:cs="Arial"/>
          <w:iCs/>
          <w:sz w:val="24"/>
          <w:szCs w:val="24"/>
        </w:rPr>
        <w:t xml:space="preserve">três pelo Governador do Estado, com aprovação da Assembleia Legislativa, sendo um de livre escolha e dois, alternadamente, entre Auditores e membros do Ministério Público junto ao Tribunal, indicados em lista tríplice pelo Plenário, segundo os critérios de antiguidade e merecimento, na forma estabelecida no art. 127 </w:t>
      </w:r>
      <w:r w:rsidR="0040087F">
        <w:rPr>
          <w:rFonts w:ascii="Arial" w:eastAsia="Calibri" w:hAnsi="Arial" w:cs="Arial"/>
          <w:iCs/>
          <w:sz w:val="24"/>
          <w:szCs w:val="24"/>
        </w:rPr>
        <w:t>desta Lei</w:t>
      </w:r>
      <w:r w:rsidRPr="0037364E">
        <w:rPr>
          <w:rFonts w:ascii="Arial" w:eastAsia="Calibri" w:hAnsi="Arial" w:cs="Arial"/>
          <w:iCs/>
          <w:sz w:val="24"/>
          <w:szCs w:val="24"/>
        </w:rPr>
        <w:t>”</w:t>
      </w:r>
      <w:r w:rsidR="0040087F">
        <w:rPr>
          <w:rFonts w:ascii="Arial" w:eastAsia="Calibri" w:hAnsi="Arial" w:cs="Arial"/>
          <w:iCs/>
          <w:sz w:val="24"/>
          <w:szCs w:val="24"/>
        </w:rPr>
        <w:t>.</w:t>
      </w:r>
    </w:p>
    <w:p w14:paraId="2EE03B6D" w14:textId="77777777" w:rsidR="00CB3A8A" w:rsidRPr="0037364E" w:rsidRDefault="00CB3A8A" w:rsidP="00035E9E">
      <w:pPr>
        <w:adjustRightInd w:val="0"/>
        <w:ind w:firstLine="1134"/>
        <w:jc w:val="both"/>
        <w:rPr>
          <w:rFonts w:ascii="Arial" w:eastAsia="Calibri" w:hAnsi="Arial" w:cs="Arial"/>
          <w:sz w:val="24"/>
          <w:szCs w:val="24"/>
        </w:rPr>
      </w:pPr>
    </w:p>
    <w:p w14:paraId="6B54A39B" w14:textId="77777777" w:rsidR="00CB3A8A" w:rsidRPr="0037364E" w:rsidRDefault="00CB3A8A" w:rsidP="00035E9E">
      <w:pPr>
        <w:adjustRightInd w:val="0"/>
        <w:ind w:firstLine="1134"/>
        <w:jc w:val="both"/>
        <w:rPr>
          <w:rFonts w:ascii="Arial" w:eastAsia="Calibri" w:hAnsi="Arial" w:cs="Arial"/>
          <w:iCs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 xml:space="preserve">CONSIDERANDO o disposto no art. 127, </w:t>
      </w:r>
      <w:r w:rsidRPr="003A0632">
        <w:rPr>
          <w:rFonts w:ascii="Arial" w:eastAsia="Calibri" w:hAnsi="Arial" w:cs="Arial"/>
          <w:i/>
          <w:iCs/>
          <w:sz w:val="24"/>
          <w:szCs w:val="24"/>
        </w:rPr>
        <w:t>caput</w:t>
      </w:r>
      <w:r w:rsidRPr="0037364E">
        <w:rPr>
          <w:rFonts w:ascii="Arial" w:eastAsia="Calibri" w:hAnsi="Arial" w:cs="Arial"/>
          <w:iCs/>
          <w:sz w:val="24"/>
          <w:szCs w:val="24"/>
        </w:rPr>
        <w:t xml:space="preserve">, </w:t>
      </w:r>
      <w:r w:rsidRPr="0037364E">
        <w:rPr>
          <w:rFonts w:ascii="Arial" w:eastAsia="Calibri" w:hAnsi="Arial" w:cs="Arial"/>
          <w:sz w:val="24"/>
          <w:szCs w:val="24"/>
        </w:rPr>
        <w:t>e §§ 2° e 8° da Lei Complementar 113/2005, que estabelece “</w:t>
      </w:r>
      <w:r w:rsidRPr="0037364E">
        <w:rPr>
          <w:rFonts w:ascii="Arial" w:eastAsia="Calibri" w:hAnsi="Arial" w:cs="Arial"/>
          <w:iCs/>
          <w:sz w:val="24"/>
          <w:szCs w:val="24"/>
        </w:rPr>
        <w:t>Ocorrendo vaga de cargo de Conselheiro a ser provida por Auditor ou por membro do Ministério Público junto ao Tribunal de Contas, o Presidente convocará sessão extraordinária para deliberar sobre a respectiva lista tríplice, dentro do prazo de 15 (quinze) dias, contado</w:t>
      </w:r>
      <w:r w:rsidR="0040087F">
        <w:rPr>
          <w:rFonts w:ascii="Arial" w:eastAsia="Calibri" w:hAnsi="Arial" w:cs="Arial"/>
          <w:iCs/>
          <w:sz w:val="24"/>
          <w:szCs w:val="24"/>
        </w:rPr>
        <w:t>s da data de ocorrência da vaga</w:t>
      </w:r>
      <w:r w:rsidRPr="0037364E">
        <w:rPr>
          <w:rFonts w:ascii="Arial" w:eastAsia="Calibri" w:hAnsi="Arial" w:cs="Arial"/>
          <w:iCs/>
          <w:sz w:val="24"/>
          <w:szCs w:val="24"/>
        </w:rPr>
        <w:t>”</w:t>
      </w:r>
      <w:r w:rsidR="00906521">
        <w:rPr>
          <w:rFonts w:ascii="Arial" w:eastAsia="Calibri" w:hAnsi="Arial" w:cs="Arial"/>
          <w:iCs/>
          <w:sz w:val="24"/>
          <w:szCs w:val="24"/>
        </w:rPr>
        <w:t>.</w:t>
      </w:r>
      <w:r w:rsidRPr="0037364E">
        <w:rPr>
          <w:rFonts w:ascii="Arial" w:eastAsia="Calibri" w:hAnsi="Arial" w:cs="Arial"/>
          <w:iCs/>
          <w:sz w:val="24"/>
          <w:szCs w:val="24"/>
        </w:rPr>
        <w:t xml:space="preserve"> “§ </w:t>
      </w:r>
      <w:r w:rsidRPr="0037364E">
        <w:rPr>
          <w:rFonts w:ascii="Arial" w:eastAsia="Calibri" w:hAnsi="Arial" w:cs="Arial"/>
          <w:sz w:val="24"/>
          <w:szCs w:val="24"/>
        </w:rPr>
        <w:t>2°</w:t>
      </w:r>
      <w:r w:rsidR="0040087F">
        <w:rPr>
          <w:rFonts w:ascii="Arial" w:eastAsia="Calibri" w:hAnsi="Arial" w:cs="Arial"/>
          <w:sz w:val="24"/>
          <w:szCs w:val="24"/>
        </w:rPr>
        <w:t xml:space="preserve"> </w:t>
      </w:r>
      <w:r w:rsidRPr="0037364E">
        <w:rPr>
          <w:rFonts w:ascii="Arial" w:eastAsia="Calibri" w:hAnsi="Arial" w:cs="Arial"/>
          <w:iCs/>
          <w:sz w:val="24"/>
          <w:szCs w:val="24"/>
        </w:rPr>
        <w:t>A lista tríplice obedecerá, alternadamente, ao critér</w:t>
      </w:r>
      <w:r w:rsidR="0040087F">
        <w:rPr>
          <w:rFonts w:ascii="Arial" w:eastAsia="Calibri" w:hAnsi="Arial" w:cs="Arial"/>
          <w:iCs/>
          <w:sz w:val="24"/>
          <w:szCs w:val="24"/>
        </w:rPr>
        <w:t>io de antiguidade e merecimento</w:t>
      </w:r>
      <w:r w:rsidR="00906521">
        <w:rPr>
          <w:rFonts w:ascii="Arial" w:eastAsia="Calibri" w:hAnsi="Arial" w:cs="Arial"/>
          <w:iCs/>
          <w:sz w:val="24"/>
          <w:szCs w:val="24"/>
        </w:rPr>
        <w:t>.</w:t>
      </w:r>
      <w:r w:rsidR="00D9343F">
        <w:rPr>
          <w:rFonts w:ascii="Arial" w:eastAsia="Calibri" w:hAnsi="Arial" w:cs="Arial"/>
          <w:iCs/>
          <w:sz w:val="24"/>
          <w:szCs w:val="24"/>
        </w:rPr>
        <w:t>”</w:t>
      </w:r>
      <w:r w:rsidR="0040087F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37364E">
        <w:rPr>
          <w:rFonts w:ascii="Arial" w:eastAsia="Calibri" w:hAnsi="Arial" w:cs="Arial"/>
          <w:iCs/>
          <w:sz w:val="24"/>
          <w:szCs w:val="24"/>
        </w:rPr>
        <w:t xml:space="preserve">“§ 8° Na avaliação do merecimento serão considerados prioritariamente os trabalhos e as atividades especiais desenvolvidas no âmbito do Tribunal de Contas e os dados profissionais e acadêmicos de cada indicado, </w:t>
      </w:r>
      <w:r w:rsidR="0040087F">
        <w:rPr>
          <w:rFonts w:ascii="Arial" w:eastAsia="Calibri" w:hAnsi="Arial" w:cs="Arial"/>
          <w:iCs/>
          <w:sz w:val="24"/>
          <w:szCs w:val="24"/>
        </w:rPr>
        <w:t>como anotado em ficha funcional.</w:t>
      </w:r>
      <w:r w:rsidR="00D9343F">
        <w:rPr>
          <w:rFonts w:ascii="Arial" w:eastAsia="Calibri" w:hAnsi="Arial" w:cs="Arial"/>
          <w:iCs/>
          <w:sz w:val="24"/>
          <w:szCs w:val="24"/>
        </w:rPr>
        <w:t>”</w:t>
      </w:r>
    </w:p>
    <w:p w14:paraId="29155770" w14:textId="77777777" w:rsidR="00CB3A8A" w:rsidRPr="0037364E" w:rsidRDefault="00CB3A8A" w:rsidP="00035E9E">
      <w:pPr>
        <w:adjustRightInd w:val="0"/>
        <w:ind w:firstLine="1134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C82D58" w14:textId="77777777" w:rsidR="00CB3A8A" w:rsidRPr="0037364E" w:rsidRDefault="00CB3A8A" w:rsidP="004D2F3B">
      <w:pPr>
        <w:adjustRightInd w:val="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CONSIDERANDO a ausência de previsão expressa no Regimento Interno do Tribunal de Contas quanto aos parâmetros para elaboração da lista tríplice por</w:t>
      </w:r>
      <w:r w:rsidR="000615D9">
        <w:rPr>
          <w:rFonts w:ascii="Arial" w:eastAsia="Calibri" w:hAnsi="Arial" w:cs="Arial"/>
          <w:sz w:val="24"/>
          <w:szCs w:val="24"/>
        </w:rPr>
        <w:t xml:space="preserve"> </w:t>
      </w:r>
      <w:r w:rsidRPr="0037364E">
        <w:rPr>
          <w:rFonts w:ascii="Arial" w:eastAsia="Calibri" w:hAnsi="Arial" w:cs="Arial"/>
          <w:sz w:val="24"/>
          <w:szCs w:val="24"/>
        </w:rPr>
        <w:t>critério merecimento,</w:t>
      </w:r>
    </w:p>
    <w:p w14:paraId="448051A6" w14:textId="77777777" w:rsidR="00CB3A8A" w:rsidRPr="0037364E" w:rsidRDefault="00CB3A8A" w:rsidP="004D2F3B">
      <w:pPr>
        <w:adjustRightInd w:val="0"/>
        <w:spacing w:before="360" w:after="360"/>
        <w:ind w:firstLine="113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t>RESOLVE</w:t>
      </w:r>
    </w:p>
    <w:p w14:paraId="09C92E7E" w14:textId="77777777" w:rsidR="00CB3A8A" w:rsidRPr="00695476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Art. 1º </w:t>
      </w:r>
      <w:r w:rsidRPr="0037364E">
        <w:rPr>
          <w:rFonts w:ascii="Arial" w:eastAsia="Calibri" w:hAnsi="Arial" w:cs="Arial"/>
          <w:sz w:val="24"/>
          <w:szCs w:val="24"/>
        </w:rPr>
        <w:t>O Tribunal de Contas do Estado do Paraná deliberará em sessão extraordinária sobre a lista tríplice dos Auditores para preenchimento da vaga de Conselheiro do Tribunal, a ser realizada em até 15 (quinze) dias, contados da data da ocorrência da vaga, conforme os parâmetros estabelecidos nesta Resolução.</w:t>
      </w:r>
    </w:p>
    <w:p w14:paraId="06093B71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t xml:space="preserve">Art. 2º </w:t>
      </w:r>
      <w:r w:rsidRPr="0037364E">
        <w:rPr>
          <w:rFonts w:ascii="Arial" w:eastAsia="Calibri" w:hAnsi="Arial" w:cs="Arial"/>
          <w:sz w:val="24"/>
          <w:szCs w:val="24"/>
        </w:rPr>
        <w:t>O procedimento previsto no art. 1º será instaurado com a protocolização de ofício do Presidente do Tribunal, autuado como requerimento in</w:t>
      </w:r>
      <w:r w:rsidR="003A0632">
        <w:rPr>
          <w:rFonts w:ascii="Arial" w:eastAsia="Calibri" w:hAnsi="Arial" w:cs="Arial"/>
          <w:sz w:val="24"/>
          <w:szCs w:val="24"/>
        </w:rPr>
        <w:t>terno, constando a relação dos A</w:t>
      </w:r>
      <w:r w:rsidRPr="0037364E">
        <w:rPr>
          <w:rFonts w:ascii="Arial" w:eastAsia="Calibri" w:hAnsi="Arial" w:cs="Arial"/>
          <w:sz w:val="24"/>
          <w:szCs w:val="24"/>
        </w:rPr>
        <w:t>uditores que concorrerão à formação da lista tríplice, por merecimento, para o preenchimento da vaga de Conselheiro.</w:t>
      </w:r>
    </w:p>
    <w:p w14:paraId="2B3A2336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 xml:space="preserve">§ 1º Será dada ciência, nos autos eletrônicos, aos Auditores da instauração do procedimento de que trata o </w:t>
      </w:r>
      <w:r w:rsidRPr="0037364E">
        <w:rPr>
          <w:rFonts w:ascii="Arial" w:eastAsia="Calibri" w:hAnsi="Arial" w:cs="Arial"/>
          <w:i/>
          <w:iCs/>
          <w:sz w:val="24"/>
          <w:szCs w:val="24"/>
        </w:rPr>
        <w:t>caput</w:t>
      </w:r>
      <w:r w:rsidRPr="0037364E">
        <w:rPr>
          <w:rFonts w:ascii="Arial" w:eastAsia="Calibri" w:hAnsi="Arial" w:cs="Arial"/>
          <w:sz w:val="24"/>
          <w:szCs w:val="24"/>
        </w:rPr>
        <w:t xml:space="preserve">. </w:t>
      </w:r>
    </w:p>
    <w:p w14:paraId="70659B31" w14:textId="77777777" w:rsidR="00CB3A8A" w:rsidRPr="00695476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§ 2º Os Auditores não interessados em concorrer à vaga de Conselheiro deverão se manifestar no prazo de até 2 (dois) dias, contados da instauração do procedimento.</w:t>
      </w:r>
    </w:p>
    <w:p w14:paraId="04FF9912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t xml:space="preserve">Art. 3º </w:t>
      </w:r>
      <w:r w:rsidRPr="0037364E">
        <w:rPr>
          <w:rFonts w:ascii="Arial" w:eastAsia="Calibri" w:hAnsi="Arial" w:cs="Arial"/>
          <w:sz w:val="24"/>
          <w:szCs w:val="24"/>
        </w:rPr>
        <w:t>Para fins da deliberação, nos termos do § 8° do art. 127 da Lei Complementar n° 113/2005, os membros votantes do Tribunal deverão utilizar como elementos de convicção os seguintes critérios, observada a respectiva pontuação máxima:</w:t>
      </w:r>
    </w:p>
    <w:p w14:paraId="5C9FFB2A" w14:textId="77777777" w:rsidR="00CB3A8A" w:rsidRPr="0037364E" w:rsidRDefault="00CB3A8A" w:rsidP="00695476">
      <w:pPr>
        <w:autoSpaceDE/>
        <w:autoSpaceDN/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7364E">
        <w:rPr>
          <w:rFonts w:ascii="Arial" w:eastAsia="Calibri" w:hAnsi="Arial" w:cs="Arial"/>
          <w:sz w:val="24"/>
          <w:szCs w:val="24"/>
        </w:rPr>
        <w:t>I – trabalho e produtividade: 50 pontos;</w:t>
      </w:r>
    </w:p>
    <w:p w14:paraId="007359DF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II – atividades especiais: 25 pontos;</w:t>
      </w:r>
    </w:p>
    <w:p w14:paraId="644B6ACB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III – aperfeiçoamento técnico: 15 pontos; e</w:t>
      </w:r>
    </w:p>
    <w:p w14:paraId="3C4CE316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IV– adequação da conduta aos padrões éticos: 10 pontos.</w:t>
      </w:r>
    </w:p>
    <w:p w14:paraId="6CB0932A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 xml:space="preserve">§ 1º A validade do voto ficará </w:t>
      </w:r>
      <w:proofErr w:type="gramStart"/>
      <w:r w:rsidRPr="0037364E">
        <w:rPr>
          <w:rFonts w:ascii="Arial" w:eastAsia="Calibri" w:hAnsi="Arial" w:cs="Arial"/>
          <w:sz w:val="24"/>
          <w:szCs w:val="24"/>
        </w:rPr>
        <w:t>adstrita</w:t>
      </w:r>
      <w:proofErr w:type="gramEnd"/>
      <w:r w:rsidRPr="0037364E">
        <w:rPr>
          <w:rFonts w:ascii="Arial" w:eastAsia="Calibri" w:hAnsi="Arial" w:cs="Arial"/>
          <w:sz w:val="24"/>
          <w:szCs w:val="24"/>
        </w:rPr>
        <w:t xml:space="preserve"> aos parâmetros de pontuação previstos nos incisos do </w:t>
      </w:r>
      <w:r w:rsidRPr="0037364E">
        <w:rPr>
          <w:rFonts w:ascii="Arial" w:eastAsia="Calibri" w:hAnsi="Arial" w:cs="Arial"/>
          <w:i/>
          <w:iCs/>
          <w:sz w:val="24"/>
          <w:szCs w:val="24"/>
        </w:rPr>
        <w:t>caput.</w:t>
      </w:r>
    </w:p>
    <w:p w14:paraId="4D0A99BC" w14:textId="77777777" w:rsidR="00CB3A8A" w:rsidRPr="0037364E" w:rsidRDefault="00CB3A8A" w:rsidP="00695476">
      <w:pPr>
        <w:suppressAutoHyphens/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7364E">
        <w:rPr>
          <w:rFonts w:ascii="Arial" w:eastAsia="Calibri" w:hAnsi="Arial" w:cs="Arial"/>
          <w:sz w:val="24"/>
          <w:szCs w:val="24"/>
        </w:rPr>
        <w:t xml:space="preserve">§ 2º </w:t>
      </w:r>
      <w:r w:rsidRPr="0037364E">
        <w:rPr>
          <w:rFonts w:ascii="Arial" w:eastAsia="Calibri" w:hAnsi="Arial" w:cs="Arial"/>
          <w:sz w:val="24"/>
          <w:szCs w:val="24"/>
          <w:lang w:eastAsia="en-US"/>
        </w:rPr>
        <w:t>A consideração dos critérios relacionados nos incisos I e II abrangerá todo o período no cargo de Auditor, desde a sua posse até a data da autuação do requerimento interno de que trata o art. 2°.</w:t>
      </w:r>
    </w:p>
    <w:p w14:paraId="2AB8954B" w14:textId="77777777" w:rsidR="00CB3A8A" w:rsidRPr="00695476" w:rsidRDefault="00CB3A8A" w:rsidP="00695476">
      <w:pPr>
        <w:suppressAutoHyphens/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7364E">
        <w:rPr>
          <w:rFonts w:ascii="Arial" w:eastAsia="Calibri" w:hAnsi="Arial" w:cs="Arial"/>
          <w:sz w:val="24"/>
          <w:szCs w:val="24"/>
          <w:lang w:eastAsia="en-US"/>
        </w:rPr>
        <w:t>§ 3º A consideração dos critérios relacionados nos incisos III e IV abrangerá o período anterior e posterior à posse no cargo até a data da autuação do requerimento interno de que trata o art. 2°.</w:t>
      </w:r>
    </w:p>
    <w:p w14:paraId="0644297A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t xml:space="preserve">Art. 4º </w:t>
      </w:r>
      <w:r w:rsidRPr="0037364E">
        <w:rPr>
          <w:rFonts w:ascii="Arial" w:eastAsia="Calibri" w:hAnsi="Arial" w:cs="Arial"/>
          <w:sz w:val="24"/>
          <w:szCs w:val="24"/>
        </w:rPr>
        <w:t>Na análise do trabalho e da produtividade</w:t>
      </w:r>
      <w:r w:rsidR="00D61CBC">
        <w:rPr>
          <w:rFonts w:ascii="Arial" w:eastAsia="Calibri" w:hAnsi="Arial" w:cs="Arial"/>
          <w:sz w:val="24"/>
          <w:szCs w:val="24"/>
        </w:rPr>
        <w:t>,</w:t>
      </w:r>
      <w:r w:rsidRPr="0037364E">
        <w:rPr>
          <w:rFonts w:ascii="Arial" w:eastAsia="Calibri" w:hAnsi="Arial" w:cs="Arial"/>
          <w:sz w:val="24"/>
          <w:szCs w:val="24"/>
        </w:rPr>
        <w:t xml:space="preserve"> serão consideradas as seguintes informações:</w:t>
      </w:r>
    </w:p>
    <w:p w14:paraId="7FF7EEE1" w14:textId="77777777" w:rsidR="00CB3A8A" w:rsidRPr="0037364E" w:rsidRDefault="00CB3A8A" w:rsidP="00695476">
      <w:pPr>
        <w:suppressAutoHyphens/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7364E">
        <w:rPr>
          <w:rFonts w:ascii="Arial" w:eastAsia="Calibri" w:hAnsi="Arial" w:cs="Arial"/>
          <w:sz w:val="24"/>
          <w:szCs w:val="24"/>
          <w:lang w:eastAsia="en-US"/>
        </w:rPr>
        <w:t>I – número de processos distribuídos;</w:t>
      </w:r>
    </w:p>
    <w:p w14:paraId="65942B77" w14:textId="77777777" w:rsidR="00CB3A8A" w:rsidRPr="0037364E" w:rsidRDefault="00CB3A8A" w:rsidP="00695476">
      <w:pPr>
        <w:suppressAutoHyphens/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7364E">
        <w:rPr>
          <w:rFonts w:ascii="Arial" w:eastAsia="Calibri" w:hAnsi="Arial" w:cs="Arial"/>
          <w:sz w:val="24"/>
          <w:szCs w:val="24"/>
          <w:lang w:eastAsia="en-US"/>
        </w:rPr>
        <w:t>II – número de processos relatados em cada um dos órgãos colegiados, que resultaram na emissão de acórdão;</w:t>
      </w:r>
    </w:p>
    <w:p w14:paraId="00546CA5" w14:textId="77777777" w:rsidR="00CB3A8A" w:rsidRPr="0037364E" w:rsidRDefault="00CB3A8A" w:rsidP="00695476">
      <w:pPr>
        <w:suppressAutoHyphens/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7364E">
        <w:rPr>
          <w:rFonts w:ascii="Arial" w:eastAsia="Calibri" w:hAnsi="Arial" w:cs="Arial"/>
          <w:sz w:val="24"/>
          <w:szCs w:val="24"/>
          <w:lang w:eastAsia="en-US"/>
        </w:rPr>
        <w:t>III - número de decisões definitivas monocráticas proferidas;</w:t>
      </w:r>
    </w:p>
    <w:p w14:paraId="41D8A572" w14:textId="77777777" w:rsidR="00CB3A8A" w:rsidRPr="0037364E" w:rsidRDefault="00CB3A8A" w:rsidP="00695476">
      <w:pPr>
        <w:suppressAutoHyphens/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7364E">
        <w:rPr>
          <w:rFonts w:ascii="Arial" w:eastAsia="Calibri" w:hAnsi="Arial" w:cs="Arial"/>
          <w:sz w:val="24"/>
          <w:szCs w:val="24"/>
          <w:lang w:eastAsia="en-US"/>
        </w:rPr>
        <w:t>IV – número de processos conclusos e com atraso; e</w:t>
      </w:r>
    </w:p>
    <w:p w14:paraId="2F4FE666" w14:textId="77777777" w:rsidR="00CB3A8A" w:rsidRPr="00695476" w:rsidRDefault="00CB3A8A" w:rsidP="00695476">
      <w:pPr>
        <w:suppressAutoHyphens/>
        <w:autoSpaceDE/>
        <w:autoSpaceDN/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7364E">
        <w:rPr>
          <w:rFonts w:ascii="Arial" w:eastAsia="Calibri" w:hAnsi="Arial" w:cs="Arial"/>
          <w:sz w:val="24"/>
          <w:szCs w:val="24"/>
          <w:lang w:eastAsia="en-US"/>
        </w:rPr>
        <w:lastRenderedPageBreak/>
        <w:t>V – número de processos com atraso para encaminhamento ou disponibilização do voto para lavratura de acórdão, após a sessão de julgamento, nos termos regimentais.</w:t>
      </w:r>
    </w:p>
    <w:p w14:paraId="2746B312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t xml:space="preserve">Art. 5º </w:t>
      </w:r>
      <w:r w:rsidRPr="0037364E">
        <w:rPr>
          <w:rFonts w:ascii="Arial" w:eastAsia="Calibri" w:hAnsi="Arial" w:cs="Arial"/>
          <w:sz w:val="24"/>
          <w:szCs w:val="24"/>
        </w:rPr>
        <w:t>Serão consideradas atividades especiais aquelas desenvolvidas no âmbito do Tribunal de Contas, que digam respeito a:</w:t>
      </w:r>
    </w:p>
    <w:p w14:paraId="5E506F1C" w14:textId="77777777" w:rsidR="00695476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 – participação em comissões temporárias;</w:t>
      </w:r>
    </w:p>
    <w:p w14:paraId="4EC38081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II – participação, como instrutor ou palestrante, em cursos de aperfeiçoamento técnico oferecidos pelo Tribunal de Contas a servidores e jurisdicionados; e</w:t>
      </w:r>
    </w:p>
    <w:p w14:paraId="3D25ADF4" w14:textId="77777777" w:rsidR="00CB3A8A" w:rsidRPr="00695476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III – publicações de artigos técnico-doutrinários na Revista do Tribunal de Contas.</w:t>
      </w:r>
    </w:p>
    <w:p w14:paraId="698F425A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t>Art. 6º</w:t>
      </w:r>
      <w:r w:rsidRPr="0037364E">
        <w:rPr>
          <w:rFonts w:ascii="Arial" w:eastAsia="Calibri" w:hAnsi="Arial" w:cs="Arial"/>
          <w:sz w:val="24"/>
          <w:szCs w:val="24"/>
        </w:rPr>
        <w:t xml:space="preserve"> No critério relativo ao aperfeiçoamento técnico, serão considerados os dados profissionais e acadêmicos de cada interessado, relacionados ao conhecimento nas áreas jurídica, contábil, econômica, financeira ou de administração pública, referentes a:</w:t>
      </w:r>
    </w:p>
    <w:p w14:paraId="37F1794C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 – diplomas, títulos ou certificados de conclusão de cursos;</w:t>
      </w:r>
    </w:p>
    <w:p w14:paraId="45C72317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II – exercício de atividade docente em instituições de ensino, por ano de exercício de magistério;</w:t>
      </w:r>
    </w:p>
    <w:p w14:paraId="0399F1F7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III – participação, como palestrante ou instrutor, em seminários, congressos e outros eventos correlatos;</w:t>
      </w:r>
    </w:p>
    <w:p w14:paraId="43E44495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IV - participação, como ouvinte, em seminários, congressos e outros eventos correlatos;</w:t>
      </w:r>
    </w:p>
    <w:p w14:paraId="2727D648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 xml:space="preserve">V – publicações em revistas especializadas, como autor ou coautor, de artigos técnico-doutrinários, correspondentes às áreas mencionadas no </w:t>
      </w:r>
      <w:r w:rsidRPr="0037364E">
        <w:rPr>
          <w:rFonts w:ascii="Arial" w:eastAsia="Calibri" w:hAnsi="Arial" w:cs="Arial"/>
          <w:i/>
          <w:iCs/>
          <w:sz w:val="24"/>
          <w:szCs w:val="24"/>
        </w:rPr>
        <w:t xml:space="preserve">caput; </w:t>
      </w:r>
      <w:r w:rsidRPr="0037364E">
        <w:rPr>
          <w:rFonts w:ascii="Arial" w:eastAsia="Calibri" w:hAnsi="Arial" w:cs="Arial"/>
          <w:sz w:val="24"/>
          <w:szCs w:val="24"/>
        </w:rPr>
        <w:t xml:space="preserve">e </w:t>
      </w:r>
    </w:p>
    <w:p w14:paraId="3E544CF1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VI – publicações de livros como autor ou coautor, correspondentes às áreas</w:t>
      </w:r>
      <w:r w:rsidR="00695476">
        <w:rPr>
          <w:rFonts w:ascii="Arial" w:eastAsia="Calibri" w:hAnsi="Arial" w:cs="Arial"/>
          <w:sz w:val="24"/>
          <w:szCs w:val="24"/>
        </w:rPr>
        <w:t xml:space="preserve"> </w:t>
      </w:r>
      <w:r w:rsidRPr="0037364E">
        <w:rPr>
          <w:rFonts w:ascii="Arial" w:eastAsia="Calibri" w:hAnsi="Arial" w:cs="Arial"/>
          <w:sz w:val="24"/>
          <w:szCs w:val="24"/>
        </w:rPr>
        <w:t xml:space="preserve">mencionadas no </w:t>
      </w:r>
      <w:r w:rsidRPr="0037364E">
        <w:rPr>
          <w:rFonts w:ascii="Arial" w:eastAsia="Calibri" w:hAnsi="Arial" w:cs="Arial"/>
          <w:i/>
          <w:iCs/>
          <w:sz w:val="24"/>
          <w:szCs w:val="24"/>
        </w:rPr>
        <w:t>caput</w:t>
      </w:r>
      <w:r w:rsidRPr="0037364E">
        <w:rPr>
          <w:rFonts w:ascii="Arial" w:eastAsia="Calibri" w:hAnsi="Arial" w:cs="Arial"/>
          <w:sz w:val="24"/>
          <w:szCs w:val="24"/>
        </w:rPr>
        <w:t>.</w:t>
      </w:r>
    </w:p>
    <w:p w14:paraId="431889A6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t xml:space="preserve">Art. 7º </w:t>
      </w:r>
      <w:r w:rsidRPr="0037364E">
        <w:rPr>
          <w:rFonts w:ascii="Arial" w:eastAsia="Calibri" w:hAnsi="Arial" w:cs="Arial"/>
          <w:sz w:val="24"/>
          <w:szCs w:val="24"/>
        </w:rPr>
        <w:t>Na avaliação da adequação de conduta aos padrões éticos, serão considerados os seguintes princípios, previstos no art. 137 da Lei Complementar nº 113/2005:</w:t>
      </w:r>
    </w:p>
    <w:p w14:paraId="1F6585D1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 – lisura e probidade, inclusive no que concerne à relação entre suas atividades públicas e particulares; e</w:t>
      </w:r>
    </w:p>
    <w:p w14:paraId="14CB549B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II – decoro inerente ao exercício da função pública.</w:t>
      </w:r>
    </w:p>
    <w:p w14:paraId="57798231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t xml:space="preserve">Art. 8° </w:t>
      </w:r>
      <w:r w:rsidRPr="0037364E">
        <w:rPr>
          <w:rFonts w:ascii="Arial" w:eastAsia="Calibri" w:hAnsi="Arial" w:cs="Arial"/>
          <w:sz w:val="24"/>
          <w:szCs w:val="24"/>
        </w:rPr>
        <w:t xml:space="preserve">As informações, para os fins do contido no art. 3º, serão compiladas pelo </w:t>
      </w:r>
      <w:r w:rsidRPr="0037364E">
        <w:rPr>
          <w:rFonts w:ascii="Arial" w:eastAsia="Calibri" w:hAnsi="Arial" w:cs="Arial"/>
          <w:sz w:val="24"/>
          <w:szCs w:val="24"/>
          <w:lang w:eastAsia="en-US"/>
        </w:rPr>
        <w:t xml:space="preserve">Gabinete da </w:t>
      </w:r>
      <w:r w:rsidRPr="0037364E">
        <w:rPr>
          <w:rFonts w:ascii="Arial" w:eastAsia="Calibri" w:hAnsi="Arial" w:cs="Arial"/>
          <w:sz w:val="24"/>
          <w:szCs w:val="24"/>
        </w:rPr>
        <w:t xml:space="preserve">Corregedoria-Geral, mediante a solicitação de informações às unidades técnicas competentes, agrupando-as por ano, exceto aquelas de que tratam os incisos IV e V do art. 4º, que </w:t>
      </w:r>
      <w:r w:rsidRPr="0037364E">
        <w:rPr>
          <w:rFonts w:ascii="Arial" w:eastAsia="Calibri" w:hAnsi="Arial" w:cs="Arial"/>
          <w:sz w:val="24"/>
          <w:szCs w:val="24"/>
          <w:lang w:eastAsia="en-US"/>
        </w:rPr>
        <w:t>serão expostas por bimestre, na forma dos relatórios de que trata o art. 125, VI, da Lei Complementar nº 113/2005.</w:t>
      </w:r>
    </w:p>
    <w:p w14:paraId="6B84815E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Art. 9º </w:t>
      </w:r>
      <w:r w:rsidRPr="0037364E">
        <w:rPr>
          <w:rFonts w:ascii="Arial" w:eastAsia="Calibri" w:hAnsi="Arial" w:cs="Arial"/>
          <w:sz w:val="24"/>
          <w:szCs w:val="24"/>
        </w:rPr>
        <w:t>As informações serão consolidadas pelo Gabinete da Corregedoria-Geral e encaminhadas ao Gabinete da Presidência para cientificação dos candidatos, mediante comprovação de recebimento.</w:t>
      </w:r>
    </w:p>
    <w:p w14:paraId="5563DEBF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Parágrafo único.  O prazo de impugnação pelos candidatos é de 5 (cinco) dias, contados do recebimento da notificação.</w:t>
      </w:r>
    </w:p>
    <w:p w14:paraId="736518EE" w14:textId="21BA33FF" w:rsidR="00CB3A8A" w:rsidRPr="00695476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sz w:val="24"/>
          <w:szCs w:val="24"/>
        </w:rPr>
        <w:t>Art. 10</w:t>
      </w:r>
      <w:r w:rsidR="004F6DE4">
        <w:rPr>
          <w:rFonts w:ascii="Arial" w:eastAsia="Calibri" w:hAnsi="Arial" w:cs="Arial"/>
          <w:b/>
          <w:sz w:val="24"/>
          <w:szCs w:val="24"/>
        </w:rPr>
        <w:t>.</w:t>
      </w:r>
      <w:r w:rsidRPr="0037364E">
        <w:rPr>
          <w:rFonts w:ascii="Arial" w:eastAsia="Calibri" w:hAnsi="Arial" w:cs="Arial"/>
          <w:sz w:val="24"/>
          <w:szCs w:val="24"/>
        </w:rPr>
        <w:t xml:space="preserve"> Expirado o prazo previsto no parágrafo único, do art. 9º, as informações serão encaminhadas pelo </w:t>
      </w:r>
      <w:r w:rsidRPr="0037364E">
        <w:rPr>
          <w:rFonts w:ascii="Arial" w:eastAsia="Calibri" w:hAnsi="Arial" w:cs="Arial"/>
          <w:sz w:val="24"/>
          <w:szCs w:val="24"/>
          <w:lang w:eastAsia="en-US"/>
        </w:rPr>
        <w:t xml:space="preserve">Gabinete da </w:t>
      </w:r>
      <w:r w:rsidRPr="0037364E">
        <w:rPr>
          <w:rFonts w:ascii="Arial" w:eastAsia="Calibri" w:hAnsi="Arial" w:cs="Arial"/>
          <w:sz w:val="24"/>
          <w:szCs w:val="24"/>
        </w:rPr>
        <w:t>Presidência aos membros votantes, com antecedência mínima de 2 (dois) dias da sessão de formação da lista tríplice, juntamente com as impugnações, se houver.</w:t>
      </w:r>
    </w:p>
    <w:p w14:paraId="087A509C" w14:textId="77777777" w:rsidR="00CB3A8A" w:rsidRPr="00695476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sz w:val="24"/>
          <w:szCs w:val="24"/>
        </w:rPr>
        <w:t>Art. 11</w:t>
      </w:r>
      <w:r w:rsidR="004F6DE4">
        <w:rPr>
          <w:rFonts w:ascii="Arial" w:eastAsia="Calibri" w:hAnsi="Arial" w:cs="Arial"/>
          <w:b/>
          <w:sz w:val="24"/>
          <w:szCs w:val="24"/>
        </w:rPr>
        <w:t>.</w:t>
      </w:r>
      <w:r w:rsidRPr="0037364E">
        <w:rPr>
          <w:rFonts w:ascii="Arial" w:eastAsia="Calibri" w:hAnsi="Arial" w:cs="Arial"/>
          <w:sz w:val="24"/>
          <w:szCs w:val="24"/>
        </w:rPr>
        <w:t xml:space="preserve"> Na sessão extraordinária mencionada no art. 1º, as impugnações de que trata o art. 10 serão relatadas pelo Presidente, que apresentará proposta de decisão a ser submetida à votação dos demais Conselheiros, computando-se, para esse efeito, o voto do Relator. </w:t>
      </w:r>
    </w:p>
    <w:p w14:paraId="577324BF" w14:textId="77777777" w:rsidR="00CB3A8A" w:rsidRPr="0037364E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t>Art. 12</w:t>
      </w:r>
      <w:r w:rsidR="004F6DE4">
        <w:rPr>
          <w:rFonts w:ascii="Arial" w:eastAsia="Calibri" w:hAnsi="Arial" w:cs="Arial"/>
          <w:b/>
          <w:bCs/>
          <w:sz w:val="24"/>
          <w:szCs w:val="24"/>
        </w:rPr>
        <w:t>.</w:t>
      </w:r>
      <w:r w:rsidRPr="0037364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7364E">
        <w:rPr>
          <w:rFonts w:ascii="Arial" w:eastAsia="Calibri" w:hAnsi="Arial" w:cs="Arial"/>
          <w:sz w:val="24"/>
          <w:szCs w:val="24"/>
        </w:rPr>
        <w:t>Na sessão de formação da lista tríplice será observada a seguinte ordem dos trabalhos:</w:t>
      </w:r>
    </w:p>
    <w:p w14:paraId="77559670" w14:textId="77777777" w:rsidR="00CB3A8A" w:rsidRPr="0037364E" w:rsidRDefault="00172695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 – a</w:t>
      </w:r>
      <w:r w:rsidR="00CB3A8A" w:rsidRPr="0037364E">
        <w:rPr>
          <w:rFonts w:ascii="Arial" w:eastAsia="Calibri" w:hAnsi="Arial" w:cs="Arial"/>
          <w:sz w:val="24"/>
          <w:szCs w:val="24"/>
        </w:rPr>
        <w:t>s cédulas de votação, conforme modelo do Anexo I, serão rubricadas pela Secretária da Sessão e entregues, juntamente com os respectivos invólucros, para cada um dos membros votantes;</w:t>
      </w:r>
    </w:p>
    <w:p w14:paraId="29794BD6" w14:textId="77777777" w:rsidR="00CB3A8A" w:rsidRPr="0037364E" w:rsidRDefault="00172695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II – a</w:t>
      </w:r>
      <w:r w:rsidR="00CB3A8A" w:rsidRPr="0037364E">
        <w:rPr>
          <w:rFonts w:ascii="Arial" w:eastAsia="Calibri" w:hAnsi="Arial" w:cs="Arial"/>
          <w:sz w:val="24"/>
          <w:szCs w:val="24"/>
        </w:rPr>
        <w:t>pós o preenchimento das cédulas, o Presidente colocará na urna o seu voto, em invólucro fechado e chamará, na ordem de antiguidade, os Conselheiros para que também o façam;</w:t>
      </w:r>
    </w:p>
    <w:p w14:paraId="2D5F220A" w14:textId="77777777" w:rsidR="00CB3A8A" w:rsidRPr="0037364E" w:rsidRDefault="00172695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>III – o</w:t>
      </w:r>
      <w:r w:rsidR="00CB3A8A" w:rsidRPr="0037364E">
        <w:rPr>
          <w:rFonts w:ascii="Arial" w:eastAsia="Calibri" w:hAnsi="Arial" w:cs="Arial"/>
          <w:sz w:val="24"/>
          <w:szCs w:val="24"/>
        </w:rPr>
        <w:t xml:space="preserve"> Procurador-Geral do Ministério Público de Contas procederá ao somatório das avaliações de cada um dos interessados e encaminhará o resultado ao Presidente, que anunciará esses totais;</w:t>
      </w:r>
    </w:p>
    <w:p w14:paraId="35A9B68B" w14:textId="77777777" w:rsidR="00172695" w:rsidRDefault="00172695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IV – c</w:t>
      </w:r>
      <w:r w:rsidR="00CB3A8A" w:rsidRPr="0037364E">
        <w:rPr>
          <w:rFonts w:ascii="Arial" w:eastAsia="Calibri" w:hAnsi="Arial" w:cs="Arial"/>
          <w:sz w:val="24"/>
          <w:szCs w:val="24"/>
        </w:rPr>
        <w:t xml:space="preserve">om base no resultado, o Presidente elaborará a lista tríplice, em ordem decrescente de pontuação, que será submetida à homologação do Plenário; e </w:t>
      </w:r>
    </w:p>
    <w:p w14:paraId="4ACCD554" w14:textId="7F698869" w:rsidR="00CB3A8A" w:rsidRPr="0037364E" w:rsidRDefault="00172695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 – s</w:t>
      </w:r>
      <w:r w:rsidR="00CB3A8A" w:rsidRPr="0037364E">
        <w:rPr>
          <w:rFonts w:ascii="Arial" w:eastAsia="Calibri" w:hAnsi="Arial" w:cs="Arial"/>
          <w:sz w:val="24"/>
          <w:szCs w:val="24"/>
        </w:rPr>
        <w:t>erão utilizados como critérios de desempate, sucessivamente, o maior tempo de efetivo exercício no cargo de Auditor, o maior tempo de serviço público e maior idade.</w:t>
      </w:r>
    </w:p>
    <w:p w14:paraId="2F20C165" w14:textId="77777777" w:rsidR="00CB3A8A" w:rsidRPr="00695476" w:rsidRDefault="00CB3A8A" w:rsidP="00695476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Parágrafo único. Será encaminhada ao Governador do Estado</w:t>
      </w:r>
      <w:r w:rsidR="004D4B3A">
        <w:rPr>
          <w:rFonts w:ascii="Arial" w:eastAsia="Calibri" w:hAnsi="Arial" w:cs="Arial"/>
          <w:sz w:val="24"/>
          <w:szCs w:val="24"/>
        </w:rPr>
        <w:t xml:space="preserve"> a </w:t>
      </w:r>
      <w:r w:rsidRPr="0037364E">
        <w:rPr>
          <w:rFonts w:ascii="Arial" w:eastAsia="Calibri" w:hAnsi="Arial" w:cs="Arial"/>
          <w:sz w:val="24"/>
          <w:szCs w:val="24"/>
        </w:rPr>
        <w:t>lista tríplice de que trata o inciso IV, acompanhada de cópia integral dos autos do requerimento interno e da ata da sessão extraordinária.</w:t>
      </w:r>
    </w:p>
    <w:p w14:paraId="16A81D48" w14:textId="77777777" w:rsidR="00CB3A8A" w:rsidRPr="0037364E" w:rsidRDefault="00CB3A8A" w:rsidP="00695476">
      <w:pPr>
        <w:autoSpaceDE/>
        <w:autoSpaceDN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b/>
          <w:bCs/>
          <w:sz w:val="24"/>
          <w:szCs w:val="24"/>
        </w:rPr>
        <w:t xml:space="preserve">Art. 13. </w:t>
      </w:r>
      <w:r w:rsidRPr="0037364E">
        <w:rPr>
          <w:rFonts w:ascii="Arial" w:eastAsia="Calibri" w:hAnsi="Arial" w:cs="Arial"/>
          <w:sz w:val="24"/>
          <w:szCs w:val="24"/>
        </w:rPr>
        <w:t>Esta Resolução entra em vigor na data de publicação.</w:t>
      </w:r>
    </w:p>
    <w:p w14:paraId="4A78019D" w14:textId="77777777" w:rsidR="008238AB" w:rsidRPr="0037364E" w:rsidRDefault="008238AB" w:rsidP="00CB3A8A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</w:p>
    <w:p w14:paraId="78E2AF2F" w14:textId="77777777" w:rsidR="008238AB" w:rsidRPr="0037364E" w:rsidRDefault="008238AB" w:rsidP="00CB3A8A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</w:p>
    <w:p w14:paraId="2B67A565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>Curitiba, 31 de julho de 2014.</w:t>
      </w:r>
    </w:p>
    <w:p w14:paraId="4240EF54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</w:p>
    <w:p w14:paraId="502A48F9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</w:p>
    <w:p w14:paraId="013E6209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</w:rPr>
      </w:pPr>
      <w:r w:rsidRPr="0037364E">
        <w:rPr>
          <w:rFonts w:ascii="Arial" w:eastAsia="Calibri" w:hAnsi="Arial" w:cs="Arial"/>
          <w:b/>
          <w:sz w:val="24"/>
          <w:szCs w:val="24"/>
        </w:rPr>
        <w:t>ARTAGÃO DE MATTOS LEÃO</w:t>
      </w:r>
    </w:p>
    <w:p w14:paraId="5143A41F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  <w:sectPr w:rsidR="008238AB" w:rsidRPr="0037364E" w:rsidSect="009F5012">
          <w:headerReference w:type="default" r:id="rId8"/>
          <w:footnotePr>
            <w:numFmt w:val="chicago"/>
          </w:footnotePr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37364E">
        <w:rPr>
          <w:rFonts w:ascii="Arial" w:eastAsia="Calibri" w:hAnsi="Arial" w:cs="Arial"/>
          <w:sz w:val="24"/>
          <w:szCs w:val="24"/>
        </w:rPr>
        <w:t>Presidente</w:t>
      </w:r>
    </w:p>
    <w:p w14:paraId="2AFC2396" w14:textId="77777777" w:rsidR="00CB3A8A" w:rsidRPr="00CA1ADA" w:rsidRDefault="009C5E61" w:rsidP="00F40E32">
      <w:pPr>
        <w:pStyle w:val="Ttulo4"/>
        <w:jc w:val="center"/>
        <w:rPr>
          <w:rFonts w:ascii="Arial" w:eastAsia="Calibri" w:hAnsi="Arial" w:cs="Arial"/>
          <w:w w:val="150"/>
          <w:lang w:eastAsia="en-US"/>
        </w:rPr>
      </w:pPr>
      <w:r>
        <w:rPr>
          <w:rFonts w:ascii="Arial" w:eastAsia="Calibri" w:hAnsi="Arial" w:cs="Arial"/>
          <w:w w:val="150"/>
          <w:lang w:eastAsia="en-US"/>
        </w:rPr>
        <w:lastRenderedPageBreak/>
        <w:t xml:space="preserve">ANEXO I DA RESOLUÇÃO Nº </w:t>
      </w:r>
      <w:r w:rsidR="004427BE" w:rsidRPr="00CA1ADA">
        <w:rPr>
          <w:rFonts w:ascii="Arial" w:eastAsia="Calibri" w:hAnsi="Arial" w:cs="Arial"/>
          <w:w w:val="150"/>
          <w:lang w:eastAsia="en-US"/>
        </w:rPr>
        <w:t>47/2014</w:t>
      </w:r>
    </w:p>
    <w:p w14:paraId="25EE0D22" w14:textId="77777777" w:rsidR="0002592A" w:rsidRPr="0002592A" w:rsidRDefault="0002592A" w:rsidP="00CB3A8A">
      <w:pPr>
        <w:autoSpaceDE/>
        <w:autoSpaceDN/>
        <w:spacing w:after="120"/>
        <w:jc w:val="center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1134"/>
        <w:gridCol w:w="1134"/>
      </w:tblGrid>
      <w:tr w:rsidR="00CB3A8A" w:rsidRPr="00D75978" w14:paraId="72623740" w14:textId="77777777" w:rsidTr="001D35DD">
        <w:trPr>
          <w:trHeight w:hRule="exact" w:val="773"/>
        </w:trPr>
        <w:tc>
          <w:tcPr>
            <w:tcW w:w="4536" w:type="dxa"/>
            <w:shd w:val="clear" w:color="auto" w:fill="auto"/>
            <w:vAlign w:val="center"/>
          </w:tcPr>
          <w:p w14:paraId="387A8A73" w14:textId="77777777" w:rsidR="00CB3A8A" w:rsidRPr="00D75978" w:rsidRDefault="00CB3A8A" w:rsidP="00222F88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E20FD" w14:textId="77777777" w:rsidR="00CB3A8A" w:rsidRPr="00D75978" w:rsidRDefault="00CB3A8A" w:rsidP="00222F88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Auditor 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46121" w14:textId="77777777" w:rsidR="00CB3A8A" w:rsidRPr="00D75978" w:rsidRDefault="00CB3A8A" w:rsidP="00222F88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Auditor 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EF2F4" w14:textId="77777777" w:rsidR="00CB3A8A" w:rsidRPr="00D75978" w:rsidRDefault="00CB3A8A" w:rsidP="00222F88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Auditor 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B2473" w14:textId="77777777" w:rsidR="00CB3A8A" w:rsidRPr="00D75978" w:rsidRDefault="00CB3A8A" w:rsidP="00222F88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Auditor D</w:t>
            </w:r>
          </w:p>
        </w:tc>
      </w:tr>
      <w:tr w:rsidR="00CB3A8A" w:rsidRPr="00D75978" w14:paraId="1CDDA000" w14:textId="77777777" w:rsidTr="001D35DD">
        <w:trPr>
          <w:trHeight w:hRule="exact" w:val="2756"/>
        </w:trPr>
        <w:tc>
          <w:tcPr>
            <w:tcW w:w="4536" w:type="dxa"/>
            <w:shd w:val="clear" w:color="auto" w:fill="auto"/>
            <w:vAlign w:val="center"/>
          </w:tcPr>
          <w:p w14:paraId="3CEE8C89" w14:textId="77777777" w:rsidR="00CB3A8A" w:rsidRPr="00D75978" w:rsidRDefault="00CB3A8A" w:rsidP="00222F88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b/>
                <w:sz w:val="24"/>
                <w:szCs w:val="22"/>
                <w:lang w:eastAsia="en-US"/>
              </w:rPr>
              <w:t>TRABALHO E PRODUTIVIDADE</w:t>
            </w:r>
          </w:p>
          <w:p w14:paraId="26922808" w14:textId="77777777" w:rsidR="00CB3A8A" w:rsidRPr="00D75978" w:rsidRDefault="00CB3A8A" w:rsidP="00222F88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Art. 4º, I a V – máx. de 50 pontos.</w:t>
            </w:r>
          </w:p>
          <w:p w14:paraId="50168097" w14:textId="77777777" w:rsidR="00CB3A8A" w:rsidRPr="00C5520C" w:rsidRDefault="00CB3A8A" w:rsidP="005656C5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5520C">
              <w:rPr>
                <w:rFonts w:ascii="Arial" w:eastAsia="Calibri" w:hAnsi="Arial" w:cs="Arial"/>
                <w:sz w:val="18"/>
                <w:szCs w:val="18"/>
                <w:lang w:eastAsia="en-US"/>
              </w:rPr>
              <w:sym w:font="Wingdings" w:char="F06C"/>
            </w:r>
            <w:r w:rsidRPr="00C5520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Número de processos distribuídos; </w:t>
            </w:r>
            <w:r w:rsidRPr="00C5520C">
              <w:rPr>
                <w:rFonts w:ascii="Arial" w:eastAsia="Calibri" w:hAnsi="Arial" w:cs="Arial"/>
                <w:sz w:val="18"/>
                <w:szCs w:val="18"/>
                <w:lang w:eastAsia="en-US"/>
              </w:rPr>
              <w:sym w:font="Wingdings" w:char="F06C"/>
            </w:r>
            <w:r w:rsidRPr="00C5520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Número</w:t>
            </w:r>
            <w:r w:rsidR="00711A9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C5520C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 processos relatados em cada um dos órgãos colegiados, que resultaram na emissão de Acórdão</w:t>
            </w:r>
            <w:r w:rsidR="00711A9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; </w:t>
            </w:r>
            <w:r w:rsidRPr="00C5520C">
              <w:rPr>
                <w:rFonts w:ascii="Arial" w:eastAsia="Calibri" w:hAnsi="Arial" w:cs="Arial"/>
                <w:sz w:val="18"/>
                <w:szCs w:val="18"/>
                <w:lang w:eastAsia="en-US"/>
              </w:rPr>
              <w:sym w:font="Wingdings" w:char="F06C"/>
            </w:r>
            <w:r w:rsidRPr="00C5520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Número de decisões definitivas monocráticas proferidas; </w:t>
            </w:r>
            <w:r w:rsidRPr="00C5520C">
              <w:rPr>
                <w:rFonts w:ascii="Arial" w:eastAsia="Calibri" w:hAnsi="Arial" w:cs="Arial"/>
                <w:sz w:val="18"/>
                <w:szCs w:val="18"/>
                <w:lang w:eastAsia="en-US"/>
              </w:rPr>
              <w:sym w:font="Wingdings" w:char="F06C"/>
            </w:r>
            <w:r w:rsidRPr="00C5520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Número de processos conclusos e com atraso; </w:t>
            </w:r>
            <w:r w:rsidRPr="00C5520C">
              <w:rPr>
                <w:rFonts w:ascii="Arial" w:eastAsia="Calibri" w:hAnsi="Arial" w:cs="Arial"/>
                <w:sz w:val="18"/>
                <w:szCs w:val="18"/>
                <w:lang w:eastAsia="en-US"/>
              </w:rPr>
              <w:sym w:font="Wingdings" w:char="F06C"/>
            </w:r>
            <w:r w:rsidRPr="00C5520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Número de processos com atraso para encaminhamento ou disponibilização do voto para lavratura de Acórdão, após a sessão de julgamento, nos termos regimentais.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FF7DA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41540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1014CA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FA4960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B3A8A" w:rsidRPr="00D75978" w14:paraId="1F7282EE" w14:textId="77777777" w:rsidTr="001D35DD">
        <w:trPr>
          <w:trHeight w:hRule="exact" w:val="2129"/>
        </w:trPr>
        <w:tc>
          <w:tcPr>
            <w:tcW w:w="4536" w:type="dxa"/>
            <w:shd w:val="clear" w:color="auto" w:fill="auto"/>
            <w:vAlign w:val="center"/>
          </w:tcPr>
          <w:p w14:paraId="7D4FD559" w14:textId="77777777" w:rsidR="00CB3A8A" w:rsidRPr="00D75978" w:rsidRDefault="00CB3A8A" w:rsidP="00222F88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b/>
                <w:sz w:val="24"/>
                <w:szCs w:val="22"/>
                <w:lang w:eastAsia="en-US"/>
              </w:rPr>
              <w:t>ATIVIDADES ESPECIAIS</w:t>
            </w:r>
          </w:p>
          <w:p w14:paraId="7AB8A942" w14:textId="77777777" w:rsidR="00CB3A8A" w:rsidRPr="00D75978" w:rsidRDefault="00CB3A8A" w:rsidP="00222F88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Art. 5º, I a III – máx. de 25 pontos.</w:t>
            </w:r>
          </w:p>
          <w:p w14:paraId="19423D31" w14:textId="77777777" w:rsidR="00CB3A8A" w:rsidRPr="00D75978" w:rsidRDefault="00CB3A8A" w:rsidP="00222F88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sz w:val="14"/>
                <w:szCs w:val="14"/>
                <w:lang w:eastAsia="en-US"/>
              </w:rPr>
              <w:sym w:font="Wingdings" w:char="F06C"/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Participação em comissões temporárias; </w:t>
            </w:r>
            <w:r w:rsidRPr="00D75978">
              <w:rPr>
                <w:rFonts w:ascii="Arial" w:eastAsia="Calibri" w:hAnsi="Arial" w:cs="Arial"/>
                <w:sz w:val="14"/>
                <w:szCs w:val="14"/>
                <w:lang w:eastAsia="en-US"/>
              </w:rPr>
              <w:sym w:font="Wingdings" w:char="F06C"/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Participação, como instrutor ou palestrante, em cursos de aperfeiçoamento técnico oferecidos pelo Tribunal de Contas a servidores e jurisdicionados; </w:t>
            </w:r>
            <w:r w:rsidRPr="00D75978">
              <w:rPr>
                <w:rFonts w:ascii="Arial" w:eastAsia="Calibri" w:hAnsi="Arial" w:cs="Arial"/>
                <w:sz w:val="14"/>
                <w:szCs w:val="14"/>
                <w:lang w:eastAsia="en-US"/>
              </w:rPr>
              <w:sym w:font="Wingdings" w:char="F06C"/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Publicação de artigos técnico-doutrinários na Revista do Tribunal de Contas.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25027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9A95B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22E2F2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9446A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B3A8A" w:rsidRPr="00D75978" w14:paraId="33BE2242" w14:textId="77777777" w:rsidTr="001D35DD">
        <w:trPr>
          <w:trHeight w:hRule="exact" w:val="3818"/>
        </w:trPr>
        <w:tc>
          <w:tcPr>
            <w:tcW w:w="4536" w:type="dxa"/>
            <w:shd w:val="clear" w:color="auto" w:fill="auto"/>
            <w:vAlign w:val="center"/>
          </w:tcPr>
          <w:p w14:paraId="0715B7EF" w14:textId="77777777" w:rsidR="00CB3A8A" w:rsidRPr="00D75978" w:rsidRDefault="00CB3A8A" w:rsidP="00222F88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b/>
                <w:sz w:val="24"/>
                <w:szCs w:val="22"/>
                <w:lang w:eastAsia="en-US"/>
              </w:rPr>
              <w:t>APERFEIÇOAMENTO TÉCNICO</w:t>
            </w:r>
          </w:p>
          <w:p w14:paraId="673E0CA3" w14:textId="77777777" w:rsidR="00CB3A8A" w:rsidRPr="00D75978" w:rsidRDefault="00CB3A8A" w:rsidP="00222F88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Art. 6º, I a VI – máx. de 15 pontos.</w:t>
            </w:r>
          </w:p>
          <w:p w14:paraId="5277A7A0" w14:textId="77777777" w:rsidR="00CB3A8A" w:rsidRPr="00D75978" w:rsidRDefault="00CB3A8A" w:rsidP="00222F88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sz w:val="14"/>
                <w:szCs w:val="14"/>
                <w:lang w:eastAsia="en-US"/>
              </w:rPr>
              <w:sym w:font="Wingdings" w:char="F06C"/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Diplomas, títulos ou certificados de conclusão de cursos; </w:t>
            </w:r>
            <w:r w:rsidRPr="00D75978">
              <w:rPr>
                <w:rFonts w:ascii="Arial" w:eastAsia="Calibri" w:hAnsi="Arial" w:cs="Arial"/>
                <w:sz w:val="14"/>
                <w:szCs w:val="14"/>
                <w:lang w:eastAsia="en-US"/>
              </w:rPr>
              <w:sym w:font="Wingdings" w:char="F06C"/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Exercício de atividade docente em instituições de ensino, por ano de exercício de magistério; </w:t>
            </w:r>
            <w:r w:rsidRPr="00D75978">
              <w:rPr>
                <w:rFonts w:ascii="Arial" w:eastAsia="Calibri" w:hAnsi="Arial" w:cs="Arial"/>
                <w:sz w:val="14"/>
                <w:szCs w:val="14"/>
                <w:lang w:eastAsia="en-US"/>
              </w:rPr>
              <w:sym w:font="Wingdings" w:char="F06C"/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Participação, como palestrante ou instrutor, em seminários, congressos e outros eventos correlatos; </w:t>
            </w:r>
            <w:r w:rsidRPr="00D75978">
              <w:rPr>
                <w:rFonts w:ascii="Arial" w:eastAsia="Calibri" w:hAnsi="Arial" w:cs="Arial"/>
                <w:sz w:val="14"/>
                <w:szCs w:val="14"/>
                <w:lang w:eastAsia="en-US"/>
              </w:rPr>
              <w:sym w:font="Wingdings" w:char="F06C"/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Participação, como ouvinte, em seminários, congressos e outros eventos correlatos; </w:t>
            </w:r>
            <w:r w:rsidRPr="00D75978">
              <w:rPr>
                <w:rFonts w:ascii="Arial" w:eastAsia="Calibri" w:hAnsi="Arial" w:cs="Arial"/>
                <w:sz w:val="14"/>
                <w:szCs w:val="14"/>
                <w:lang w:eastAsia="en-US"/>
              </w:rPr>
              <w:sym w:font="Wingdings" w:char="F06C"/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Publicações em revistas especializadas, como autor ou coautor, de artigos técnico-doutrinários, correspondentes às áreas jurídica, contábil, econômica, financeira ou de administração pública; </w:t>
            </w:r>
            <w:r w:rsidRPr="00D75978">
              <w:rPr>
                <w:rFonts w:ascii="Arial" w:eastAsia="Calibri" w:hAnsi="Arial" w:cs="Arial"/>
                <w:sz w:val="14"/>
                <w:szCs w:val="14"/>
                <w:lang w:eastAsia="en-US"/>
              </w:rPr>
              <w:sym w:font="Wingdings" w:char="F06C"/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Publicações de livros</w:t>
            </w:r>
            <w:r w:rsidR="00D61CBC">
              <w:rPr>
                <w:rFonts w:ascii="Arial" w:eastAsia="Calibri" w:hAnsi="Arial" w:cs="Arial"/>
                <w:sz w:val="18"/>
                <w:szCs w:val="18"/>
                <w:lang w:eastAsia="en-US"/>
              </w:rPr>
              <w:t>,</w:t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como autor ou coautor, correspondente</w:t>
            </w:r>
            <w:r w:rsidR="00D61CB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às áreas jurídica, contábil, econômica, financeira ou de administração pública.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679DE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5E2433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9F773E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AE60A2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B3A8A" w:rsidRPr="00D75978" w14:paraId="09CC6B44" w14:textId="77777777" w:rsidTr="001D35DD">
        <w:trPr>
          <w:trHeight w:hRule="exact" w:val="1972"/>
        </w:trPr>
        <w:tc>
          <w:tcPr>
            <w:tcW w:w="4536" w:type="dxa"/>
            <w:shd w:val="clear" w:color="auto" w:fill="auto"/>
            <w:vAlign w:val="center"/>
          </w:tcPr>
          <w:p w14:paraId="20351E09" w14:textId="77777777" w:rsidR="00CB3A8A" w:rsidRPr="00D75978" w:rsidRDefault="00CB3A8A" w:rsidP="00222F88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b/>
                <w:sz w:val="24"/>
                <w:szCs w:val="22"/>
                <w:lang w:eastAsia="en-US"/>
              </w:rPr>
              <w:t>ADEQUAÇÃO DE CONDUTA AOS PADRÕES ÉTICOS</w:t>
            </w:r>
          </w:p>
          <w:p w14:paraId="30CE13DD" w14:textId="77777777" w:rsidR="00CB3A8A" w:rsidRPr="00D75978" w:rsidRDefault="00CB3A8A" w:rsidP="00222F88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Art. 7º, I e II – máx. de 10 pontos.</w:t>
            </w:r>
          </w:p>
          <w:p w14:paraId="6CDCE1E5" w14:textId="77777777" w:rsidR="00CB3A8A" w:rsidRPr="00D75978" w:rsidRDefault="00CB3A8A" w:rsidP="00F905BD">
            <w:pPr>
              <w:autoSpaceDE/>
              <w:autoSpaceDN/>
              <w:spacing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sz w:val="14"/>
                <w:szCs w:val="14"/>
                <w:lang w:eastAsia="en-US"/>
              </w:rPr>
              <w:sym w:font="Wingdings" w:char="F06C"/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Lisura e probidade, inclusive no que concerne à relação entre suas atividades públicas e particulares; </w:t>
            </w:r>
            <w:r w:rsidRPr="00D75978">
              <w:rPr>
                <w:rFonts w:ascii="Arial" w:eastAsia="Calibri" w:hAnsi="Arial" w:cs="Arial"/>
                <w:sz w:val="14"/>
                <w:szCs w:val="14"/>
                <w:lang w:eastAsia="en-US"/>
              </w:rPr>
              <w:sym w:font="Wingdings" w:char="F06C"/>
            </w:r>
            <w:r w:rsidRPr="00D7597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Decoro inerente ao exercício da função pública.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2FB82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07AB07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390EAC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F4C23D" w14:textId="77777777" w:rsidR="00CB3A8A" w:rsidRPr="00D75978" w:rsidRDefault="00CB3A8A" w:rsidP="00222F88">
            <w:pPr>
              <w:autoSpaceDE/>
              <w:autoSpaceDN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B3A8A" w:rsidRPr="00D75978" w14:paraId="1CF42280" w14:textId="77777777" w:rsidTr="001D35DD">
        <w:trPr>
          <w:trHeight w:hRule="exact" w:val="498"/>
        </w:trPr>
        <w:tc>
          <w:tcPr>
            <w:tcW w:w="4536" w:type="dxa"/>
            <w:shd w:val="clear" w:color="auto" w:fill="auto"/>
            <w:vAlign w:val="center"/>
          </w:tcPr>
          <w:p w14:paraId="023BBFA9" w14:textId="77777777" w:rsidR="00CB3A8A" w:rsidRPr="00D75978" w:rsidRDefault="00CB3A8A" w:rsidP="00222F88">
            <w:pPr>
              <w:autoSpaceDE/>
              <w:autoSpaceDN/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5978">
              <w:rPr>
                <w:rFonts w:ascii="Arial" w:eastAsia="Calibri" w:hAnsi="Arial" w:cs="Arial"/>
                <w:b/>
                <w:sz w:val="24"/>
                <w:szCs w:val="22"/>
                <w:lang w:eastAsia="en-US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47376" w14:textId="77777777" w:rsidR="00CB3A8A" w:rsidRPr="00D75978" w:rsidRDefault="00CB3A8A" w:rsidP="00222F88">
            <w:pPr>
              <w:autoSpaceDE/>
              <w:autoSpaceDN/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E5121" w14:textId="77777777" w:rsidR="00CB3A8A" w:rsidRPr="00D75978" w:rsidRDefault="00CB3A8A" w:rsidP="00222F88">
            <w:pPr>
              <w:autoSpaceDE/>
              <w:autoSpaceDN/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B58F8" w14:textId="77777777" w:rsidR="00CB3A8A" w:rsidRPr="00D75978" w:rsidRDefault="00CB3A8A" w:rsidP="00222F88">
            <w:pPr>
              <w:autoSpaceDE/>
              <w:autoSpaceDN/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511736" w14:textId="77777777" w:rsidR="00CB3A8A" w:rsidRPr="00D75978" w:rsidRDefault="00CB3A8A" w:rsidP="00222F88">
            <w:pPr>
              <w:autoSpaceDE/>
              <w:autoSpaceDN/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CDC3E99" w14:textId="77777777" w:rsidR="00F20004" w:rsidRDefault="00F20004"/>
    <w:sectPr w:rsidR="00F20004" w:rsidSect="00222F88">
      <w:headerReference w:type="default" r:id="rId9"/>
      <w:pgSz w:w="11907" w:h="16840" w:code="9"/>
      <w:pgMar w:top="226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6996" w14:textId="77777777" w:rsidR="00A05CD7" w:rsidRDefault="00A05CD7" w:rsidP="0013434E">
      <w:r>
        <w:separator/>
      </w:r>
    </w:p>
  </w:endnote>
  <w:endnote w:type="continuationSeparator" w:id="0">
    <w:p w14:paraId="02EB2B72" w14:textId="77777777" w:rsidR="00A05CD7" w:rsidRDefault="00A05CD7" w:rsidP="0013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A8457" w14:textId="77777777" w:rsidR="00A05CD7" w:rsidRDefault="00A05CD7" w:rsidP="0013434E">
      <w:r>
        <w:separator/>
      </w:r>
    </w:p>
  </w:footnote>
  <w:footnote w:type="continuationSeparator" w:id="0">
    <w:p w14:paraId="77852991" w14:textId="77777777" w:rsidR="00A05CD7" w:rsidRDefault="00A05CD7" w:rsidP="0013434E">
      <w:r>
        <w:continuationSeparator/>
      </w:r>
    </w:p>
  </w:footnote>
  <w:footnote w:id="1">
    <w:p w14:paraId="12891A1E" w14:textId="68DF8D58" w:rsidR="00917D6A" w:rsidRPr="008306CB" w:rsidRDefault="00917D6A" w:rsidP="00917D6A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8306CB">
        <w:rPr>
          <w:rFonts w:ascii="Arial" w:hAnsi="Arial" w:cs="Arial"/>
          <w:b/>
        </w:rPr>
        <w:t>Nota da Biblioteca:</w:t>
      </w:r>
    </w:p>
    <w:p w14:paraId="30BBAA12" w14:textId="48960066" w:rsidR="00917D6A" w:rsidRPr="008306CB" w:rsidRDefault="00917D6A" w:rsidP="008306CB">
      <w:pPr>
        <w:pStyle w:val="Textodenotaderodap"/>
        <w:autoSpaceDE/>
        <w:autoSpaceDN/>
        <w:ind w:left="142"/>
        <w:jc w:val="both"/>
        <w:rPr>
          <w:rFonts w:ascii="Arial" w:hAnsi="Arial" w:cs="Arial"/>
        </w:rPr>
      </w:pPr>
      <w:r w:rsidRPr="008306CB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FD2724" w:rsidRPr="008306CB">
          <w:rPr>
            <w:rStyle w:val="Hyperlink"/>
            <w:rFonts w:ascii="Arial" w:hAnsi="Arial" w:cs="Arial"/>
            <w:b/>
          </w:rPr>
          <w:t>Diário Eletrônico do Tribunal de Contas do Estado do Paraná</w:t>
        </w:r>
        <w:r w:rsidR="00FD2724" w:rsidRPr="008306CB">
          <w:rPr>
            <w:rStyle w:val="Hyperlink"/>
            <w:rFonts w:ascii="Arial" w:hAnsi="Arial" w:cs="Arial"/>
          </w:rPr>
          <w:t>, Curitiba, PR, n. 944, 15 ago. 2014, p. 79-80</w:t>
        </w:r>
      </w:hyperlink>
      <w:r w:rsidR="00FD2724" w:rsidRPr="008306CB">
        <w:rPr>
          <w:rFonts w:ascii="Arial" w:hAnsi="Arial" w:cs="Arial"/>
        </w:rPr>
        <w:t>.</w:t>
      </w:r>
    </w:p>
    <w:p w14:paraId="79987371" w14:textId="2A783EB8" w:rsidR="00917D6A" w:rsidRDefault="00917D6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0262" w14:textId="77777777" w:rsidR="0037364E" w:rsidRDefault="0037364E" w:rsidP="0037364E">
    <w:pPr>
      <w:tabs>
        <w:tab w:val="center" w:pos="4252"/>
        <w:tab w:val="right" w:pos="8504"/>
      </w:tabs>
      <w:spacing w:before="480"/>
      <w:ind w:left="1134"/>
      <w:rPr>
        <w:rFonts w:ascii="Arial" w:hAnsi="Arial" w:cs="Arial"/>
        <w:b/>
        <w:sz w:val="30"/>
        <w:szCs w:val="30"/>
      </w:rPr>
    </w:pPr>
    <w:r w:rsidRPr="0037364E">
      <w:rPr>
        <w:noProof/>
      </w:rPr>
      <w:pict w14:anchorId="52BACE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logo TC colorido - medio" style="position:absolute;left:0;text-align:left;margin-left:-.25pt;margin-top:4.55pt;width:47.7pt;height:56.1pt;z-index:2;visibility:visible">
          <v:imagedata r:id="rId1" o:title="logo TC colorido - medio"/>
          <w10:wrap type="square"/>
        </v:shape>
      </w:pict>
    </w:r>
    <w:r w:rsidRPr="0037364E">
      <w:rPr>
        <w:rFonts w:ascii="Arial" w:hAnsi="Arial" w:cs="Arial"/>
        <w:b/>
        <w:sz w:val="30"/>
        <w:szCs w:val="30"/>
      </w:rPr>
      <w:t xml:space="preserve"> TRIBUNAL DE CONTAS DO ESTADO DO PARANÁ</w:t>
    </w:r>
  </w:p>
  <w:p w14:paraId="031F1043" w14:textId="77777777" w:rsidR="009F5012" w:rsidRPr="0037364E" w:rsidRDefault="009F5012" w:rsidP="009F5012">
    <w:pPr>
      <w:tabs>
        <w:tab w:val="center" w:pos="4252"/>
        <w:tab w:val="right" w:pos="8504"/>
      </w:tabs>
      <w:spacing w:before="240"/>
      <w:ind w:left="1134"/>
      <w:rPr>
        <w:rFonts w:ascii="Arial" w:hAnsi="Arial" w:cs="Arial"/>
        <w:b/>
        <w:sz w:val="30"/>
        <w:szCs w:val="30"/>
      </w:rPr>
    </w:pPr>
  </w:p>
  <w:p w14:paraId="2E5B5D98" w14:textId="77777777" w:rsidR="0037364E" w:rsidRDefault="003736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0F57" w14:textId="77777777" w:rsidR="00222F88" w:rsidRDefault="00CB3A8A" w:rsidP="00222F88">
    <w:pPr>
      <w:pStyle w:val="Cabealho"/>
      <w:spacing w:before="48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638F40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222F88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F75AC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84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A8A"/>
    <w:rsid w:val="0002592A"/>
    <w:rsid w:val="00035E9E"/>
    <w:rsid w:val="00041683"/>
    <w:rsid w:val="000615D9"/>
    <w:rsid w:val="000C786D"/>
    <w:rsid w:val="000D4D36"/>
    <w:rsid w:val="0013398E"/>
    <w:rsid w:val="0013434E"/>
    <w:rsid w:val="00172695"/>
    <w:rsid w:val="001A0AFA"/>
    <w:rsid w:val="001C43A3"/>
    <w:rsid w:val="001D35DD"/>
    <w:rsid w:val="00222F88"/>
    <w:rsid w:val="0037364E"/>
    <w:rsid w:val="0038666C"/>
    <w:rsid w:val="003A0632"/>
    <w:rsid w:val="003C1A7A"/>
    <w:rsid w:val="0040087F"/>
    <w:rsid w:val="004427BE"/>
    <w:rsid w:val="004D2F3B"/>
    <w:rsid w:val="004D4B3A"/>
    <w:rsid w:val="004F6DE4"/>
    <w:rsid w:val="00522CE1"/>
    <w:rsid w:val="005656C5"/>
    <w:rsid w:val="00695476"/>
    <w:rsid w:val="006B5EC2"/>
    <w:rsid w:val="00711A98"/>
    <w:rsid w:val="008238AB"/>
    <w:rsid w:val="00826A18"/>
    <w:rsid w:val="008306CB"/>
    <w:rsid w:val="008847FF"/>
    <w:rsid w:val="00906521"/>
    <w:rsid w:val="00917D6A"/>
    <w:rsid w:val="009973DB"/>
    <w:rsid w:val="009B2DBD"/>
    <w:rsid w:val="009C5E61"/>
    <w:rsid w:val="009F5012"/>
    <w:rsid w:val="00A05CD7"/>
    <w:rsid w:val="00A51C53"/>
    <w:rsid w:val="00A721EF"/>
    <w:rsid w:val="00AE4575"/>
    <w:rsid w:val="00C5520C"/>
    <w:rsid w:val="00CA1ADA"/>
    <w:rsid w:val="00CB3A8A"/>
    <w:rsid w:val="00CF3C2C"/>
    <w:rsid w:val="00D570D3"/>
    <w:rsid w:val="00D61CBC"/>
    <w:rsid w:val="00D9343F"/>
    <w:rsid w:val="00DD28FE"/>
    <w:rsid w:val="00F20004"/>
    <w:rsid w:val="00F40E32"/>
    <w:rsid w:val="00F905BD"/>
    <w:rsid w:val="00F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70445"/>
  <w15:chartTrackingRefBased/>
  <w15:docId w15:val="{E0323AF5-406E-4341-A26D-AF6FA2C9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8A"/>
    <w:pPr>
      <w:autoSpaceDE w:val="0"/>
      <w:autoSpaceDN w:val="0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C1A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1A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C1A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C1A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A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B3A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3434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434E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3C1A7A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Ttulo1Char">
    <w:name w:val="Título 1 Char"/>
    <w:link w:val="Ttulo1"/>
    <w:uiPriority w:val="9"/>
    <w:rsid w:val="003C1A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3C1A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3C1A7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3C1A7A"/>
    <w:rPr>
      <w:rFonts w:ascii="Calibri" w:eastAsia="Times New Roman" w:hAnsi="Calibri" w:cs="Times New Roman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nhideWhenUsed/>
    <w:rsid w:val="00917D6A"/>
  </w:style>
  <w:style w:type="character" w:customStyle="1" w:styleId="TextodenotaderodapChar">
    <w:name w:val="Texto de nota de rodapé Char"/>
    <w:link w:val="Textodenotaderodap"/>
    <w:rsid w:val="00917D6A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917D6A"/>
    <w:rPr>
      <w:vertAlign w:val="superscript"/>
    </w:rPr>
  </w:style>
  <w:style w:type="character" w:styleId="Hyperlink">
    <w:name w:val="Hyperlink"/>
    <w:uiPriority w:val="99"/>
    <w:rsid w:val="00917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8/pdf/0026423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CAC31-864E-4212-8190-ACC08A63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1609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Caldas Ferreira</dc:creator>
  <cp:keywords/>
  <cp:lastModifiedBy>Yarusya Fonseca</cp:lastModifiedBy>
  <cp:revision>6</cp:revision>
  <dcterms:created xsi:type="dcterms:W3CDTF">2022-07-05T23:49:00Z</dcterms:created>
  <dcterms:modified xsi:type="dcterms:W3CDTF">2022-07-05T23:52:00Z</dcterms:modified>
</cp:coreProperties>
</file>