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CE6A4" w14:textId="4F77C3D5" w:rsidR="00CB3A8A" w:rsidRDefault="00CB3A8A" w:rsidP="009973DB">
      <w:pPr>
        <w:adjustRightInd w:val="0"/>
        <w:jc w:val="center"/>
        <w:rPr>
          <w:rFonts w:ascii="Arial" w:eastAsia="Calibri" w:hAnsi="Arial" w:cs="Arial"/>
          <w:b/>
          <w:bCs/>
          <w:sz w:val="28"/>
          <w:szCs w:val="28"/>
        </w:rPr>
      </w:pPr>
      <w:r w:rsidRPr="0037364E">
        <w:rPr>
          <w:rFonts w:ascii="Arial" w:eastAsia="Calibri" w:hAnsi="Arial" w:cs="Arial"/>
          <w:b/>
          <w:bCs/>
          <w:sz w:val="28"/>
          <w:szCs w:val="28"/>
        </w:rPr>
        <w:t>RESOLUÇÃO</w:t>
      </w:r>
      <w:r w:rsidR="0038666C" w:rsidRPr="0037364E">
        <w:rPr>
          <w:rFonts w:ascii="Arial" w:eastAsia="Calibri" w:hAnsi="Arial" w:cs="Arial"/>
          <w:b/>
          <w:bCs/>
          <w:sz w:val="28"/>
          <w:szCs w:val="28"/>
        </w:rPr>
        <w:t xml:space="preserve"> Nº</w:t>
      </w:r>
      <w:r w:rsidR="00F035BD">
        <w:rPr>
          <w:rFonts w:ascii="Arial" w:eastAsia="Calibri" w:hAnsi="Arial" w:cs="Arial"/>
          <w:b/>
          <w:bCs/>
          <w:sz w:val="28"/>
          <w:szCs w:val="28"/>
        </w:rPr>
        <w:t xml:space="preserve"> 50/2015</w:t>
      </w:r>
      <w:r w:rsidR="00E45457">
        <w:rPr>
          <w:rStyle w:val="Refdenotaderodap"/>
          <w:rFonts w:ascii="Arial" w:eastAsia="Calibri" w:hAnsi="Arial" w:cs="Arial"/>
          <w:b/>
          <w:bCs/>
          <w:sz w:val="28"/>
          <w:szCs w:val="28"/>
        </w:rPr>
        <w:footnoteReference w:id="1"/>
      </w:r>
    </w:p>
    <w:p w14:paraId="0378FFFE" w14:textId="77777777" w:rsidR="0037364E" w:rsidRPr="0037364E" w:rsidRDefault="0037364E" w:rsidP="00CB3A8A">
      <w:pPr>
        <w:adjustRightInd w:val="0"/>
        <w:jc w:val="center"/>
        <w:rPr>
          <w:rFonts w:ascii="Arial" w:eastAsia="Calibri" w:hAnsi="Arial" w:cs="Arial"/>
          <w:b/>
          <w:bCs/>
          <w:sz w:val="28"/>
          <w:szCs w:val="28"/>
        </w:rPr>
      </w:pPr>
    </w:p>
    <w:p w14:paraId="540161A7" w14:textId="77777777" w:rsidR="00CB3A8A" w:rsidRPr="00D75978" w:rsidRDefault="00CB3A8A" w:rsidP="00CB3A8A">
      <w:pPr>
        <w:adjustRightInd w:val="0"/>
        <w:jc w:val="both"/>
        <w:rPr>
          <w:rFonts w:ascii="Arial" w:eastAsia="Calibri" w:hAnsi="Arial" w:cs="Arial"/>
          <w:iCs/>
          <w:sz w:val="24"/>
          <w:szCs w:val="24"/>
        </w:rPr>
      </w:pPr>
    </w:p>
    <w:p w14:paraId="540C2E37" w14:textId="77777777" w:rsidR="00714C75" w:rsidRPr="003D446F" w:rsidRDefault="00565C3B" w:rsidP="004E06AC">
      <w:pPr>
        <w:adjustRightInd w:val="0"/>
        <w:ind w:left="4536"/>
        <w:jc w:val="both"/>
        <w:rPr>
          <w:rFonts w:ascii="Arial,Italic" w:eastAsia="Calibri" w:hAnsi="Arial,Italic" w:cs="Arial,Italic"/>
          <w:i/>
          <w:iCs/>
          <w:sz w:val="22"/>
          <w:szCs w:val="22"/>
        </w:rPr>
      </w:pPr>
      <w:r w:rsidRPr="003D446F">
        <w:rPr>
          <w:rFonts w:ascii="Arial,Italic" w:eastAsia="Calibri" w:hAnsi="Arial,Italic" w:cs="Arial,Italic"/>
          <w:bCs/>
          <w:i/>
          <w:iCs/>
          <w:sz w:val="22"/>
          <w:szCs w:val="22"/>
        </w:rPr>
        <w:t>Altera as Resoluções nº 1/</w:t>
      </w:r>
      <w:r w:rsidR="00F035BD" w:rsidRPr="003D446F">
        <w:rPr>
          <w:rFonts w:ascii="Arial,Italic" w:eastAsia="Calibri" w:hAnsi="Arial,Italic" w:cs="Arial,Italic"/>
          <w:bCs/>
          <w:i/>
          <w:iCs/>
          <w:sz w:val="22"/>
          <w:szCs w:val="22"/>
        </w:rPr>
        <w:t>2006,</w:t>
      </w:r>
      <w:r w:rsidRPr="003D446F">
        <w:rPr>
          <w:rFonts w:ascii="Arial,Italic" w:eastAsia="Calibri" w:hAnsi="Arial,Italic" w:cs="Arial,Italic"/>
          <w:bCs/>
          <w:i/>
          <w:iCs/>
          <w:sz w:val="22"/>
          <w:szCs w:val="22"/>
        </w:rPr>
        <w:t xml:space="preserve"> nº 24/</w:t>
      </w:r>
      <w:r w:rsidR="00F035BD" w:rsidRPr="003D446F">
        <w:rPr>
          <w:rFonts w:ascii="Arial,Italic" w:eastAsia="Calibri" w:hAnsi="Arial,Italic" w:cs="Arial,Italic"/>
          <w:bCs/>
          <w:i/>
          <w:iCs/>
          <w:sz w:val="22"/>
          <w:szCs w:val="22"/>
        </w:rPr>
        <w:t xml:space="preserve">2010 e </w:t>
      </w:r>
      <w:r w:rsidRPr="003D446F">
        <w:rPr>
          <w:rFonts w:ascii="Arial,Italic" w:eastAsia="Calibri" w:hAnsi="Arial,Italic" w:cs="Arial,Italic"/>
          <w:bCs/>
          <w:i/>
          <w:iCs/>
          <w:sz w:val="22"/>
          <w:szCs w:val="22"/>
        </w:rPr>
        <w:t>nº 36/</w:t>
      </w:r>
      <w:r w:rsidR="00F035BD" w:rsidRPr="003D446F">
        <w:rPr>
          <w:rFonts w:ascii="Arial,Italic" w:eastAsia="Calibri" w:hAnsi="Arial,Italic" w:cs="Arial,Italic"/>
          <w:bCs/>
          <w:i/>
          <w:iCs/>
          <w:sz w:val="22"/>
          <w:szCs w:val="22"/>
        </w:rPr>
        <w:t>2013, que tratam do Regimento Interno.</w:t>
      </w:r>
    </w:p>
    <w:p w14:paraId="7255D90E" w14:textId="77777777" w:rsidR="00714C75" w:rsidRDefault="00714C75" w:rsidP="00714C75">
      <w:pPr>
        <w:adjustRightInd w:val="0"/>
        <w:rPr>
          <w:rFonts w:ascii="Arial,Italic" w:eastAsia="Calibri" w:hAnsi="Arial,Italic" w:cs="Arial,Italic"/>
          <w:i/>
          <w:iCs/>
          <w:sz w:val="24"/>
          <w:szCs w:val="24"/>
        </w:rPr>
      </w:pPr>
    </w:p>
    <w:p w14:paraId="6274EF8F" w14:textId="77777777" w:rsidR="00714C75" w:rsidRDefault="00714C75" w:rsidP="00714C75">
      <w:pPr>
        <w:adjustRightInd w:val="0"/>
        <w:rPr>
          <w:rFonts w:ascii="Arial,Italic" w:eastAsia="Calibri" w:hAnsi="Arial,Italic" w:cs="Arial,Italic"/>
          <w:i/>
          <w:iCs/>
          <w:sz w:val="24"/>
          <w:szCs w:val="24"/>
        </w:rPr>
      </w:pPr>
    </w:p>
    <w:p w14:paraId="3B173C5B" w14:textId="77777777" w:rsidR="00F035BD" w:rsidRPr="00F035BD" w:rsidRDefault="00F035BD" w:rsidP="00F035BD">
      <w:pPr>
        <w:adjustRightInd w:val="0"/>
        <w:spacing w:before="120"/>
        <w:ind w:firstLine="1134"/>
        <w:jc w:val="both"/>
        <w:rPr>
          <w:rFonts w:ascii="Arial" w:eastAsia="Calibri" w:hAnsi="Arial" w:cs="Arial"/>
          <w:bCs/>
          <w:sz w:val="24"/>
          <w:szCs w:val="24"/>
        </w:rPr>
      </w:pPr>
      <w:r w:rsidRPr="00E45457">
        <w:rPr>
          <w:rFonts w:ascii="Arial" w:eastAsia="Calibri" w:hAnsi="Arial" w:cs="Arial"/>
          <w:sz w:val="24"/>
          <w:szCs w:val="24"/>
        </w:rPr>
        <w:t xml:space="preserve">O </w:t>
      </w:r>
      <w:r w:rsidRPr="00F035BD">
        <w:rPr>
          <w:rFonts w:ascii="Arial" w:eastAsia="Calibri" w:hAnsi="Arial" w:cs="Arial"/>
          <w:b/>
          <w:bCs/>
          <w:sz w:val="24"/>
          <w:szCs w:val="24"/>
        </w:rPr>
        <w:t>TRIBUNAL DE CONTAS DO ESTADO DO PARANÁ</w:t>
      </w:r>
      <w:r w:rsidRPr="00F035BD">
        <w:rPr>
          <w:rFonts w:ascii="Arial" w:eastAsia="Calibri" w:hAnsi="Arial" w:cs="Arial"/>
          <w:bCs/>
          <w:sz w:val="24"/>
          <w:szCs w:val="24"/>
        </w:rPr>
        <w:t>, no uso das atribuições contidas nos arts. 2º, I, e 116, XII, e parágrafo único, da Lei Complementar nº 113, de 15 de dezembro de 2005, com base nos arts. 5º, XIII, e 188 a 191, do Regimento Interno,</w:t>
      </w:r>
    </w:p>
    <w:p w14:paraId="05734F1F" w14:textId="77777777" w:rsidR="00DA42A7" w:rsidRDefault="00DA42A7" w:rsidP="004E06AC">
      <w:pPr>
        <w:adjustRightInd w:val="0"/>
        <w:spacing w:before="120"/>
        <w:ind w:firstLine="1134"/>
        <w:jc w:val="both"/>
        <w:rPr>
          <w:rFonts w:ascii="Arial" w:eastAsia="Calibri" w:hAnsi="Arial" w:cs="Arial"/>
          <w:sz w:val="24"/>
          <w:szCs w:val="24"/>
        </w:rPr>
      </w:pPr>
    </w:p>
    <w:p w14:paraId="33AF067E" w14:textId="77777777" w:rsidR="003E03D3" w:rsidRDefault="003E03D3" w:rsidP="008F5F41">
      <w:pPr>
        <w:adjustRightInd w:val="0"/>
        <w:spacing w:before="120" w:after="120"/>
        <w:ind w:firstLine="1134"/>
        <w:jc w:val="both"/>
        <w:rPr>
          <w:rFonts w:ascii="Arial,Bold" w:eastAsia="Calibri" w:hAnsi="Arial,Bold" w:cs="Arial,Bold"/>
          <w:b/>
          <w:bCs/>
          <w:sz w:val="24"/>
          <w:szCs w:val="24"/>
        </w:rPr>
      </w:pPr>
      <w:r>
        <w:rPr>
          <w:rFonts w:ascii="Arial,Bold" w:eastAsia="Calibri" w:hAnsi="Arial,Bold" w:cs="Arial,Bold"/>
          <w:b/>
          <w:bCs/>
          <w:sz w:val="24"/>
          <w:szCs w:val="24"/>
        </w:rPr>
        <w:t>RESOLVE</w:t>
      </w:r>
    </w:p>
    <w:p w14:paraId="5C98EC62" w14:textId="77777777" w:rsidR="004E06AC" w:rsidRDefault="004E06AC" w:rsidP="004E06AC">
      <w:pPr>
        <w:adjustRightInd w:val="0"/>
        <w:spacing w:before="120"/>
        <w:ind w:firstLine="1134"/>
        <w:jc w:val="both"/>
        <w:rPr>
          <w:rFonts w:ascii="Arial,Bold" w:eastAsia="Calibri" w:hAnsi="Arial,Bold" w:cs="Arial,Bold"/>
          <w:b/>
          <w:bCs/>
          <w:sz w:val="24"/>
          <w:szCs w:val="24"/>
        </w:rPr>
      </w:pPr>
    </w:p>
    <w:p w14:paraId="71B158EB" w14:textId="77777777" w:rsidR="00F035BD" w:rsidRPr="00F035BD" w:rsidRDefault="003E03D3"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
          <w:bCs/>
          <w:sz w:val="24"/>
          <w:szCs w:val="24"/>
        </w:rPr>
        <w:t>Art. 1º</w:t>
      </w:r>
      <w:r w:rsidRPr="00F035BD">
        <w:rPr>
          <w:rFonts w:ascii="Arial,Bold" w:eastAsia="Calibri" w:hAnsi="Arial,Bold" w:cs="Arial,Bold"/>
          <w:bCs/>
          <w:sz w:val="24"/>
          <w:szCs w:val="24"/>
        </w:rPr>
        <w:t xml:space="preserve"> </w:t>
      </w:r>
      <w:r w:rsidR="00F035BD" w:rsidRPr="00F035BD">
        <w:rPr>
          <w:rFonts w:ascii="Arial,Bold" w:eastAsia="Calibri" w:hAnsi="Arial,Bold" w:cs="Arial,Bold"/>
          <w:bCs/>
          <w:sz w:val="24"/>
          <w:szCs w:val="24"/>
        </w:rPr>
        <w:t>Os dispositivos do Regimento Interno, a seguir enumerados, passam a vigorar com as seguintes alterações:</w:t>
      </w:r>
    </w:p>
    <w:p w14:paraId="3BAD3019" w14:textId="77777777" w:rsidR="00F035BD" w:rsidRPr="00F035BD" w:rsidRDefault="00F035BD" w:rsidP="00F035BD">
      <w:pPr>
        <w:adjustRightInd w:val="0"/>
        <w:spacing w:before="24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w:t>
      </w:r>
      <w:r w:rsidRPr="00F035BD">
        <w:rPr>
          <w:rFonts w:ascii="Arial,Bold" w:eastAsia="Calibri" w:hAnsi="Arial,Bold" w:cs="Arial,Bold"/>
          <w:bCs/>
          <w:sz w:val="24"/>
          <w:szCs w:val="24"/>
          <w:u w:val="single"/>
        </w:rPr>
        <w:t>Art. 10</w:t>
      </w:r>
      <w:r w:rsidR="003B70EA" w:rsidRPr="00B53DFB">
        <w:rPr>
          <w:rFonts w:ascii="Arial,Bold" w:eastAsia="Calibri" w:hAnsi="Arial,Bold" w:cs="Arial,Bold"/>
          <w:bCs/>
          <w:sz w:val="24"/>
          <w:szCs w:val="24"/>
        </w:rPr>
        <w:t>.</w:t>
      </w:r>
      <w:r w:rsidRPr="00F035BD">
        <w:rPr>
          <w:rFonts w:ascii="Arial,Bold" w:eastAsia="Calibri" w:hAnsi="Arial,Bold" w:cs="Arial,Bold"/>
          <w:bCs/>
          <w:sz w:val="24"/>
          <w:szCs w:val="24"/>
        </w:rPr>
        <w:t xml:space="preserve"> </w:t>
      </w:r>
      <w:r w:rsidR="006E0098">
        <w:rPr>
          <w:rFonts w:ascii="Arial,Bold" w:eastAsia="Calibri" w:hAnsi="Arial,Bold" w:cs="Arial,Bold"/>
          <w:bCs/>
          <w:sz w:val="24"/>
          <w:szCs w:val="24"/>
        </w:rPr>
        <w:t>[</w:t>
      </w:r>
      <w:r w:rsidRPr="00F035BD">
        <w:rPr>
          <w:rFonts w:ascii="Arial,Bold" w:eastAsia="Calibri" w:hAnsi="Arial,Bold" w:cs="Arial,Bold"/>
          <w:bCs/>
          <w:sz w:val="24"/>
          <w:szCs w:val="24"/>
        </w:rPr>
        <w:t>...</w:t>
      </w:r>
      <w:r w:rsidR="006E0098">
        <w:rPr>
          <w:rFonts w:ascii="Arial,Bold" w:eastAsia="Calibri" w:hAnsi="Arial,Bold" w:cs="Arial,Bold"/>
          <w:bCs/>
          <w:sz w:val="24"/>
          <w:szCs w:val="24"/>
        </w:rPr>
        <w:t>]</w:t>
      </w:r>
    </w:p>
    <w:p w14:paraId="7E1B0B51" w14:textId="77777777" w:rsidR="006E0098" w:rsidRDefault="006E0098" w:rsidP="00F035BD">
      <w:pPr>
        <w:adjustRightInd w:val="0"/>
        <w:spacing w:before="120"/>
        <w:ind w:firstLine="1134"/>
        <w:jc w:val="both"/>
        <w:rPr>
          <w:rFonts w:ascii="Arial,Bold" w:eastAsia="Calibri" w:hAnsi="Arial,Bold" w:cs="Arial,Bold"/>
          <w:bCs/>
          <w:sz w:val="24"/>
          <w:szCs w:val="24"/>
        </w:rPr>
      </w:pPr>
      <w:r>
        <w:rPr>
          <w:rFonts w:ascii="Arial,Bold" w:eastAsia="Calibri" w:hAnsi="Arial,Bold" w:cs="Arial,Bold"/>
          <w:bCs/>
          <w:sz w:val="24"/>
          <w:szCs w:val="24"/>
        </w:rPr>
        <w:t>[...]</w:t>
      </w:r>
    </w:p>
    <w:p w14:paraId="6E8E1344"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V – deliberar, para fins de registro, sobre a legalidade dos atos de admissão de pessoal, a qualquer título, na administração direta ou indireta, incluídas as fundações instituídas e mantidas pelo Poder Público, no âmbito estadual e municipal, excetuadas as nomeações para cargo de provimento em comissão, bem como a legalidade das concessões de aposentadorias, reformas e pensões, ressalvadas as melhorias posteriores que não alterem o fundamento legal do ato concessório, resguardado o procedimento especial previsto no art. 299-A;</w:t>
      </w:r>
      <w:r>
        <w:rPr>
          <w:rFonts w:ascii="Arial,Bold" w:eastAsia="Calibri" w:hAnsi="Arial,Bold" w:cs="Arial,Bold"/>
          <w:bCs/>
          <w:sz w:val="24"/>
          <w:szCs w:val="24"/>
        </w:rPr>
        <w:t>”</w:t>
      </w:r>
    </w:p>
    <w:p w14:paraId="5B8606D2" w14:textId="77777777" w:rsidR="00F035BD" w:rsidRPr="00F035BD" w:rsidRDefault="006E0098" w:rsidP="00F035BD">
      <w:pPr>
        <w:adjustRightInd w:val="0"/>
        <w:spacing w:before="24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w:t>
      </w:r>
      <w:r w:rsidRPr="00F035BD">
        <w:rPr>
          <w:rFonts w:ascii="Arial,Bold" w:eastAsia="Calibri" w:hAnsi="Arial,Bold" w:cs="Arial,Bold"/>
          <w:bCs/>
          <w:sz w:val="24"/>
          <w:szCs w:val="24"/>
          <w:u w:val="single"/>
        </w:rPr>
        <w:t>Art. 51-A</w:t>
      </w:r>
      <w:r w:rsidRPr="00F035BD">
        <w:rPr>
          <w:rFonts w:ascii="Arial,Bold" w:eastAsia="Calibri" w:hAnsi="Arial,Bold" w:cs="Arial,Bold"/>
          <w:bCs/>
          <w:sz w:val="24"/>
          <w:szCs w:val="24"/>
        </w:rPr>
        <w:t>.</w:t>
      </w:r>
      <w:r w:rsidR="00F035BD" w:rsidRPr="00F035BD">
        <w:rPr>
          <w:rFonts w:ascii="Arial,Bold" w:eastAsia="Calibri" w:hAnsi="Arial,Bold" w:cs="Arial,Bold"/>
          <w:bCs/>
          <w:sz w:val="24"/>
          <w:szCs w:val="24"/>
        </w:rPr>
        <w:t xml:space="preserve"> </w:t>
      </w:r>
      <w:r>
        <w:rPr>
          <w:rFonts w:ascii="Arial,Bold" w:eastAsia="Calibri" w:hAnsi="Arial,Bold" w:cs="Arial,Bold"/>
          <w:bCs/>
          <w:sz w:val="24"/>
          <w:szCs w:val="24"/>
        </w:rPr>
        <w:t>[</w:t>
      </w:r>
      <w:r w:rsidR="00F035BD" w:rsidRPr="00F035BD">
        <w:rPr>
          <w:rFonts w:ascii="Arial,Bold" w:eastAsia="Calibri" w:hAnsi="Arial,Bold" w:cs="Arial,Bold"/>
          <w:bCs/>
          <w:sz w:val="24"/>
          <w:szCs w:val="24"/>
        </w:rPr>
        <w:t>...</w:t>
      </w:r>
      <w:r>
        <w:rPr>
          <w:rFonts w:ascii="Arial,Bold" w:eastAsia="Calibri" w:hAnsi="Arial,Bold" w:cs="Arial,Bold"/>
          <w:bCs/>
          <w:sz w:val="24"/>
          <w:szCs w:val="24"/>
        </w:rPr>
        <w:t>]</w:t>
      </w:r>
    </w:p>
    <w:p w14:paraId="3FC08E84"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I – os processos de atos sujeitos a registro, abrangendo a Administração Direta e Indireta do Estado e dos Municípios, resguardado o procedimento especial previsto no art. 299-A;</w:t>
      </w:r>
      <w:r w:rsidR="006E0098">
        <w:rPr>
          <w:rFonts w:ascii="Arial,Bold" w:eastAsia="Calibri" w:hAnsi="Arial,Bold" w:cs="Arial,Bold"/>
          <w:bCs/>
          <w:sz w:val="24"/>
          <w:szCs w:val="24"/>
        </w:rPr>
        <w:t>”</w:t>
      </w:r>
    </w:p>
    <w:p w14:paraId="59282AD4" w14:textId="77777777" w:rsidR="00F035BD" w:rsidRPr="00F035BD" w:rsidRDefault="00F035BD" w:rsidP="00F035BD">
      <w:pPr>
        <w:adjustRightInd w:val="0"/>
        <w:spacing w:before="24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w:t>
      </w:r>
      <w:r w:rsidRPr="00F035BD">
        <w:rPr>
          <w:rFonts w:ascii="Arial,Bold" w:eastAsia="Calibri" w:hAnsi="Arial,Bold" w:cs="Arial,Bold"/>
          <w:bCs/>
          <w:sz w:val="24"/>
          <w:szCs w:val="24"/>
          <w:u w:val="single"/>
        </w:rPr>
        <w:t>Art. 175-C</w:t>
      </w:r>
      <w:r w:rsidRPr="00F035BD">
        <w:rPr>
          <w:rFonts w:ascii="Arial,Bold" w:eastAsia="Calibri" w:hAnsi="Arial,Bold" w:cs="Arial,Bold"/>
          <w:bCs/>
          <w:sz w:val="24"/>
          <w:szCs w:val="24"/>
        </w:rPr>
        <w:t xml:space="preserve">. </w:t>
      </w:r>
      <w:r w:rsidR="008042A4">
        <w:rPr>
          <w:rFonts w:ascii="Arial,Bold" w:eastAsia="Calibri" w:hAnsi="Arial,Bold" w:cs="Arial,Bold"/>
          <w:bCs/>
          <w:sz w:val="24"/>
          <w:szCs w:val="24"/>
        </w:rPr>
        <w:t>[</w:t>
      </w:r>
      <w:r w:rsidRPr="00F035BD">
        <w:rPr>
          <w:rFonts w:ascii="Arial,Bold" w:eastAsia="Calibri" w:hAnsi="Arial,Bold" w:cs="Arial,Bold"/>
          <w:bCs/>
          <w:sz w:val="24"/>
          <w:szCs w:val="24"/>
        </w:rPr>
        <w:t>...</w:t>
      </w:r>
      <w:r w:rsidR="008042A4">
        <w:rPr>
          <w:rFonts w:ascii="Arial,Bold" w:eastAsia="Calibri" w:hAnsi="Arial,Bold" w:cs="Arial,Bold"/>
          <w:bCs/>
          <w:sz w:val="24"/>
          <w:szCs w:val="24"/>
        </w:rPr>
        <w:t>]</w:t>
      </w:r>
    </w:p>
    <w:p w14:paraId="74FFEECA" w14:textId="77777777" w:rsidR="00F1623C" w:rsidRDefault="00F1623C" w:rsidP="00F035BD">
      <w:pPr>
        <w:adjustRightInd w:val="0"/>
        <w:spacing w:before="120"/>
        <w:ind w:firstLine="1134"/>
        <w:jc w:val="both"/>
        <w:rPr>
          <w:rFonts w:ascii="Arial,Bold" w:eastAsia="Calibri" w:hAnsi="Arial,Bold" w:cs="Arial,Bold"/>
          <w:bCs/>
          <w:sz w:val="24"/>
          <w:szCs w:val="24"/>
        </w:rPr>
      </w:pPr>
      <w:r>
        <w:rPr>
          <w:rFonts w:ascii="Arial,Bold" w:eastAsia="Calibri" w:hAnsi="Arial,Bold" w:cs="Arial,Bold"/>
          <w:bCs/>
          <w:sz w:val="24"/>
          <w:szCs w:val="24"/>
        </w:rPr>
        <w:t>[...]</w:t>
      </w:r>
    </w:p>
    <w:p w14:paraId="1978AB2E"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lastRenderedPageBreak/>
        <w:t>VI – efetuar o registro dos atos de aposentadoria, pensão, revisão de proventos e de pensão estaduais e municipais, bem como dos processos de reserva remunerada e reforma;</w:t>
      </w:r>
      <w:r w:rsidR="008042A4">
        <w:rPr>
          <w:rFonts w:ascii="Arial,Bold" w:eastAsia="Calibri" w:hAnsi="Arial,Bold" w:cs="Arial,Bold"/>
          <w:bCs/>
          <w:sz w:val="24"/>
          <w:szCs w:val="24"/>
        </w:rPr>
        <w:t>”</w:t>
      </w:r>
    </w:p>
    <w:p w14:paraId="454BB77D" w14:textId="77777777" w:rsidR="00F035BD" w:rsidRPr="00F035BD" w:rsidRDefault="00F035BD" w:rsidP="00F035BD">
      <w:pPr>
        <w:adjustRightInd w:val="0"/>
        <w:spacing w:before="24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 xml:space="preserve"> “</w:t>
      </w:r>
      <w:r w:rsidRPr="00F035BD">
        <w:rPr>
          <w:rFonts w:ascii="Arial,Bold" w:eastAsia="Calibri" w:hAnsi="Arial,Bold" w:cs="Arial,Bold"/>
          <w:bCs/>
          <w:sz w:val="24"/>
          <w:szCs w:val="24"/>
          <w:u w:val="single"/>
        </w:rPr>
        <w:t>Art. 298</w:t>
      </w:r>
      <w:r w:rsidR="003B70EA" w:rsidRPr="00B53DFB">
        <w:rPr>
          <w:rFonts w:ascii="Arial,Bold" w:eastAsia="Calibri" w:hAnsi="Arial,Bold" w:cs="Arial,Bold"/>
          <w:bCs/>
          <w:sz w:val="24"/>
          <w:szCs w:val="24"/>
        </w:rPr>
        <w:t>.</w:t>
      </w:r>
      <w:r w:rsidRPr="00F035BD">
        <w:rPr>
          <w:rFonts w:ascii="Arial,Bold" w:eastAsia="Calibri" w:hAnsi="Arial,Bold" w:cs="Arial,Bold"/>
          <w:bCs/>
          <w:sz w:val="24"/>
          <w:szCs w:val="24"/>
        </w:rPr>
        <w:t xml:space="preserve"> </w:t>
      </w:r>
      <w:r w:rsidR="003B70EA">
        <w:rPr>
          <w:rFonts w:ascii="Arial,Bold" w:eastAsia="Calibri" w:hAnsi="Arial,Bold" w:cs="Arial,Bold"/>
          <w:bCs/>
          <w:sz w:val="24"/>
          <w:szCs w:val="24"/>
        </w:rPr>
        <w:t>[</w:t>
      </w:r>
      <w:r w:rsidRPr="00F035BD">
        <w:rPr>
          <w:rFonts w:ascii="Arial,Bold" w:eastAsia="Calibri" w:hAnsi="Arial,Bold" w:cs="Arial,Bold"/>
          <w:bCs/>
          <w:sz w:val="24"/>
          <w:szCs w:val="24"/>
        </w:rPr>
        <w:t>...</w:t>
      </w:r>
      <w:r w:rsidR="003B70EA">
        <w:rPr>
          <w:rFonts w:ascii="Arial,Bold" w:eastAsia="Calibri" w:hAnsi="Arial,Bold" w:cs="Arial,Bold"/>
          <w:bCs/>
          <w:sz w:val="24"/>
          <w:szCs w:val="24"/>
        </w:rPr>
        <w:t>]</w:t>
      </w:r>
    </w:p>
    <w:p w14:paraId="04CAFD99"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Parágrafo único. O exame dos atos ocorrerá mediante processo específico, na forma estabelecida em ato normativo próprio, ou automaticamente, por sistema eletrônico de atos de pessoal.</w:t>
      </w:r>
      <w:r w:rsidR="003B70EA">
        <w:rPr>
          <w:rFonts w:ascii="Arial,Bold" w:eastAsia="Calibri" w:hAnsi="Arial,Bold" w:cs="Arial,Bold"/>
          <w:bCs/>
          <w:sz w:val="24"/>
          <w:szCs w:val="24"/>
        </w:rPr>
        <w:t>”</w:t>
      </w:r>
    </w:p>
    <w:p w14:paraId="7A6F791F" w14:textId="77777777" w:rsidR="00F035BD" w:rsidRPr="00F035BD" w:rsidRDefault="00F035BD" w:rsidP="00F035BD">
      <w:pPr>
        <w:adjustRightInd w:val="0"/>
        <w:spacing w:before="24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w:t>
      </w:r>
      <w:r w:rsidRPr="00F035BD">
        <w:rPr>
          <w:rFonts w:ascii="Arial,Bold" w:eastAsia="Calibri" w:hAnsi="Arial,Bold" w:cs="Arial,Bold"/>
          <w:bCs/>
          <w:sz w:val="24"/>
          <w:szCs w:val="24"/>
          <w:u w:val="single"/>
        </w:rPr>
        <w:t>Art. 299</w:t>
      </w:r>
      <w:r w:rsidRPr="00F035BD">
        <w:rPr>
          <w:rFonts w:ascii="Arial,Bold" w:eastAsia="Calibri" w:hAnsi="Arial,Bold" w:cs="Arial,Bold"/>
          <w:bCs/>
          <w:sz w:val="24"/>
          <w:szCs w:val="24"/>
        </w:rPr>
        <w:t>. Os processos que tenham por objeto a apreciação da legalidade dos atos elencados no presente capítulo serão instruídos pela Diretoria de Controle de Atos de Pessoal, sendo posteriormente encaminhados ao Ministério Público junto ao Tribunal de Contas do Estado para manifestação, ressalvado o procedimento especial previsto no art. 299-A.</w:t>
      </w:r>
      <w:r w:rsidR="00244DA5">
        <w:rPr>
          <w:rFonts w:ascii="Arial,Bold" w:eastAsia="Calibri" w:hAnsi="Arial,Bold" w:cs="Arial,Bold"/>
          <w:bCs/>
          <w:sz w:val="24"/>
          <w:szCs w:val="24"/>
        </w:rPr>
        <w:t>”</w:t>
      </w:r>
    </w:p>
    <w:p w14:paraId="2186905A" w14:textId="77777777" w:rsidR="00F035BD" w:rsidRPr="00F035BD" w:rsidRDefault="00F035BD" w:rsidP="00F035BD">
      <w:pPr>
        <w:adjustRightInd w:val="0"/>
        <w:spacing w:before="24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w:t>
      </w:r>
      <w:r w:rsidRPr="00F035BD">
        <w:rPr>
          <w:rFonts w:ascii="Arial,Bold" w:eastAsia="Calibri" w:hAnsi="Arial,Bold" w:cs="Arial,Bold"/>
          <w:bCs/>
          <w:sz w:val="24"/>
          <w:szCs w:val="24"/>
          <w:u w:val="single"/>
        </w:rPr>
        <w:t>Art. 301</w:t>
      </w:r>
      <w:r w:rsidRPr="00F035BD">
        <w:rPr>
          <w:rFonts w:ascii="Arial,Bold" w:eastAsia="Calibri" w:hAnsi="Arial,Bold" w:cs="Arial,Bold"/>
          <w:bCs/>
          <w:sz w:val="24"/>
          <w:szCs w:val="24"/>
        </w:rPr>
        <w:t>. Excetuados os casos regidos pelo art. 299-A, § 1º, uma vez julgado o feito e expirado o prazo para a eventual interposição de recurso, será o processo encaminhado para registro se instaurado diretamente pelo e-Contas Paraná, ou para encerramento quando a instauração se der via sistema eletrônico de atos de pessoal.</w:t>
      </w:r>
      <w:r w:rsidR="00244DA5">
        <w:rPr>
          <w:rFonts w:ascii="Arial,Bold" w:eastAsia="Calibri" w:hAnsi="Arial,Bold" w:cs="Arial,Bold"/>
          <w:bCs/>
          <w:sz w:val="24"/>
          <w:szCs w:val="24"/>
        </w:rPr>
        <w:t>”</w:t>
      </w:r>
    </w:p>
    <w:p w14:paraId="425C8A5D" w14:textId="77777777" w:rsidR="00F035BD" w:rsidRPr="00F035BD" w:rsidRDefault="00F035BD" w:rsidP="00F035BD">
      <w:pPr>
        <w:adjustRightInd w:val="0"/>
        <w:spacing w:before="360"/>
        <w:ind w:firstLine="1134"/>
        <w:jc w:val="both"/>
        <w:rPr>
          <w:rFonts w:ascii="Arial,Bold" w:eastAsia="Calibri" w:hAnsi="Arial,Bold" w:cs="Arial,Bold"/>
          <w:bCs/>
          <w:sz w:val="24"/>
          <w:szCs w:val="24"/>
        </w:rPr>
      </w:pPr>
      <w:r w:rsidRPr="00F035BD">
        <w:rPr>
          <w:rFonts w:ascii="Arial,Bold" w:eastAsia="Calibri" w:hAnsi="Arial,Bold" w:cs="Arial,Bold"/>
          <w:b/>
          <w:bCs/>
          <w:sz w:val="24"/>
          <w:szCs w:val="24"/>
        </w:rPr>
        <w:t>Art. 2º</w:t>
      </w:r>
      <w:r w:rsidRPr="00F035BD">
        <w:rPr>
          <w:rFonts w:ascii="Arial,Bold" w:eastAsia="Calibri" w:hAnsi="Arial,Bold" w:cs="Arial,Bold"/>
          <w:bCs/>
          <w:sz w:val="24"/>
          <w:szCs w:val="24"/>
        </w:rPr>
        <w:t xml:space="preserve"> Ficam incluídos no Regimento Interno os seguintes dispositivos:</w:t>
      </w:r>
    </w:p>
    <w:p w14:paraId="7334D811"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w:t>
      </w:r>
      <w:r w:rsidRPr="00F035BD">
        <w:rPr>
          <w:rFonts w:ascii="Arial,Bold" w:eastAsia="Calibri" w:hAnsi="Arial,Bold" w:cs="Arial,Bold"/>
          <w:bCs/>
          <w:sz w:val="24"/>
          <w:szCs w:val="24"/>
          <w:u w:val="single"/>
        </w:rPr>
        <w:t>Art. 16</w:t>
      </w:r>
      <w:r w:rsidRPr="00F035BD">
        <w:rPr>
          <w:rFonts w:ascii="Arial,Bold" w:eastAsia="Calibri" w:hAnsi="Arial,Bold" w:cs="Arial,Bold"/>
          <w:bCs/>
          <w:sz w:val="24"/>
          <w:szCs w:val="24"/>
        </w:rPr>
        <w:t xml:space="preserve">. </w:t>
      </w:r>
      <w:r w:rsidR="00244DA5">
        <w:rPr>
          <w:rFonts w:ascii="Arial,Bold" w:eastAsia="Calibri" w:hAnsi="Arial,Bold" w:cs="Arial,Bold"/>
          <w:bCs/>
          <w:sz w:val="24"/>
          <w:szCs w:val="24"/>
        </w:rPr>
        <w:t>[</w:t>
      </w:r>
      <w:r w:rsidRPr="00F035BD">
        <w:rPr>
          <w:rFonts w:ascii="Arial,Bold" w:eastAsia="Calibri" w:hAnsi="Arial,Bold" w:cs="Arial,Bold"/>
          <w:bCs/>
          <w:sz w:val="24"/>
          <w:szCs w:val="24"/>
        </w:rPr>
        <w:t>...</w:t>
      </w:r>
      <w:r w:rsidR="00244DA5">
        <w:rPr>
          <w:rFonts w:ascii="Arial,Bold" w:eastAsia="Calibri" w:hAnsi="Arial,Bold" w:cs="Arial,Bold"/>
          <w:bCs/>
          <w:sz w:val="24"/>
          <w:szCs w:val="24"/>
        </w:rPr>
        <w:t>]</w:t>
      </w:r>
    </w:p>
    <w:p w14:paraId="4D51EC8D" w14:textId="77777777" w:rsidR="0088575B" w:rsidRDefault="0088575B" w:rsidP="00F035BD">
      <w:pPr>
        <w:adjustRightInd w:val="0"/>
        <w:spacing w:before="120"/>
        <w:ind w:firstLine="1134"/>
        <w:jc w:val="both"/>
        <w:rPr>
          <w:rFonts w:ascii="Arial,Bold" w:eastAsia="Calibri" w:hAnsi="Arial,Bold" w:cs="Arial,Bold"/>
          <w:bCs/>
          <w:sz w:val="24"/>
          <w:szCs w:val="24"/>
        </w:rPr>
      </w:pPr>
      <w:r>
        <w:rPr>
          <w:rFonts w:ascii="Arial,Bold" w:eastAsia="Calibri" w:hAnsi="Arial,Bold" w:cs="Arial,Bold"/>
          <w:bCs/>
          <w:sz w:val="24"/>
          <w:szCs w:val="24"/>
        </w:rPr>
        <w:t>[...]</w:t>
      </w:r>
    </w:p>
    <w:p w14:paraId="5AECB81C"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LIX - homologar o registro dos atos de inativação, pensão e revisão de pensão e de proventos analisados e considerados como regulares por sistema eletrônico de atos de pessoal.</w:t>
      </w:r>
      <w:r w:rsidR="00244DA5">
        <w:rPr>
          <w:rFonts w:ascii="Arial,Bold" w:eastAsia="Calibri" w:hAnsi="Arial,Bold" w:cs="Arial,Bold"/>
          <w:bCs/>
          <w:sz w:val="24"/>
          <w:szCs w:val="24"/>
        </w:rPr>
        <w:t>”</w:t>
      </w:r>
    </w:p>
    <w:p w14:paraId="465FF0AC" w14:textId="77777777" w:rsidR="00F035BD" w:rsidRPr="00F035BD" w:rsidRDefault="00F035BD" w:rsidP="00F035BD">
      <w:pPr>
        <w:adjustRightInd w:val="0"/>
        <w:spacing w:before="24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w:t>
      </w:r>
      <w:r w:rsidRPr="00F035BD">
        <w:rPr>
          <w:rFonts w:ascii="Arial,Bold" w:eastAsia="Calibri" w:hAnsi="Arial,Bold" w:cs="Arial,Bold"/>
          <w:bCs/>
          <w:sz w:val="24"/>
          <w:szCs w:val="24"/>
          <w:u w:val="single"/>
        </w:rPr>
        <w:t>Art. 175-C</w:t>
      </w:r>
      <w:r w:rsidRPr="00F035BD">
        <w:rPr>
          <w:rFonts w:ascii="Arial,Bold" w:eastAsia="Calibri" w:hAnsi="Arial,Bold" w:cs="Arial,Bold"/>
          <w:bCs/>
          <w:sz w:val="24"/>
          <w:szCs w:val="24"/>
        </w:rPr>
        <w:t xml:space="preserve">. </w:t>
      </w:r>
      <w:r w:rsidR="00244DA5">
        <w:rPr>
          <w:rFonts w:ascii="Arial,Bold" w:eastAsia="Calibri" w:hAnsi="Arial,Bold" w:cs="Arial,Bold"/>
          <w:bCs/>
          <w:sz w:val="24"/>
          <w:szCs w:val="24"/>
        </w:rPr>
        <w:t>[</w:t>
      </w:r>
      <w:r w:rsidRPr="00F035BD">
        <w:rPr>
          <w:rFonts w:ascii="Arial,Bold" w:eastAsia="Calibri" w:hAnsi="Arial,Bold" w:cs="Arial,Bold"/>
          <w:bCs/>
          <w:sz w:val="24"/>
          <w:szCs w:val="24"/>
        </w:rPr>
        <w:t>...</w:t>
      </w:r>
      <w:r w:rsidR="00244DA5">
        <w:rPr>
          <w:rFonts w:ascii="Arial,Bold" w:eastAsia="Calibri" w:hAnsi="Arial,Bold" w:cs="Arial,Bold"/>
          <w:bCs/>
          <w:sz w:val="24"/>
          <w:szCs w:val="24"/>
        </w:rPr>
        <w:t>]</w:t>
      </w:r>
    </w:p>
    <w:p w14:paraId="69A0E2E7" w14:textId="77777777" w:rsidR="0088575B" w:rsidRDefault="0088575B" w:rsidP="00F035BD">
      <w:pPr>
        <w:adjustRightInd w:val="0"/>
        <w:spacing w:before="120"/>
        <w:ind w:firstLine="1134"/>
        <w:jc w:val="both"/>
        <w:rPr>
          <w:rFonts w:ascii="Arial,Bold" w:eastAsia="Calibri" w:hAnsi="Arial,Bold" w:cs="Arial,Bold"/>
          <w:bCs/>
          <w:sz w:val="24"/>
          <w:szCs w:val="24"/>
        </w:rPr>
      </w:pPr>
      <w:r>
        <w:rPr>
          <w:rFonts w:ascii="Arial,Bold" w:eastAsia="Calibri" w:hAnsi="Arial,Bold" w:cs="Arial,Bold"/>
          <w:bCs/>
          <w:sz w:val="24"/>
          <w:szCs w:val="24"/>
        </w:rPr>
        <w:t>[...]</w:t>
      </w:r>
    </w:p>
    <w:p w14:paraId="5C2DB1C0"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VII – gerenciar o sistema eletrônico de atos de pessoal e analisar os atos de admissão de pessoal, de inativação, pensão, revisão de proventos e de pensão por ele encaminhados.</w:t>
      </w:r>
    </w:p>
    <w:p w14:paraId="6008F9ED"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Parágrafo único. Os atos de aposentadoria, pensão e revisão de proventos e de pensão estaduais e municipais, bem como os atos de reserva remunerada e reforma apreciados por sistema eletrônico de atos de pessoal terão seus registros automatizados.</w:t>
      </w:r>
      <w:r w:rsidR="00244DA5">
        <w:rPr>
          <w:rFonts w:ascii="Arial,Bold" w:eastAsia="Calibri" w:hAnsi="Arial,Bold" w:cs="Arial,Bold"/>
          <w:bCs/>
          <w:sz w:val="24"/>
          <w:szCs w:val="24"/>
        </w:rPr>
        <w:t>”</w:t>
      </w:r>
    </w:p>
    <w:p w14:paraId="5368D782" w14:textId="77777777" w:rsidR="00F035BD" w:rsidRPr="00F035BD" w:rsidRDefault="00F035BD" w:rsidP="00F035BD">
      <w:pPr>
        <w:adjustRightInd w:val="0"/>
        <w:spacing w:before="24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w:t>
      </w:r>
      <w:r w:rsidRPr="00F035BD">
        <w:rPr>
          <w:rFonts w:ascii="Arial,Bold" w:eastAsia="Calibri" w:hAnsi="Arial,Bold" w:cs="Arial,Bold"/>
          <w:bCs/>
          <w:sz w:val="24"/>
          <w:szCs w:val="24"/>
          <w:u w:val="single"/>
        </w:rPr>
        <w:t>Art. 299-A</w:t>
      </w:r>
      <w:r w:rsidRPr="00F035BD">
        <w:rPr>
          <w:rFonts w:ascii="Arial,Bold" w:eastAsia="Calibri" w:hAnsi="Arial,Bold" w:cs="Arial,Bold"/>
          <w:bCs/>
          <w:sz w:val="24"/>
          <w:szCs w:val="24"/>
        </w:rPr>
        <w:t>. Os atos de inativação, pensão e revisões de pensão e de proventos encaminhados por meio de sistema de atos de pessoal serão diretamente remetidos à Diretoria de Controle de Atos de Pessoal – DICAP, para análise eletrônica.</w:t>
      </w:r>
    </w:p>
    <w:p w14:paraId="78206AF8"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lastRenderedPageBreak/>
        <w:t>§ 1º Os atos analisados eletronicamente e considerados regulares serão distribuídos para o Presidente, para homologação nos termos do art. 16, LIX.</w:t>
      </w:r>
    </w:p>
    <w:p w14:paraId="0EB496A5"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 2° Homologados os atos, será emitida certidão do respectivo registro.</w:t>
      </w:r>
    </w:p>
    <w:p w14:paraId="4103F6CE"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 3º Os atos que não se enquadrarem na hipótese do § 2° serão encaminhados à Diretoria de Protocolo para distribuição e regular processamento, nos termos do art. 333, I a V, deste Regimento Interno.</w:t>
      </w:r>
    </w:p>
    <w:p w14:paraId="502025E2"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 4º Os critérios de análise e os parâmetros de conformidade do Sistema serão estabelecidos em Instrução Normativa.</w:t>
      </w:r>
    </w:p>
    <w:p w14:paraId="7C5A4243"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 5º Os processos em trâmite e os não encaminhados por intermédio do Sistema observarão a tramitação definida no art. 300 deste Regimento Interno.</w:t>
      </w:r>
    </w:p>
    <w:p w14:paraId="2DAD0B83" w14:textId="77777777" w:rsidR="00F035BD" w:rsidRPr="00F035BD" w:rsidRDefault="00F035BD" w:rsidP="00F035BD">
      <w:pPr>
        <w:adjustRightInd w:val="0"/>
        <w:spacing w:before="120"/>
        <w:ind w:firstLine="1134"/>
        <w:jc w:val="both"/>
        <w:rPr>
          <w:rFonts w:ascii="Arial,Bold" w:eastAsia="Calibri" w:hAnsi="Arial,Bold" w:cs="Arial,Bold"/>
          <w:bCs/>
          <w:sz w:val="24"/>
          <w:szCs w:val="24"/>
        </w:rPr>
      </w:pPr>
      <w:r w:rsidRPr="00F035BD">
        <w:rPr>
          <w:rFonts w:ascii="Arial,Bold" w:eastAsia="Calibri" w:hAnsi="Arial,Bold" w:cs="Arial,Bold"/>
          <w:bCs/>
          <w:sz w:val="24"/>
          <w:szCs w:val="24"/>
        </w:rPr>
        <w:t>§ 6º A revisão do ato de registro que se enquadrar na hipótese do §1º se dará por requerimento, no prazo de 10 (dez) dias, de iniciativa da Unidade Técnica, do Ministério Público de Contas, dos sujeitos do processo ou de terceiro, dirigido ao Presidente do Tribunal que, após manifestação da Diretoria de Controle de Atos de Pessoal e do Ministério Público de Contas, deliberará acerca da admissibilidade e, em sendo o caso, determinará a distribuição e regular processamento, nos termos do art. 333, I a V, deste Regimento Interno.</w:t>
      </w:r>
      <w:r w:rsidR="00115916">
        <w:rPr>
          <w:rFonts w:ascii="Arial,Bold" w:eastAsia="Calibri" w:hAnsi="Arial,Bold" w:cs="Arial,Bold"/>
          <w:bCs/>
          <w:sz w:val="24"/>
          <w:szCs w:val="24"/>
        </w:rPr>
        <w:t>”</w:t>
      </w:r>
    </w:p>
    <w:p w14:paraId="629F6E24" w14:textId="77777777" w:rsidR="004E06AC" w:rsidRPr="00F035BD" w:rsidRDefault="00F035BD" w:rsidP="00115916">
      <w:pPr>
        <w:adjustRightInd w:val="0"/>
        <w:spacing w:before="360"/>
        <w:ind w:firstLine="1134"/>
        <w:jc w:val="both"/>
        <w:rPr>
          <w:rFonts w:ascii="Arial" w:eastAsia="Calibri" w:hAnsi="Arial" w:cs="Arial"/>
          <w:sz w:val="24"/>
          <w:szCs w:val="24"/>
        </w:rPr>
      </w:pPr>
      <w:r w:rsidRPr="00F035BD">
        <w:rPr>
          <w:rFonts w:ascii="Arial,Bold" w:eastAsia="Calibri" w:hAnsi="Arial,Bold" w:cs="Arial,Bold"/>
          <w:b/>
          <w:bCs/>
          <w:sz w:val="24"/>
          <w:szCs w:val="24"/>
        </w:rPr>
        <w:t>Art. 3º</w:t>
      </w:r>
      <w:r w:rsidRPr="00F035BD">
        <w:rPr>
          <w:rFonts w:ascii="Arial,Bold" w:eastAsia="Calibri" w:hAnsi="Arial,Bold" w:cs="Arial,Bold"/>
          <w:bCs/>
          <w:sz w:val="24"/>
          <w:szCs w:val="24"/>
        </w:rPr>
        <w:t xml:space="preserve"> Esta Resolução entra em vigor na data de sua publicação.</w:t>
      </w:r>
    </w:p>
    <w:p w14:paraId="195134D8" w14:textId="77777777" w:rsidR="00714C75" w:rsidRDefault="00714C75" w:rsidP="003E03D3">
      <w:pPr>
        <w:autoSpaceDE/>
        <w:autoSpaceDN/>
        <w:jc w:val="both"/>
        <w:rPr>
          <w:rFonts w:ascii="Arial" w:eastAsia="Calibri" w:hAnsi="Arial" w:cs="Arial"/>
          <w:i/>
          <w:iCs/>
          <w:sz w:val="24"/>
          <w:szCs w:val="24"/>
        </w:rPr>
      </w:pPr>
    </w:p>
    <w:p w14:paraId="5B650D2C" w14:textId="77777777" w:rsidR="00714C75" w:rsidRDefault="00714C75" w:rsidP="00CB3A8A">
      <w:pPr>
        <w:autoSpaceDE/>
        <w:autoSpaceDN/>
        <w:jc w:val="both"/>
        <w:rPr>
          <w:rFonts w:ascii="Arial" w:eastAsia="Calibri" w:hAnsi="Arial" w:cs="Arial"/>
          <w:i/>
          <w:iCs/>
          <w:sz w:val="24"/>
          <w:szCs w:val="24"/>
        </w:rPr>
      </w:pPr>
    </w:p>
    <w:p w14:paraId="4EB72E7F" w14:textId="77777777" w:rsidR="008238AB" w:rsidRPr="0037364E" w:rsidRDefault="008238AB" w:rsidP="008238AB">
      <w:pPr>
        <w:autoSpaceDE/>
        <w:autoSpaceDN/>
        <w:jc w:val="center"/>
        <w:rPr>
          <w:rFonts w:ascii="Arial" w:eastAsia="Calibri" w:hAnsi="Arial" w:cs="Arial"/>
          <w:sz w:val="24"/>
          <w:szCs w:val="24"/>
        </w:rPr>
      </w:pPr>
      <w:r w:rsidRPr="0037364E">
        <w:rPr>
          <w:rFonts w:ascii="Arial" w:eastAsia="Calibri" w:hAnsi="Arial" w:cs="Arial"/>
          <w:sz w:val="24"/>
          <w:szCs w:val="24"/>
        </w:rPr>
        <w:t xml:space="preserve">Curitiba, </w:t>
      </w:r>
      <w:r w:rsidR="00115916">
        <w:rPr>
          <w:rFonts w:ascii="Arial" w:eastAsia="Calibri" w:hAnsi="Arial" w:cs="Arial"/>
          <w:sz w:val="24"/>
          <w:szCs w:val="24"/>
        </w:rPr>
        <w:t>19</w:t>
      </w:r>
      <w:r w:rsidR="00872842">
        <w:rPr>
          <w:rFonts w:ascii="Arial" w:eastAsia="Calibri" w:hAnsi="Arial" w:cs="Arial"/>
          <w:sz w:val="24"/>
          <w:szCs w:val="24"/>
        </w:rPr>
        <w:t xml:space="preserve"> de </w:t>
      </w:r>
      <w:r w:rsidR="00115916">
        <w:rPr>
          <w:rFonts w:ascii="Arial" w:eastAsia="Calibri" w:hAnsi="Arial" w:cs="Arial"/>
          <w:sz w:val="24"/>
          <w:szCs w:val="24"/>
        </w:rPr>
        <w:t>fevereiro de 2015</w:t>
      </w:r>
      <w:r w:rsidRPr="0037364E">
        <w:rPr>
          <w:rFonts w:ascii="Arial" w:eastAsia="Calibri" w:hAnsi="Arial" w:cs="Arial"/>
          <w:sz w:val="24"/>
          <w:szCs w:val="24"/>
        </w:rPr>
        <w:t>.</w:t>
      </w:r>
    </w:p>
    <w:p w14:paraId="647F8BFC" w14:textId="77777777" w:rsidR="008238AB" w:rsidRDefault="008238AB" w:rsidP="008238AB">
      <w:pPr>
        <w:autoSpaceDE/>
        <w:autoSpaceDN/>
        <w:jc w:val="center"/>
        <w:rPr>
          <w:rFonts w:ascii="Arial" w:eastAsia="Calibri" w:hAnsi="Arial" w:cs="Arial"/>
          <w:sz w:val="24"/>
          <w:szCs w:val="24"/>
        </w:rPr>
      </w:pPr>
    </w:p>
    <w:p w14:paraId="0C2A3830" w14:textId="77777777" w:rsidR="00C34C45" w:rsidRPr="0037364E" w:rsidRDefault="00C34C45" w:rsidP="008238AB">
      <w:pPr>
        <w:autoSpaceDE/>
        <w:autoSpaceDN/>
        <w:jc w:val="center"/>
        <w:rPr>
          <w:rFonts w:ascii="Arial" w:eastAsia="Calibri" w:hAnsi="Arial" w:cs="Arial"/>
          <w:sz w:val="24"/>
          <w:szCs w:val="24"/>
        </w:rPr>
      </w:pPr>
    </w:p>
    <w:p w14:paraId="4ABA43A8" w14:textId="77777777" w:rsidR="008238AB" w:rsidRPr="0037364E" w:rsidRDefault="00115916" w:rsidP="008238AB">
      <w:pPr>
        <w:autoSpaceDE/>
        <w:autoSpaceDN/>
        <w:jc w:val="center"/>
        <w:rPr>
          <w:rFonts w:ascii="Arial" w:eastAsia="Calibri" w:hAnsi="Arial" w:cs="Arial"/>
          <w:b/>
          <w:sz w:val="24"/>
          <w:szCs w:val="24"/>
        </w:rPr>
      </w:pPr>
      <w:r>
        <w:rPr>
          <w:rFonts w:ascii="Arial" w:eastAsia="Calibri" w:hAnsi="Arial" w:cs="Arial"/>
          <w:b/>
          <w:sz w:val="24"/>
          <w:szCs w:val="24"/>
        </w:rPr>
        <w:t>IVAN LELIS BONILHA</w:t>
      </w:r>
    </w:p>
    <w:p w14:paraId="66C2630A" w14:textId="77777777" w:rsidR="00F20004" w:rsidRDefault="003E03D3" w:rsidP="003E03D3">
      <w:pPr>
        <w:autoSpaceDE/>
        <w:autoSpaceDN/>
        <w:jc w:val="center"/>
      </w:pPr>
      <w:r>
        <w:rPr>
          <w:rFonts w:ascii="Arial" w:eastAsia="Calibri" w:hAnsi="Arial" w:cs="Arial"/>
          <w:sz w:val="24"/>
          <w:szCs w:val="24"/>
        </w:rPr>
        <w:t>Presidente</w:t>
      </w:r>
    </w:p>
    <w:sectPr w:rsidR="00F20004" w:rsidSect="00E45457">
      <w:headerReference w:type="default" r:id="rId8"/>
      <w:footnotePr>
        <w:numFmt w:val="chicago"/>
      </w:footnotePr>
      <w:pgSz w:w="11907" w:h="16840" w:code="9"/>
      <w:pgMar w:top="1418" w:right="1701"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0310" w14:textId="77777777" w:rsidR="00EC53CF" w:rsidRDefault="00EC53CF" w:rsidP="0013434E">
      <w:r>
        <w:separator/>
      </w:r>
    </w:p>
  </w:endnote>
  <w:endnote w:type="continuationSeparator" w:id="0">
    <w:p w14:paraId="09D505FF" w14:textId="77777777" w:rsidR="00EC53CF" w:rsidRDefault="00EC53CF" w:rsidP="0013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72B8" w14:textId="77777777" w:rsidR="00EC53CF" w:rsidRDefault="00EC53CF" w:rsidP="0013434E">
      <w:r>
        <w:separator/>
      </w:r>
    </w:p>
  </w:footnote>
  <w:footnote w:type="continuationSeparator" w:id="0">
    <w:p w14:paraId="7BEC0A89" w14:textId="77777777" w:rsidR="00EC53CF" w:rsidRDefault="00EC53CF" w:rsidP="0013434E">
      <w:r>
        <w:continuationSeparator/>
      </w:r>
    </w:p>
  </w:footnote>
  <w:footnote w:id="1">
    <w:p w14:paraId="4F3B42D9" w14:textId="77777777" w:rsidR="00313745" w:rsidRPr="008004CE" w:rsidRDefault="00E45457" w:rsidP="00313745">
      <w:pPr>
        <w:pStyle w:val="Textodenotaderodap"/>
        <w:jc w:val="both"/>
        <w:rPr>
          <w:rFonts w:ascii="Arial" w:hAnsi="Arial" w:cs="Arial"/>
        </w:rPr>
      </w:pPr>
      <w:r>
        <w:rPr>
          <w:rStyle w:val="Refdenotaderodap"/>
        </w:rPr>
        <w:footnoteRef/>
      </w:r>
      <w:r>
        <w:t xml:space="preserve"> </w:t>
      </w:r>
      <w:r w:rsidR="00313745" w:rsidRPr="008004CE">
        <w:rPr>
          <w:rFonts w:ascii="Arial" w:hAnsi="Arial" w:cs="Arial"/>
          <w:b/>
        </w:rPr>
        <w:t>Notas da Biblioteca:</w:t>
      </w:r>
    </w:p>
    <w:p w14:paraId="2F805719" w14:textId="77777777" w:rsidR="00313745" w:rsidRPr="00DE16BC" w:rsidRDefault="00313745" w:rsidP="001A1187">
      <w:pPr>
        <w:pStyle w:val="Textodenotaderodap"/>
        <w:numPr>
          <w:ilvl w:val="0"/>
          <w:numId w:val="2"/>
        </w:numPr>
        <w:autoSpaceDE/>
        <w:autoSpaceDN/>
        <w:ind w:left="426" w:hanging="284"/>
        <w:jc w:val="both"/>
        <w:rPr>
          <w:rFonts w:ascii="Arial" w:hAnsi="Arial" w:cs="Arial"/>
        </w:rPr>
      </w:pPr>
      <w:r w:rsidRPr="00DE16BC">
        <w:rPr>
          <w:rFonts w:ascii="Arial" w:hAnsi="Arial" w:cs="Arial"/>
        </w:rPr>
        <w:t xml:space="preserve">Este texto não substitui o publicado no periódico: </w:t>
      </w:r>
      <w:hyperlink r:id="rId1" w:history="1">
        <w:r w:rsidRPr="00DE16BC">
          <w:rPr>
            <w:rStyle w:val="Hyperlink"/>
            <w:rFonts w:ascii="Arial" w:hAnsi="Arial" w:cs="Arial"/>
          </w:rPr>
          <w:t>Diário Eletrônico do Tribunal de Contas do Estado do Paraná, Curitiba, PR, n. 1359, 16 maio 2016, p. 94</w:t>
        </w:r>
      </w:hyperlink>
      <w:r w:rsidRPr="00DE16BC">
        <w:rPr>
          <w:rFonts w:ascii="Arial" w:hAnsi="Arial" w:cs="Arial"/>
        </w:rPr>
        <w:t>.</w:t>
      </w:r>
    </w:p>
    <w:p w14:paraId="7F0C3775" w14:textId="77777777" w:rsidR="001A1187" w:rsidRPr="00DE16BC" w:rsidRDefault="001A1187" w:rsidP="001A1187">
      <w:pPr>
        <w:pStyle w:val="Textodenotaderodap"/>
        <w:numPr>
          <w:ilvl w:val="0"/>
          <w:numId w:val="2"/>
        </w:numPr>
        <w:autoSpaceDE/>
        <w:autoSpaceDN/>
        <w:ind w:left="426" w:hanging="284"/>
        <w:jc w:val="both"/>
        <w:rPr>
          <w:rFonts w:ascii="Arial" w:hAnsi="Arial" w:cs="Arial"/>
          <w:color w:val="545454"/>
        </w:rPr>
      </w:pPr>
      <w:r w:rsidRPr="00DE16BC">
        <w:rPr>
          <w:rFonts w:ascii="Arial" w:hAnsi="Arial" w:cs="Arial"/>
          <w:b/>
          <w:bCs/>
        </w:rPr>
        <w:t>Altera</w:t>
      </w:r>
      <w:r w:rsidRPr="00DE16BC">
        <w:rPr>
          <w:rFonts w:ascii="Arial" w:hAnsi="Arial" w:cs="Arial"/>
        </w:rPr>
        <w:t xml:space="preserve">: </w:t>
      </w:r>
      <w:hyperlink r:id="rId2" w:history="1">
        <w:r w:rsidRPr="00DE16BC">
          <w:rPr>
            <w:rStyle w:val="Hyperlink"/>
            <w:rFonts w:ascii="Arial" w:hAnsi="Arial" w:cs="Arial"/>
          </w:rPr>
          <w:t>Resolução n. 1, de 24 de janeiro de 2006 - Regimento Interno</w:t>
        </w:r>
      </w:hyperlink>
      <w:r w:rsidRPr="00DE16BC">
        <w:rPr>
          <w:rStyle w:val="Hyperlink"/>
          <w:rFonts w:ascii="Arial" w:hAnsi="Arial" w:cs="Arial"/>
        </w:rPr>
        <w:t xml:space="preserve"> (e alterações posteriores).</w:t>
      </w:r>
    </w:p>
    <w:p w14:paraId="40A09E17" w14:textId="06672E59" w:rsidR="00E45457" w:rsidRPr="001A1187" w:rsidRDefault="001A1187" w:rsidP="001A1187">
      <w:pPr>
        <w:pStyle w:val="NormalWeb"/>
        <w:numPr>
          <w:ilvl w:val="0"/>
          <w:numId w:val="2"/>
        </w:numPr>
        <w:spacing w:before="0" w:beforeAutospacing="0" w:after="0" w:afterAutospacing="0"/>
        <w:ind w:left="426" w:hanging="284"/>
        <w:rPr>
          <w:rFonts w:ascii="Arial" w:hAnsi="Arial" w:cs="Arial"/>
          <w:i/>
          <w:iCs/>
          <w:sz w:val="18"/>
          <w:szCs w:val="18"/>
        </w:rPr>
      </w:pPr>
      <w:r w:rsidRPr="00DE16BC">
        <w:rPr>
          <w:rStyle w:val="Forte"/>
          <w:rFonts w:ascii="Arial" w:hAnsi="Arial" w:cs="Arial"/>
          <w:sz w:val="20"/>
          <w:szCs w:val="20"/>
        </w:rPr>
        <w:t xml:space="preserve">Ver </w:t>
      </w:r>
      <w:hyperlink r:id="rId3" w:history="1">
        <w:r w:rsidRPr="00DE16BC">
          <w:rPr>
            <w:rStyle w:val="Hyperlink"/>
            <w:rFonts w:ascii="Arial" w:hAnsi="Arial" w:cs="Arial"/>
            <w:sz w:val="20"/>
            <w:szCs w:val="20"/>
          </w:rPr>
          <w:t>alterações posteriores</w:t>
        </w:r>
      </w:hyperlink>
      <w:r w:rsidRPr="00DE16BC">
        <w:rPr>
          <w:rFonts w:ascii="Arial" w:hAnsi="Arial" w:cs="Arial"/>
          <w:b/>
          <w:b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AF5F" w14:textId="77777777" w:rsidR="00222F88" w:rsidRDefault="00DE16BC" w:rsidP="00E633AB">
    <w:pPr>
      <w:pStyle w:val="Cabealho"/>
      <w:spacing w:before="480"/>
      <w:ind w:left="1134"/>
      <w:rPr>
        <w:rFonts w:ascii="Arial" w:hAnsi="Arial" w:cs="Arial"/>
        <w:b/>
        <w:sz w:val="30"/>
        <w:szCs w:val="30"/>
      </w:rPr>
    </w:pPr>
    <w:r>
      <w:rPr>
        <w:noProof/>
      </w:rPr>
      <w:pict w14:anchorId="72D9D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251657728;visibility:visible">
          <v:imagedata r:id="rId1" o:title="logo TC colorido - medio"/>
          <w10:wrap type="square"/>
        </v:shape>
      </w:pict>
    </w:r>
    <w:r w:rsidR="00E633AB">
      <w:rPr>
        <w:rFonts w:ascii="Arial" w:hAnsi="Arial" w:cs="Arial"/>
        <w:b/>
        <w:sz w:val="30"/>
        <w:szCs w:val="30"/>
      </w:rPr>
      <w:t xml:space="preserve"> </w:t>
    </w:r>
    <w:r w:rsidR="00222F88">
      <w:rPr>
        <w:rFonts w:ascii="Arial" w:hAnsi="Arial" w:cs="Arial"/>
        <w:b/>
        <w:sz w:val="30"/>
        <w:szCs w:val="30"/>
      </w:rPr>
      <w:t>TRIBUNAL DE CONTAS DO ESTADO DO PARANÁ</w:t>
    </w:r>
  </w:p>
  <w:p w14:paraId="2D21A7E1" w14:textId="77777777" w:rsidR="00E45457" w:rsidRDefault="00E45457" w:rsidP="00E633AB">
    <w:pPr>
      <w:pStyle w:val="Cabealho"/>
      <w:spacing w:before="480"/>
      <w:ind w:left="1134"/>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014F7"/>
    <w:multiLevelType w:val="hybridMultilevel"/>
    <w:tmpl w:val="897023A4"/>
    <w:lvl w:ilvl="0" w:tplc="8E141DD4">
      <w:start w:val="1"/>
      <w:numFmt w:val="lowerLetter"/>
      <w:lvlText w:val="%1)"/>
      <w:lvlJc w:val="left"/>
      <w:pPr>
        <w:ind w:left="720" w:hanging="360"/>
      </w:pPr>
      <w:rPr>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6973F67"/>
    <w:multiLevelType w:val="hybridMultilevel"/>
    <w:tmpl w:val="BBB824DC"/>
    <w:lvl w:ilvl="0" w:tplc="62EC6910">
      <w:start w:val="1"/>
      <w:numFmt w:val="lowerLetter"/>
      <w:lvlText w:val="%1)"/>
      <w:lvlJc w:val="left"/>
      <w:pPr>
        <w:ind w:left="720" w:hanging="360"/>
      </w:pPr>
      <w:rPr>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6341067">
    <w:abstractNumId w:val="1"/>
  </w:num>
  <w:num w:numId="2" w16cid:durableId="1738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A8A"/>
    <w:rsid w:val="0002592A"/>
    <w:rsid w:val="00035E9E"/>
    <w:rsid w:val="00041683"/>
    <w:rsid w:val="00056DDE"/>
    <w:rsid w:val="000615D9"/>
    <w:rsid w:val="000C786D"/>
    <w:rsid w:val="000D4D36"/>
    <w:rsid w:val="00115916"/>
    <w:rsid w:val="0013398E"/>
    <w:rsid w:val="0013434E"/>
    <w:rsid w:val="00161A2E"/>
    <w:rsid w:val="00172695"/>
    <w:rsid w:val="001A0AFA"/>
    <w:rsid w:val="001A1187"/>
    <w:rsid w:val="001C43A3"/>
    <w:rsid w:val="001D35DD"/>
    <w:rsid w:val="00222F88"/>
    <w:rsid w:val="00243954"/>
    <w:rsid w:val="00244DA5"/>
    <w:rsid w:val="002B2D75"/>
    <w:rsid w:val="002C5A1F"/>
    <w:rsid w:val="00313745"/>
    <w:rsid w:val="0035559F"/>
    <w:rsid w:val="0037364E"/>
    <w:rsid w:val="0038666C"/>
    <w:rsid w:val="003A0632"/>
    <w:rsid w:val="003B70EA"/>
    <w:rsid w:val="003C1A7A"/>
    <w:rsid w:val="003D446F"/>
    <w:rsid w:val="003E03D3"/>
    <w:rsid w:val="0040087F"/>
    <w:rsid w:val="004427BE"/>
    <w:rsid w:val="00444C70"/>
    <w:rsid w:val="004D2F3B"/>
    <w:rsid w:val="004D4B3A"/>
    <w:rsid w:val="004E06AC"/>
    <w:rsid w:val="004F6DE4"/>
    <w:rsid w:val="005076AE"/>
    <w:rsid w:val="00520471"/>
    <w:rsid w:val="00522CE1"/>
    <w:rsid w:val="005656C5"/>
    <w:rsid w:val="00565C3B"/>
    <w:rsid w:val="00695476"/>
    <w:rsid w:val="00697944"/>
    <w:rsid w:val="006B5EC2"/>
    <w:rsid w:val="006E0098"/>
    <w:rsid w:val="00703930"/>
    <w:rsid w:val="007060B5"/>
    <w:rsid w:val="00711A98"/>
    <w:rsid w:val="007128A4"/>
    <w:rsid w:val="00714C75"/>
    <w:rsid w:val="008042A4"/>
    <w:rsid w:val="008238AB"/>
    <w:rsid w:val="00826A18"/>
    <w:rsid w:val="00844A93"/>
    <w:rsid w:val="00872842"/>
    <w:rsid w:val="0088575B"/>
    <w:rsid w:val="00892AD0"/>
    <w:rsid w:val="008F5F41"/>
    <w:rsid w:val="00903188"/>
    <w:rsid w:val="00906521"/>
    <w:rsid w:val="009973DB"/>
    <w:rsid w:val="009B2DBD"/>
    <w:rsid w:val="009C5E61"/>
    <w:rsid w:val="00A51C53"/>
    <w:rsid w:val="00A721EF"/>
    <w:rsid w:val="00AE4575"/>
    <w:rsid w:val="00B53DFB"/>
    <w:rsid w:val="00B6348F"/>
    <w:rsid w:val="00B740C9"/>
    <w:rsid w:val="00B81651"/>
    <w:rsid w:val="00BF0063"/>
    <w:rsid w:val="00C06A9D"/>
    <w:rsid w:val="00C34C45"/>
    <w:rsid w:val="00C5520C"/>
    <w:rsid w:val="00CA1ADA"/>
    <w:rsid w:val="00CB3A8A"/>
    <w:rsid w:val="00CF3C2C"/>
    <w:rsid w:val="00D570D3"/>
    <w:rsid w:val="00D61CBC"/>
    <w:rsid w:val="00D9343F"/>
    <w:rsid w:val="00DA42A7"/>
    <w:rsid w:val="00DC4808"/>
    <w:rsid w:val="00DD28FE"/>
    <w:rsid w:val="00DE16BC"/>
    <w:rsid w:val="00E45457"/>
    <w:rsid w:val="00E633AB"/>
    <w:rsid w:val="00E921AE"/>
    <w:rsid w:val="00EC53CF"/>
    <w:rsid w:val="00F035BD"/>
    <w:rsid w:val="00F1623C"/>
    <w:rsid w:val="00F20004"/>
    <w:rsid w:val="00F40E32"/>
    <w:rsid w:val="00F905BD"/>
    <w:rsid w:val="00FF4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A6C47"/>
  <w15:chartTrackingRefBased/>
  <w15:docId w15:val="{960BEB5B-D532-423E-B34A-37AEC4F9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8A"/>
    <w:pPr>
      <w:autoSpaceDE w:val="0"/>
      <w:autoSpaceDN w:val="0"/>
    </w:pPr>
    <w:rPr>
      <w:rFonts w:ascii="Times New Roman" w:eastAsia="Times New Roman" w:hAnsi="Times New Roman"/>
    </w:rPr>
  </w:style>
  <w:style w:type="paragraph" w:styleId="Ttulo1">
    <w:name w:val="heading 1"/>
    <w:basedOn w:val="Normal"/>
    <w:next w:val="Normal"/>
    <w:link w:val="Ttulo1Char"/>
    <w:uiPriority w:val="9"/>
    <w:qFormat/>
    <w:rsid w:val="003C1A7A"/>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unhideWhenUsed/>
    <w:qFormat/>
    <w:rsid w:val="003C1A7A"/>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unhideWhenUsed/>
    <w:qFormat/>
    <w:rsid w:val="003C1A7A"/>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unhideWhenUsed/>
    <w:qFormat/>
    <w:rsid w:val="003C1A7A"/>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B3A8A"/>
    <w:pPr>
      <w:tabs>
        <w:tab w:val="center" w:pos="4252"/>
        <w:tab w:val="right" w:pos="8504"/>
      </w:tabs>
    </w:pPr>
  </w:style>
  <w:style w:type="character" w:customStyle="1" w:styleId="CabealhoChar">
    <w:name w:val="Cabeçalho Char"/>
    <w:link w:val="Cabealho"/>
    <w:rsid w:val="00CB3A8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3434E"/>
    <w:pPr>
      <w:tabs>
        <w:tab w:val="center" w:pos="4252"/>
        <w:tab w:val="right" w:pos="8504"/>
      </w:tabs>
    </w:pPr>
  </w:style>
  <w:style w:type="character" w:customStyle="1" w:styleId="RodapChar">
    <w:name w:val="Rodapé Char"/>
    <w:link w:val="Rodap"/>
    <w:uiPriority w:val="99"/>
    <w:rsid w:val="0013434E"/>
    <w:rPr>
      <w:rFonts w:ascii="Times New Roman" w:eastAsia="Times New Roman" w:hAnsi="Times New Roman"/>
    </w:rPr>
  </w:style>
  <w:style w:type="paragraph" w:styleId="SemEspaamento">
    <w:name w:val="No Spacing"/>
    <w:uiPriority w:val="1"/>
    <w:qFormat/>
    <w:rsid w:val="003C1A7A"/>
    <w:pPr>
      <w:autoSpaceDE w:val="0"/>
      <w:autoSpaceDN w:val="0"/>
    </w:pPr>
    <w:rPr>
      <w:rFonts w:ascii="Times New Roman" w:eastAsia="Times New Roman" w:hAnsi="Times New Roman"/>
    </w:rPr>
  </w:style>
  <w:style w:type="character" w:customStyle="1" w:styleId="Ttulo1Char">
    <w:name w:val="Título 1 Char"/>
    <w:link w:val="Ttulo1"/>
    <w:uiPriority w:val="9"/>
    <w:rsid w:val="003C1A7A"/>
    <w:rPr>
      <w:rFonts w:ascii="Cambria" w:eastAsia="Times New Roman" w:hAnsi="Cambria" w:cs="Times New Roman"/>
      <w:b/>
      <w:bCs/>
      <w:kern w:val="32"/>
      <w:sz w:val="32"/>
      <w:szCs w:val="32"/>
    </w:rPr>
  </w:style>
  <w:style w:type="character" w:customStyle="1" w:styleId="Ttulo2Char">
    <w:name w:val="Título 2 Char"/>
    <w:link w:val="Ttulo2"/>
    <w:uiPriority w:val="9"/>
    <w:rsid w:val="003C1A7A"/>
    <w:rPr>
      <w:rFonts w:ascii="Cambria" w:eastAsia="Times New Roman" w:hAnsi="Cambria" w:cs="Times New Roman"/>
      <w:b/>
      <w:bCs/>
      <w:i/>
      <w:iCs/>
      <w:sz w:val="28"/>
      <w:szCs w:val="28"/>
    </w:rPr>
  </w:style>
  <w:style w:type="character" w:customStyle="1" w:styleId="Ttulo3Char">
    <w:name w:val="Título 3 Char"/>
    <w:link w:val="Ttulo3"/>
    <w:uiPriority w:val="9"/>
    <w:rsid w:val="003C1A7A"/>
    <w:rPr>
      <w:rFonts w:ascii="Cambria" w:eastAsia="Times New Roman" w:hAnsi="Cambria" w:cs="Times New Roman"/>
      <w:b/>
      <w:bCs/>
      <w:sz w:val="26"/>
      <w:szCs w:val="26"/>
    </w:rPr>
  </w:style>
  <w:style w:type="character" w:customStyle="1" w:styleId="Ttulo4Char">
    <w:name w:val="Título 4 Char"/>
    <w:link w:val="Ttulo4"/>
    <w:uiPriority w:val="9"/>
    <w:rsid w:val="003C1A7A"/>
    <w:rPr>
      <w:rFonts w:ascii="Calibri" w:eastAsia="Times New Roman" w:hAnsi="Calibri" w:cs="Times New Roman"/>
      <w:b/>
      <w:bCs/>
      <w:sz w:val="28"/>
      <w:szCs w:val="28"/>
    </w:rPr>
  </w:style>
  <w:style w:type="paragraph" w:styleId="Recuodecorpodetexto2">
    <w:name w:val="Body Text Indent 2"/>
    <w:basedOn w:val="Normal"/>
    <w:link w:val="Recuodecorpodetexto2Char"/>
    <w:uiPriority w:val="99"/>
    <w:semiHidden/>
    <w:unhideWhenUsed/>
    <w:rsid w:val="00F035BD"/>
    <w:pPr>
      <w:spacing w:after="120" w:line="480" w:lineRule="auto"/>
      <w:ind w:left="283"/>
    </w:pPr>
  </w:style>
  <w:style w:type="character" w:customStyle="1" w:styleId="Recuodecorpodetexto2Char">
    <w:name w:val="Recuo de corpo de texto 2 Char"/>
    <w:link w:val="Recuodecorpodetexto2"/>
    <w:uiPriority w:val="99"/>
    <w:semiHidden/>
    <w:rsid w:val="00F035BD"/>
    <w:rPr>
      <w:rFonts w:ascii="Times New Roman" w:eastAsia="Times New Roman" w:hAnsi="Times New Roman"/>
    </w:rPr>
  </w:style>
  <w:style w:type="paragraph" w:styleId="Textodebalo">
    <w:name w:val="Balloon Text"/>
    <w:basedOn w:val="Normal"/>
    <w:link w:val="TextodebaloChar"/>
    <w:uiPriority w:val="99"/>
    <w:semiHidden/>
    <w:unhideWhenUsed/>
    <w:rsid w:val="007128A4"/>
    <w:rPr>
      <w:rFonts w:ascii="Tahoma" w:hAnsi="Tahoma" w:cs="Tahoma"/>
      <w:sz w:val="16"/>
      <w:szCs w:val="16"/>
    </w:rPr>
  </w:style>
  <w:style w:type="character" w:customStyle="1" w:styleId="TextodebaloChar">
    <w:name w:val="Texto de balão Char"/>
    <w:link w:val="Textodebalo"/>
    <w:uiPriority w:val="99"/>
    <w:semiHidden/>
    <w:rsid w:val="007128A4"/>
    <w:rPr>
      <w:rFonts w:ascii="Tahoma" w:eastAsia="Times New Roman" w:hAnsi="Tahoma" w:cs="Tahoma"/>
      <w:sz w:val="16"/>
      <w:szCs w:val="16"/>
    </w:rPr>
  </w:style>
  <w:style w:type="paragraph" w:styleId="Textodenotaderodap">
    <w:name w:val="footnote text"/>
    <w:basedOn w:val="Normal"/>
    <w:link w:val="TextodenotaderodapChar"/>
    <w:unhideWhenUsed/>
    <w:rsid w:val="00E45457"/>
  </w:style>
  <w:style w:type="character" w:customStyle="1" w:styleId="TextodenotaderodapChar">
    <w:name w:val="Texto de nota de rodapé Char"/>
    <w:link w:val="Textodenotaderodap"/>
    <w:rsid w:val="00E45457"/>
    <w:rPr>
      <w:rFonts w:ascii="Times New Roman" w:eastAsia="Times New Roman" w:hAnsi="Times New Roman"/>
    </w:rPr>
  </w:style>
  <w:style w:type="character" w:styleId="Refdenotaderodap">
    <w:name w:val="footnote reference"/>
    <w:uiPriority w:val="99"/>
    <w:semiHidden/>
    <w:unhideWhenUsed/>
    <w:rsid w:val="00E45457"/>
    <w:rPr>
      <w:vertAlign w:val="superscript"/>
    </w:rPr>
  </w:style>
  <w:style w:type="character" w:styleId="Hyperlink">
    <w:name w:val="Hyperlink"/>
    <w:uiPriority w:val="99"/>
    <w:rsid w:val="00313745"/>
    <w:rPr>
      <w:color w:val="0000FF"/>
      <w:u w:val="single"/>
    </w:rPr>
  </w:style>
  <w:style w:type="paragraph" w:styleId="NormalWeb">
    <w:name w:val="Normal (Web)"/>
    <w:basedOn w:val="Normal"/>
    <w:uiPriority w:val="99"/>
    <w:rsid w:val="00313745"/>
    <w:pPr>
      <w:autoSpaceDE/>
      <w:autoSpaceDN/>
      <w:spacing w:before="100" w:beforeAutospacing="1" w:after="100" w:afterAutospacing="1"/>
    </w:pPr>
    <w:rPr>
      <w:sz w:val="24"/>
      <w:szCs w:val="24"/>
    </w:rPr>
  </w:style>
  <w:style w:type="character" w:styleId="Forte">
    <w:name w:val="Strong"/>
    <w:uiPriority w:val="22"/>
    <w:qFormat/>
    <w:rsid w:val="001A1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256">
      <w:bodyDiv w:val="1"/>
      <w:marLeft w:val="0"/>
      <w:marRight w:val="0"/>
      <w:marTop w:val="0"/>
      <w:marBottom w:val="0"/>
      <w:divBdr>
        <w:top w:val="none" w:sz="0" w:space="0" w:color="auto"/>
        <w:left w:val="none" w:sz="0" w:space="0" w:color="auto"/>
        <w:bottom w:val="none" w:sz="0" w:space="0" w:color="auto"/>
        <w:right w:val="none" w:sz="0" w:space="0" w:color="auto"/>
      </w:divBdr>
    </w:div>
    <w:div w:id="313150035">
      <w:bodyDiv w:val="1"/>
      <w:marLeft w:val="0"/>
      <w:marRight w:val="0"/>
      <w:marTop w:val="0"/>
      <w:marBottom w:val="0"/>
      <w:divBdr>
        <w:top w:val="none" w:sz="0" w:space="0" w:color="auto"/>
        <w:left w:val="none" w:sz="0" w:space="0" w:color="auto"/>
        <w:bottom w:val="none" w:sz="0" w:space="0" w:color="auto"/>
        <w:right w:val="none" w:sz="0" w:space="0" w:color="auto"/>
      </w:divBdr>
    </w:div>
    <w:div w:id="1399594635">
      <w:bodyDiv w:val="1"/>
      <w:marLeft w:val="0"/>
      <w:marRight w:val="0"/>
      <w:marTop w:val="0"/>
      <w:marBottom w:val="0"/>
      <w:divBdr>
        <w:top w:val="none" w:sz="0" w:space="0" w:color="auto"/>
        <w:left w:val="none" w:sz="0" w:space="0" w:color="auto"/>
        <w:bottom w:val="none" w:sz="0" w:space="0" w:color="auto"/>
        <w:right w:val="none" w:sz="0" w:space="0" w:color="auto"/>
      </w:divBdr>
    </w:div>
    <w:div w:id="1916431737">
      <w:bodyDiv w:val="1"/>
      <w:marLeft w:val="0"/>
      <w:marRight w:val="0"/>
      <w:marTop w:val="0"/>
      <w:marBottom w:val="0"/>
      <w:divBdr>
        <w:top w:val="none" w:sz="0" w:space="0" w:color="auto"/>
        <w:left w:val="none" w:sz="0" w:space="0" w:color="auto"/>
        <w:bottom w:val="none" w:sz="0" w:space="0" w:color="auto"/>
        <w:right w:val="none" w:sz="0" w:space="0" w:color="auto"/>
      </w:divBdr>
    </w:div>
    <w:div w:id="21204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50-de-19-de-fevereiro-de-2015/268039/area/249" TargetMode="External"/><Relationship Id="rId2" Type="http://schemas.openxmlformats.org/officeDocument/2006/relationships/hyperlink" Target="https://www1.tce.pr.gov.br/conteudo/resolucao-n-1-de-24-de-janeiro-de-2006-regimento-interno/1403/area/10" TargetMode="External"/><Relationship Id="rId1" Type="http://schemas.openxmlformats.org/officeDocument/2006/relationships/hyperlink" Target="http://www1.tce.pr.gov.br/multimidia/2016/5/pdf/0029256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D443-EAEE-4F22-AF31-67185E84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722</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Yarusya Fonseca</cp:lastModifiedBy>
  <cp:revision>9</cp:revision>
  <cp:lastPrinted>2015-02-24T13:39:00Z</cp:lastPrinted>
  <dcterms:created xsi:type="dcterms:W3CDTF">2022-07-05T21:21:00Z</dcterms:created>
  <dcterms:modified xsi:type="dcterms:W3CDTF">2022-07-15T17:34:00Z</dcterms:modified>
</cp:coreProperties>
</file>