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7B93" w14:textId="371B3019" w:rsidR="0034177B" w:rsidRDefault="0034177B" w:rsidP="00792273">
      <w:pPr>
        <w:pStyle w:val="Texto"/>
        <w:spacing w:before="240" w:after="120"/>
        <w:ind w:firstLine="142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RESOLUÇÃO Nº 29/2011</w:t>
      </w:r>
      <w:r w:rsidR="00D06CCF">
        <w:rPr>
          <w:rStyle w:val="Refdenotaderodap"/>
          <w:rFonts w:cs="Arial"/>
          <w:b/>
          <w:bCs/>
          <w:sz w:val="24"/>
        </w:rPr>
        <w:footnoteReference w:id="1"/>
      </w:r>
    </w:p>
    <w:p w14:paraId="5F51C133" w14:textId="77777777" w:rsidR="0034177B" w:rsidRPr="00C65DBE" w:rsidRDefault="0034177B" w:rsidP="00C65DBE">
      <w:pPr>
        <w:pStyle w:val="Ementa"/>
        <w:spacing w:before="360" w:after="360"/>
        <w:ind w:left="3538"/>
        <w:rPr>
          <w:rFonts w:ascii="Arial" w:hAnsi="Arial" w:cs="Arial"/>
          <w:i/>
          <w:sz w:val="22"/>
          <w:szCs w:val="22"/>
        </w:rPr>
      </w:pPr>
      <w:r w:rsidRPr="00C65DBE">
        <w:rPr>
          <w:rFonts w:ascii="Arial" w:hAnsi="Arial" w:cs="Arial"/>
          <w:i/>
          <w:sz w:val="22"/>
          <w:szCs w:val="22"/>
        </w:rPr>
        <w:t>Dispõe sobre a instituição e estruturação da Secretaria do Tribunal Pleno, a extinção do setor de taquigrafia, e dá outras providências.</w:t>
      </w:r>
    </w:p>
    <w:p w14:paraId="32DC1E0C" w14:textId="77777777" w:rsidR="0034177B" w:rsidRDefault="0034177B" w:rsidP="0034177B">
      <w:pPr>
        <w:pStyle w:val="Texto"/>
        <w:ind w:firstLine="1134"/>
        <w:rPr>
          <w:sz w:val="24"/>
        </w:rPr>
      </w:pPr>
      <w:r w:rsidRPr="00C65DBE">
        <w:rPr>
          <w:bCs/>
          <w:sz w:val="24"/>
        </w:rPr>
        <w:t>O</w:t>
      </w:r>
      <w:r>
        <w:rPr>
          <w:b/>
          <w:sz w:val="24"/>
        </w:rPr>
        <w:t xml:space="preserve"> TRIBUNAL DE CONTAS DO ESTADO DO PARANÁ</w:t>
      </w:r>
      <w:r>
        <w:rPr>
          <w:sz w:val="24"/>
        </w:rPr>
        <w:t xml:space="preserve">, no uso das atribuições institucionais estabelecidas na Constituição do Estado, e com base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2º, I, e 116, XII, e parágrafo único, da Lei Complementar nº 113, de 15 de dezembro de 2005, c/c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187, I, 188 a 192, do Regimento Interno,</w:t>
      </w:r>
    </w:p>
    <w:p w14:paraId="417985AE" w14:textId="77777777" w:rsidR="0034177B" w:rsidRDefault="0034177B" w:rsidP="0034177B">
      <w:pPr>
        <w:pStyle w:val="Texto"/>
        <w:ind w:firstLine="1134"/>
        <w:rPr>
          <w:sz w:val="24"/>
        </w:rPr>
      </w:pPr>
    </w:p>
    <w:p w14:paraId="6E0A3D73" w14:textId="77777777" w:rsidR="0034177B" w:rsidRDefault="0034177B" w:rsidP="0034177B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RESOLVE:</w:t>
      </w:r>
    </w:p>
    <w:p w14:paraId="19E44B6F" w14:textId="77777777" w:rsidR="0034177B" w:rsidRDefault="0034177B" w:rsidP="0034177B">
      <w:pPr>
        <w:pStyle w:val="Texto"/>
        <w:ind w:firstLine="1134"/>
        <w:rPr>
          <w:b/>
          <w:bCs/>
          <w:sz w:val="24"/>
        </w:rPr>
      </w:pPr>
    </w:p>
    <w:p w14:paraId="662E8F1A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Art. 1º </w:t>
      </w:r>
      <w:r>
        <w:rPr>
          <w:rFonts w:cs="Arial"/>
          <w:sz w:val="24"/>
          <w:szCs w:val="24"/>
        </w:rPr>
        <w:t>Fica instituída na estrutura organizacional do Tribunal de Contas do Estado do Paraná a Secretaria do Tribunal Pleno.</w:t>
      </w:r>
    </w:p>
    <w:p w14:paraId="2334D7FA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2°</w:t>
      </w:r>
      <w:r>
        <w:rPr>
          <w:rFonts w:cs="Arial"/>
          <w:sz w:val="24"/>
          <w:szCs w:val="24"/>
        </w:rPr>
        <w:t xml:space="preserve"> O art. 147, do Regimento Interno, passa a vigorar acrescido do inciso XXIX, que terá a seguinte redação: </w:t>
      </w:r>
    </w:p>
    <w:p w14:paraId="3D4E4B24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“Art. 147. [...]</w:t>
      </w:r>
    </w:p>
    <w:p w14:paraId="7FA57C31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[...]</w:t>
      </w:r>
    </w:p>
    <w:p w14:paraId="0A9A5505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XXIX – Secretaria do Tribunal Pleno – STP.”</w:t>
      </w:r>
    </w:p>
    <w:p w14:paraId="5DBC65F9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3°</w:t>
      </w:r>
      <w:r>
        <w:rPr>
          <w:rFonts w:cs="Arial"/>
          <w:sz w:val="24"/>
          <w:szCs w:val="24"/>
        </w:rPr>
        <w:t xml:space="preserve"> A Secretaria do Tribunal Pleno funcionará com sistema de trâmite processual e pessoal próprios, lotado na Unidade.</w:t>
      </w:r>
    </w:p>
    <w:p w14:paraId="1FA0F466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4°</w:t>
      </w:r>
      <w:r>
        <w:rPr>
          <w:rFonts w:cs="Arial"/>
          <w:sz w:val="24"/>
          <w:szCs w:val="24"/>
        </w:rPr>
        <w:t xml:space="preserve"> O art. 4º, do Regimento Interno</w:t>
      </w:r>
      <w:r>
        <w:rPr>
          <w:rFonts w:cs="Arial"/>
          <w:color w:val="FF0000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passa a vigorar acrescido dos parágrafos 1° e 2°, que terão a seguinte redação: </w:t>
      </w:r>
    </w:p>
    <w:p w14:paraId="7CCCB8F4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“Art. 4º [...] </w:t>
      </w:r>
    </w:p>
    <w:p w14:paraId="54E068EB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Parágrafo único.  A Secretaria do Tribunal Pleno poderá ter um Secretário, designado pelo Diretor-Geral, a quem competirá preparar a pauta das sessões, elaborando as atas, dentre outras atribuições previstas neste Regimento Interno.</w:t>
      </w:r>
    </w:p>
    <w:p w14:paraId="4025D803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5°</w:t>
      </w:r>
      <w:r>
        <w:rPr>
          <w:rFonts w:cs="Arial"/>
          <w:sz w:val="24"/>
          <w:szCs w:val="24"/>
        </w:rPr>
        <w:t xml:space="preserve"> Ao Secretário do Tribunal Pleno, seja o Diretor-Geral ou delegado, serão aplicadas as mesmas competências e atribuições dispostas no art. 12, do Regimento Interno.</w:t>
      </w:r>
    </w:p>
    <w:p w14:paraId="06DCC05D" w14:textId="77777777" w:rsidR="0034177B" w:rsidRDefault="0034177B" w:rsidP="0034177B">
      <w:pPr>
        <w:spacing w:before="120"/>
        <w:ind w:firstLine="1134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Art. 6º</w:t>
      </w:r>
      <w:r>
        <w:rPr>
          <w:rFonts w:cs="Arial"/>
          <w:color w:val="000000"/>
          <w:sz w:val="24"/>
          <w:szCs w:val="24"/>
        </w:rPr>
        <w:t xml:space="preserve"> O parágrafo único do art. 12, do Regimento Interno</w:t>
      </w:r>
      <w:r>
        <w:rPr>
          <w:rFonts w:cs="Arial"/>
          <w:color w:val="FF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será transformado em § 1º e será acrescido o § 2º:</w:t>
      </w:r>
    </w:p>
    <w:p w14:paraId="5DCC5805" w14:textId="77777777" w:rsidR="0034177B" w:rsidRDefault="0034177B" w:rsidP="0034177B">
      <w:pPr>
        <w:spacing w:before="120"/>
        <w:ind w:firstLine="1134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“Art. 12. [...]</w:t>
      </w:r>
    </w:p>
    <w:p w14:paraId="0359A66A" w14:textId="77777777" w:rsidR="0034177B" w:rsidRDefault="0034177B" w:rsidP="0034177B">
      <w:pPr>
        <w:spacing w:before="120"/>
        <w:ind w:firstLine="1134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[...]</w:t>
      </w:r>
    </w:p>
    <w:p w14:paraId="2151E7E2" w14:textId="77777777" w:rsidR="0034177B" w:rsidRDefault="0034177B" w:rsidP="0034177B">
      <w:pPr>
        <w:spacing w:before="120"/>
        <w:ind w:firstLine="1134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§ 1º As Secretarias do Tribunal Pleno e das Câmaras poderão emitir os respectivos acórdãos, conforme definido em Instrução de Serviço, da Diretoria Geral.</w:t>
      </w:r>
    </w:p>
    <w:p w14:paraId="5E39857E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§ 2º Os termos de posse de que tratam os </w:t>
      </w:r>
      <w:proofErr w:type="spellStart"/>
      <w:r>
        <w:rPr>
          <w:rFonts w:cs="Arial"/>
          <w:sz w:val="24"/>
          <w:szCs w:val="24"/>
        </w:rPr>
        <w:t>arts</w:t>
      </w:r>
      <w:proofErr w:type="spellEnd"/>
      <w:r>
        <w:rPr>
          <w:rFonts w:cs="Arial"/>
          <w:sz w:val="24"/>
          <w:szCs w:val="24"/>
        </w:rPr>
        <w:t>. 29, § 2º, 48, § 1º, 69, § 1º e 74, parágrafo único, serão lavrados pelo Diretor Geral e, na hipótese em que houver delegação de função, serão lidos pelo Secretário do Tribunal Pleno, durante a realização da sessão de posse por este órgão colegiado.”</w:t>
      </w:r>
    </w:p>
    <w:p w14:paraId="5FC31C0C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7°.</w:t>
      </w:r>
      <w:r>
        <w:rPr>
          <w:rFonts w:cs="Arial"/>
          <w:sz w:val="24"/>
          <w:szCs w:val="24"/>
        </w:rPr>
        <w:t xml:space="preserve"> Fica acrescentado o art. 12-A, que terá a seguinte redação:</w:t>
      </w:r>
    </w:p>
    <w:p w14:paraId="5B17DA11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“Art. 12-A. Como medida assecuratória de proteção, os vídeos e áudios das sessões das Câmaras e do Tribunal Pleno serão certificados pelos respectivos Secretários ao final de cada sessão em substituição às notas taquigráficas.</w:t>
      </w:r>
    </w:p>
    <w:p w14:paraId="3D15929F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Parágrafo único. A certificação de que trata o </w:t>
      </w:r>
      <w:r>
        <w:rPr>
          <w:rFonts w:cs="Arial"/>
          <w:i/>
          <w:sz w:val="24"/>
          <w:szCs w:val="24"/>
        </w:rPr>
        <w:t>caput</w:t>
      </w:r>
      <w:r>
        <w:rPr>
          <w:rFonts w:cs="Arial"/>
          <w:sz w:val="24"/>
          <w:szCs w:val="24"/>
        </w:rPr>
        <w:t xml:space="preserve"> poderá ser delegada pelo Secretário por meio de ato próprio de delegação de competência, publicado nos Atos Oficiais do Tribunal de Contas.”</w:t>
      </w:r>
    </w:p>
    <w:p w14:paraId="7FA6AC6F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Art. 8° </w:t>
      </w:r>
      <w:r>
        <w:rPr>
          <w:rFonts w:cs="Arial"/>
          <w:sz w:val="24"/>
          <w:szCs w:val="24"/>
        </w:rPr>
        <w:t>O inciso XXXII, do art. 16, Do Regimento Interno, passará a vigorar com a seguinte redação:</w:t>
      </w:r>
    </w:p>
    <w:p w14:paraId="383213E3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“Art. 16. [...]:</w:t>
      </w:r>
    </w:p>
    <w:p w14:paraId="7431C527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[...]</w:t>
      </w:r>
    </w:p>
    <w:p w14:paraId="34655344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XXXII – designar substituto para secretarias às sessões do Tribunal Pleno, nas faltas ou impedimentos do Diretor Geral ou do Secretário do Pleno, quando a função houver sido delegada.</w:t>
      </w:r>
    </w:p>
    <w:p w14:paraId="2E383956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[...]”</w:t>
      </w:r>
    </w:p>
    <w:p w14:paraId="3DFC65B8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9º</w:t>
      </w:r>
      <w:r>
        <w:rPr>
          <w:rFonts w:cs="Arial"/>
          <w:sz w:val="24"/>
          <w:szCs w:val="24"/>
        </w:rPr>
        <w:t xml:space="preserve"> O §1°, do art. 150, do Regimento Interno, passará a vigorar com a seguinte redação:</w:t>
      </w:r>
    </w:p>
    <w:p w14:paraId="16D716A4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“Art. 150. [...]:</w:t>
      </w:r>
    </w:p>
    <w:p w14:paraId="548C6067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[...]</w:t>
      </w:r>
    </w:p>
    <w:p w14:paraId="285B2C8E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§1° Cabe ao Diretor Geral, pessoalmente ou por delegação, nos termos do art. 4°, parágrafo único, secretariar as sessões do Tribunal Pleno, nos termos do art. 12.</w:t>
      </w:r>
    </w:p>
    <w:p w14:paraId="4CC914F5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[...]”</w:t>
      </w:r>
    </w:p>
    <w:p w14:paraId="5935DEE2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10.</w:t>
      </w:r>
      <w:r>
        <w:rPr>
          <w:rFonts w:cs="Arial"/>
          <w:sz w:val="24"/>
          <w:szCs w:val="24"/>
        </w:rPr>
        <w:t xml:space="preserve"> Fica revogado o § 2º, do art. 150, do Regimento Interno.</w:t>
      </w:r>
    </w:p>
    <w:p w14:paraId="02B462D1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Art. 11. </w:t>
      </w:r>
      <w:r>
        <w:rPr>
          <w:rFonts w:cs="Arial"/>
          <w:bCs/>
          <w:sz w:val="24"/>
          <w:szCs w:val="24"/>
        </w:rPr>
        <w:t xml:space="preserve">O § </w:t>
      </w:r>
      <w:r>
        <w:rPr>
          <w:rFonts w:cs="Arial"/>
          <w:sz w:val="24"/>
          <w:szCs w:val="24"/>
        </w:rPr>
        <w:t>2°, do art. 213, do Regimento Interno, passa a vigorar com a seguinte redação:</w:t>
      </w:r>
    </w:p>
    <w:p w14:paraId="5D3F8FD1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“Art. 213. [...]</w:t>
      </w:r>
    </w:p>
    <w:p w14:paraId="6A7D1EFD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[...]</w:t>
      </w:r>
    </w:p>
    <w:p w14:paraId="5D1ACD7D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§ 2° É assegurado aos Conselheiros e ao Procurador-Geral do Ministério Público junto ao Tribunal o direito de vista do processo, pelo prazo de até 24 (vinte e quatro) horas, que será concedido em comum quando </w:t>
      </w:r>
      <w:r>
        <w:rPr>
          <w:rFonts w:cs="Arial"/>
          <w:sz w:val="24"/>
          <w:szCs w:val="24"/>
        </w:rPr>
        <w:lastRenderedPageBreak/>
        <w:t>solicitado por mais de um Conselheiro, permanecendo o processo na Secretaria do Tribunal Pleno.”</w:t>
      </w:r>
    </w:p>
    <w:p w14:paraId="684A1EBB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12.</w:t>
      </w:r>
      <w:r>
        <w:rPr>
          <w:rFonts w:cs="Arial"/>
          <w:sz w:val="24"/>
          <w:szCs w:val="24"/>
        </w:rPr>
        <w:t xml:space="preserve"> O art. 166, do Regimento Interno, passa a vigorar acrescido do inciso XXVI, que terá a seguinte redação: </w:t>
      </w:r>
    </w:p>
    <w:p w14:paraId="7E89E277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“Art. 166. [...]:</w:t>
      </w:r>
    </w:p>
    <w:p w14:paraId="0AC1FD13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[...]</w:t>
      </w:r>
    </w:p>
    <w:p w14:paraId="4F166F88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XXVI – </w:t>
      </w:r>
      <w:proofErr w:type="spellStart"/>
      <w:r>
        <w:rPr>
          <w:rFonts w:cs="Arial"/>
          <w:sz w:val="24"/>
          <w:szCs w:val="24"/>
        </w:rPr>
        <w:t>degravar</w:t>
      </w:r>
      <w:proofErr w:type="spellEnd"/>
      <w:r>
        <w:rPr>
          <w:rFonts w:cs="Arial"/>
          <w:sz w:val="24"/>
          <w:szCs w:val="24"/>
        </w:rPr>
        <w:t xml:space="preserve"> trechos da sessão dos Órgãos Colegiados quando provocados por requerimento.”</w:t>
      </w:r>
    </w:p>
    <w:p w14:paraId="2AC1A600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Art. 13.</w:t>
      </w:r>
      <w:r>
        <w:rPr>
          <w:rFonts w:cs="Arial"/>
          <w:sz w:val="24"/>
          <w:szCs w:val="24"/>
        </w:rPr>
        <w:t xml:space="preserve"> Fica acrescentado o art. 166-A, que terá a seguinte redação:</w:t>
      </w:r>
    </w:p>
    <w:p w14:paraId="620A0F8F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“Art. 166-A. Fica extinto o setor de taquigrafia, ficando seus servidores lotados na Coordenadoria de Jurisprudência e Biblioteca.</w:t>
      </w:r>
    </w:p>
    <w:p w14:paraId="3703DEAE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§ 1° As sessões das Câmaras e do Tribunal Pleno não serão mais acompanhadas pelos taquígrafos, bem como não haverá mais transcrição das sessões, salvo no caso de pedido para degravação de algum trecho da sessão, o qual deverá ser formulado, por escrito, e endereçado à Secretaria do Tribunal Pleno, independente do Colegiado que tenha proferido o julgamento do processo.</w:t>
      </w:r>
    </w:p>
    <w:p w14:paraId="2A828B1C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§ 2° O pedido será avaliado e encaminhado à Coordenadoria de Jurisprudência e Biblioteca, a quem incumbirá a transcrição da discussão do processo requerido.”</w:t>
      </w:r>
    </w:p>
    <w:p w14:paraId="6D1F791A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Art. 14. </w:t>
      </w:r>
      <w:r>
        <w:rPr>
          <w:rFonts w:cs="Arial"/>
          <w:bCs/>
          <w:sz w:val="24"/>
          <w:szCs w:val="24"/>
        </w:rPr>
        <w:t xml:space="preserve">O </w:t>
      </w:r>
      <w:r>
        <w:rPr>
          <w:rFonts w:cs="Arial"/>
          <w:bCs/>
          <w:i/>
          <w:sz w:val="24"/>
          <w:szCs w:val="24"/>
        </w:rPr>
        <w:t>caput</w:t>
      </w:r>
      <w:r>
        <w:rPr>
          <w:rFonts w:cs="Arial"/>
          <w:bCs/>
          <w:sz w:val="24"/>
          <w:szCs w:val="24"/>
        </w:rPr>
        <w:t xml:space="preserve"> do art. 468</w:t>
      </w:r>
      <w:r>
        <w:rPr>
          <w:rFonts w:cs="Arial"/>
          <w:sz w:val="24"/>
          <w:szCs w:val="24"/>
        </w:rPr>
        <w:t>, do Regimento Interno, passa a vigorar com a seguinte redação:</w:t>
      </w:r>
    </w:p>
    <w:p w14:paraId="6B75C2AB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“Art. 468 Excetuado o julgamento do Recurso de Agravo e dos Embargos de Declaração, será permitido à parte, mediante requerimento dirigido ao Presidente do órgão colegiado próprio, pessoalmente ou por procurador devidamente constituído, fazer sustentação oral, por até 15 (quinze) minutos, após a apresentação, ainda que resumida, do relatório e antes do voto do Relator, desde que inscrito seu nome, até o início da sessão, na Secretaria do Tribunal Pleno ou nas Secretarias das Câmaras, conforme a competência para julgamento do processo.”</w:t>
      </w:r>
    </w:p>
    <w:p w14:paraId="1FBA0D70" w14:textId="77777777" w:rsidR="0034177B" w:rsidRDefault="0034177B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Art. 15. </w:t>
      </w:r>
      <w:r>
        <w:rPr>
          <w:rFonts w:cs="Arial"/>
          <w:sz w:val="24"/>
          <w:szCs w:val="24"/>
        </w:rPr>
        <w:t>Esta Resolução entra em vigor na data de sua publicação nos Atos Oficiais do Tribunal de Contas do Estado do Paraná.</w:t>
      </w:r>
    </w:p>
    <w:p w14:paraId="17F09B24" w14:textId="77777777" w:rsidR="00F31181" w:rsidRDefault="00F31181" w:rsidP="0034177B">
      <w:pPr>
        <w:spacing w:before="120"/>
        <w:ind w:firstLine="1134"/>
        <w:jc w:val="both"/>
        <w:rPr>
          <w:rFonts w:cs="Arial"/>
          <w:sz w:val="24"/>
          <w:szCs w:val="24"/>
        </w:rPr>
      </w:pPr>
    </w:p>
    <w:p w14:paraId="500339B8" w14:textId="77777777" w:rsidR="0034177B" w:rsidRDefault="0034177B" w:rsidP="0034177B">
      <w:pPr>
        <w:pStyle w:val="Recuodecorpodetexto3"/>
        <w:spacing w:before="120"/>
        <w:ind w:firstLine="1134"/>
        <w:rPr>
          <w:rFonts w:cs="Arial"/>
          <w:sz w:val="24"/>
          <w:szCs w:val="24"/>
        </w:rPr>
      </w:pPr>
    </w:p>
    <w:p w14:paraId="26CA1E3D" w14:textId="77777777" w:rsidR="0034177B" w:rsidRDefault="0034177B" w:rsidP="0034177B">
      <w:pPr>
        <w:pStyle w:val="Recuodecorpodetexto3"/>
        <w:spacing w:before="120"/>
        <w:ind w:left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Sala das Sessões, 17 de novembro de 2011.</w:t>
      </w:r>
    </w:p>
    <w:p w14:paraId="027530F3" w14:textId="77777777" w:rsidR="008358CE" w:rsidRDefault="008358CE" w:rsidP="0034177B">
      <w:pPr>
        <w:pStyle w:val="Recuodecorpodetexto3"/>
        <w:spacing w:before="120"/>
        <w:ind w:left="0"/>
        <w:jc w:val="center"/>
        <w:rPr>
          <w:rFonts w:cs="Arial"/>
          <w:sz w:val="24"/>
          <w:szCs w:val="24"/>
        </w:rPr>
      </w:pPr>
    </w:p>
    <w:p w14:paraId="41512B4E" w14:textId="77777777" w:rsidR="0034177B" w:rsidRPr="005119C7" w:rsidRDefault="0034177B" w:rsidP="008358CE">
      <w:pPr>
        <w:pStyle w:val="Recuodecorpodetexto3"/>
        <w:spacing w:before="600" w:after="0"/>
        <w:ind w:left="0"/>
        <w:jc w:val="center"/>
        <w:rPr>
          <w:rFonts w:cs="Arial"/>
          <w:b/>
          <w:sz w:val="24"/>
          <w:szCs w:val="24"/>
        </w:rPr>
      </w:pPr>
      <w:r w:rsidRPr="005119C7">
        <w:rPr>
          <w:rFonts w:cs="Arial"/>
          <w:b/>
          <w:sz w:val="24"/>
          <w:szCs w:val="24"/>
        </w:rPr>
        <w:t>FERNANDO AUGUSTO MELLO GUIMARÃES</w:t>
      </w:r>
    </w:p>
    <w:p w14:paraId="071EFB3C" w14:textId="3BBB47E1" w:rsidR="0034177B" w:rsidRDefault="0034177B" w:rsidP="008358CE">
      <w:pPr>
        <w:pStyle w:val="Recuodecorpodetexto3"/>
        <w:spacing w:after="0"/>
        <w:ind w:left="0"/>
        <w:jc w:val="center"/>
        <w:rPr>
          <w:rFonts w:cs="Arial"/>
          <w:sz w:val="24"/>
          <w:szCs w:val="24"/>
        </w:rPr>
      </w:pPr>
      <w:r w:rsidRPr="00F77357">
        <w:rPr>
          <w:rFonts w:cs="Arial"/>
          <w:bCs/>
          <w:sz w:val="24"/>
          <w:szCs w:val="24"/>
        </w:rPr>
        <w:t>Presidente</w:t>
      </w:r>
    </w:p>
    <w:sectPr w:rsidR="0034177B" w:rsidSect="00792273">
      <w:headerReference w:type="default" r:id="rId7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8289" w14:textId="77777777" w:rsidR="008900E8" w:rsidRDefault="008900E8" w:rsidP="0034177B">
      <w:r>
        <w:separator/>
      </w:r>
    </w:p>
  </w:endnote>
  <w:endnote w:type="continuationSeparator" w:id="0">
    <w:p w14:paraId="03F954B1" w14:textId="77777777" w:rsidR="008900E8" w:rsidRDefault="008900E8" w:rsidP="0034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61A5" w14:textId="77777777" w:rsidR="008900E8" w:rsidRDefault="008900E8" w:rsidP="0034177B">
      <w:r>
        <w:separator/>
      </w:r>
    </w:p>
  </w:footnote>
  <w:footnote w:type="continuationSeparator" w:id="0">
    <w:p w14:paraId="7F712F1B" w14:textId="77777777" w:rsidR="008900E8" w:rsidRDefault="008900E8" w:rsidP="0034177B">
      <w:r>
        <w:continuationSeparator/>
      </w:r>
    </w:p>
  </w:footnote>
  <w:footnote w:id="1">
    <w:p w14:paraId="7053AA2E" w14:textId="77777777" w:rsidR="00D06CCF" w:rsidRPr="00302972" w:rsidRDefault="00D06CCF" w:rsidP="00D06CCF">
      <w:pPr>
        <w:pStyle w:val="Textodenotaderodap"/>
        <w:jc w:val="both"/>
        <w:rPr>
          <w:rFonts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302972">
        <w:rPr>
          <w:rFonts w:cs="Arial"/>
          <w:b/>
          <w:sz w:val="18"/>
          <w:szCs w:val="18"/>
        </w:rPr>
        <w:t>Notas da Biblioteca:</w:t>
      </w:r>
    </w:p>
    <w:p w14:paraId="54B4929B" w14:textId="0A36B77D" w:rsidR="00D06CCF" w:rsidRPr="00302972" w:rsidRDefault="00D06CCF" w:rsidP="00D06CCF">
      <w:pPr>
        <w:pStyle w:val="Textodenotaderodap"/>
        <w:numPr>
          <w:ilvl w:val="0"/>
          <w:numId w:val="1"/>
        </w:numPr>
        <w:overflowPunct/>
        <w:autoSpaceDE/>
        <w:autoSpaceDN/>
        <w:adjustRightInd/>
        <w:ind w:left="452" w:hanging="310"/>
        <w:jc w:val="both"/>
        <w:rPr>
          <w:rFonts w:cs="Arial"/>
          <w:sz w:val="18"/>
          <w:szCs w:val="18"/>
        </w:rPr>
      </w:pPr>
      <w:r w:rsidRPr="00302972">
        <w:rPr>
          <w:rFonts w:cs="Arial"/>
          <w:sz w:val="18"/>
          <w:szCs w:val="18"/>
        </w:rPr>
        <w:t xml:space="preserve">Este texto não substitui o publicado no periódico: </w:t>
      </w:r>
      <w:hyperlink r:id="rId1" w:history="1">
        <w:r w:rsidR="002D78A6" w:rsidRPr="00F77357">
          <w:rPr>
            <w:rStyle w:val="Hyperlink"/>
            <w:rFonts w:cs="Arial"/>
            <w:b/>
            <w:bCs/>
            <w:sz w:val="18"/>
            <w:szCs w:val="18"/>
          </w:rPr>
          <w:t>Atos Oficiais do Tribunal de Contas do Estado do Paraná</w:t>
        </w:r>
        <w:r w:rsidR="002D78A6" w:rsidRPr="00F77357">
          <w:rPr>
            <w:rStyle w:val="Hyperlink"/>
            <w:rFonts w:cs="Arial"/>
            <w:bCs/>
            <w:sz w:val="18"/>
            <w:szCs w:val="18"/>
          </w:rPr>
          <w:t>,</w:t>
        </w:r>
        <w:r w:rsidR="002D78A6" w:rsidRPr="00F77357">
          <w:rPr>
            <w:rStyle w:val="Hyperlink"/>
            <w:rFonts w:cs="Arial"/>
            <w:sz w:val="18"/>
            <w:szCs w:val="18"/>
          </w:rPr>
          <w:t xml:space="preserve"> Curitiba, PR, n. 329, 9 dez. 2011, p. 184</w:t>
        </w:r>
      </w:hyperlink>
      <w:r w:rsidR="002D78A6" w:rsidRPr="002E57B2">
        <w:rPr>
          <w:rFonts w:cs="Arial"/>
          <w:sz w:val="18"/>
          <w:szCs w:val="18"/>
        </w:rPr>
        <w:t>.</w:t>
      </w:r>
    </w:p>
    <w:p w14:paraId="2910F7EA" w14:textId="6A51BD8B" w:rsidR="00D06CCF" w:rsidRPr="002F213F" w:rsidRDefault="00D06CCF" w:rsidP="008358CE">
      <w:pPr>
        <w:pStyle w:val="Textodenotaderodap"/>
        <w:numPr>
          <w:ilvl w:val="0"/>
          <w:numId w:val="1"/>
        </w:numPr>
        <w:overflowPunct/>
        <w:autoSpaceDE/>
        <w:autoSpaceDN/>
        <w:adjustRightInd/>
        <w:ind w:left="426" w:hanging="284"/>
        <w:jc w:val="both"/>
        <w:rPr>
          <w:rStyle w:val="Hyperlink"/>
          <w:rFonts w:cs="Arial"/>
          <w:sz w:val="18"/>
          <w:szCs w:val="18"/>
          <w:u w:val="none"/>
        </w:rPr>
      </w:pPr>
      <w:r w:rsidRPr="008358CE">
        <w:rPr>
          <w:rFonts w:cs="Arial"/>
          <w:b/>
          <w:bCs/>
          <w:sz w:val="18"/>
          <w:szCs w:val="18"/>
        </w:rPr>
        <w:t>Altera</w:t>
      </w:r>
      <w:r w:rsidRPr="008358CE">
        <w:rPr>
          <w:rFonts w:cs="Arial"/>
          <w:sz w:val="18"/>
          <w:szCs w:val="18"/>
        </w:rPr>
        <w:t xml:space="preserve">: </w:t>
      </w:r>
      <w:hyperlink r:id="rId2" w:history="1">
        <w:r w:rsidR="00327905" w:rsidRPr="008958DB">
          <w:rPr>
            <w:rStyle w:val="Hyperlink"/>
            <w:rFonts w:ascii="Tahoma" w:hAnsi="Tahoma" w:cs="Tahoma"/>
          </w:rPr>
          <w:t>Resolução n. 1, de 24 de janeiro de 2006 - Regimento Interno</w:t>
        </w:r>
      </w:hyperlink>
      <w:r w:rsidR="00327905" w:rsidRPr="008958DB">
        <w:rPr>
          <w:rStyle w:val="Hyperlink"/>
          <w:rFonts w:cs="Arial"/>
        </w:rPr>
        <w:t xml:space="preserve"> </w:t>
      </w:r>
      <w:r w:rsidR="00327905" w:rsidRPr="00D51860">
        <w:rPr>
          <w:rStyle w:val="Hyperlink"/>
          <w:rFonts w:cs="Arial"/>
        </w:rPr>
        <w:t>(e alterações posteriores)</w:t>
      </w:r>
      <w:r w:rsidR="00AD1A34">
        <w:rPr>
          <w:rStyle w:val="Hyperlink"/>
          <w:rFonts w:cs="Arial"/>
        </w:rPr>
        <w:t>.</w:t>
      </w:r>
    </w:p>
    <w:p w14:paraId="3B19E170" w14:textId="01AD4014" w:rsidR="002F213F" w:rsidRPr="005959D7" w:rsidRDefault="005959D7" w:rsidP="005959D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284"/>
        <w:rPr>
          <w:rFonts w:ascii="Arial" w:hAnsi="Arial" w:cs="Arial"/>
          <w:sz w:val="20"/>
          <w:szCs w:val="20"/>
        </w:rPr>
      </w:pPr>
      <w:r w:rsidRPr="005959D7">
        <w:rPr>
          <w:rStyle w:val="Forte"/>
          <w:rFonts w:ascii="Arial" w:hAnsi="Arial" w:cs="Arial"/>
          <w:sz w:val="20"/>
          <w:szCs w:val="20"/>
        </w:rPr>
        <w:t xml:space="preserve">Ver </w:t>
      </w:r>
      <w:hyperlink r:id="rId3" w:history="1">
        <w:r w:rsidRPr="005959D7">
          <w:rPr>
            <w:rStyle w:val="Hyperlink"/>
            <w:rFonts w:ascii="Arial" w:hAnsi="Arial" w:cs="Arial"/>
            <w:b/>
            <w:bCs/>
            <w:sz w:val="20"/>
            <w:szCs w:val="20"/>
          </w:rPr>
          <w:t>a</w:t>
        </w:r>
        <w:r w:rsidRPr="005959D7">
          <w:rPr>
            <w:rStyle w:val="Hyperlink"/>
            <w:rFonts w:ascii="Arial" w:hAnsi="Arial" w:cs="Arial"/>
            <w:b/>
            <w:bCs/>
            <w:sz w:val="20"/>
            <w:szCs w:val="20"/>
          </w:rPr>
          <w:t>lterações</w:t>
        </w:r>
      </w:hyperlink>
      <w:r w:rsidRPr="005959D7">
        <w:rPr>
          <w:rFonts w:ascii="Arial" w:hAnsi="Arial" w:cs="Arial"/>
          <w:b/>
          <w:b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AFF1" w14:textId="77777777" w:rsidR="0034177B" w:rsidRDefault="00000000" w:rsidP="00792273">
    <w:pPr>
      <w:keepLines/>
      <w:spacing w:before="360"/>
      <w:ind w:firstLine="1134"/>
      <w:jc w:val="center"/>
      <w:rPr>
        <w:rFonts w:cs="Arial"/>
        <w:b/>
        <w:sz w:val="28"/>
        <w:szCs w:val="28"/>
      </w:rPr>
    </w:pPr>
    <w:r>
      <w:rPr>
        <w:noProof/>
        <w:sz w:val="28"/>
        <w:szCs w:val="28"/>
      </w:rPr>
      <w:pict w14:anchorId="785D9D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.15pt;margin-top:-.55pt;width:44.05pt;height:51.6pt;z-index:1;visibility:visible">
          <v:imagedata r:id="rId1" o:title="brasao_pr_pequeno"/>
        </v:shape>
      </w:pict>
    </w:r>
    <w:r w:rsidR="0034177B" w:rsidRPr="00540D6D">
      <w:rPr>
        <w:rFonts w:cs="Arial"/>
        <w:b/>
        <w:sz w:val="28"/>
        <w:szCs w:val="28"/>
      </w:rPr>
      <w:t>TRIBUNAL DE CONTAS DO ESTADO DO PARANÁ</w:t>
    </w:r>
  </w:p>
  <w:p w14:paraId="4D540FA0" w14:textId="77777777" w:rsidR="00792273" w:rsidRPr="00540D6D" w:rsidRDefault="00792273" w:rsidP="00C65DBE">
    <w:pPr>
      <w:keepLines/>
      <w:spacing w:before="120"/>
      <w:ind w:firstLine="1134"/>
      <w:jc w:val="center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F75AC"/>
    <w:multiLevelType w:val="hybridMultilevel"/>
    <w:tmpl w:val="E66C3C22"/>
    <w:lvl w:ilvl="0" w:tplc="2DBAC374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7D81"/>
    <w:multiLevelType w:val="hybridMultilevel"/>
    <w:tmpl w:val="0C600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09515">
    <w:abstractNumId w:val="0"/>
  </w:num>
  <w:num w:numId="2" w16cid:durableId="2066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77B"/>
    <w:rsid w:val="002D78A6"/>
    <w:rsid w:val="002F213F"/>
    <w:rsid w:val="00327905"/>
    <w:rsid w:val="0034177B"/>
    <w:rsid w:val="005959D7"/>
    <w:rsid w:val="0060494E"/>
    <w:rsid w:val="0074683B"/>
    <w:rsid w:val="00792273"/>
    <w:rsid w:val="008358CE"/>
    <w:rsid w:val="008900E8"/>
    <w:rsid w:val="00AC1079"/>
    <w:rsid w:val="00AD1A34"/>
    <w:rsid w:val="00C65DBE"/>
    <w:rsid w:val="00D06CCF"/>
    <w:rsid w:val="00F31181"/>
    <w:rsid w:val="00F7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A5A7C"/>
  <w15:chartTrackingRefBased/>
  <w15:docId w15:val="{4B528A0A-FE0E-44B2-940D-2EDED9A4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77B"/>
    <w:pPr>
      <w:overflowPunct w:val="0"/>
      <w:autoSpaceDE w:val="0"/>
      <w:autoSpaceDN w:val="0"/>
      <w:adjustRightInd w:val="0"/>
    </w:pPr>
    <w:rPr>
      <w:rFonts w:ascii="Arial" w:eastAsia="Times New Roman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34177B"/>
    <w:pPr>
      <w:jc w:val="both"/>
    </w:pPr>
  </w:style>
  <w:style w:type="character" w:customStyle="1" w:styleId="CorpodetextoChar">
    <w:name w:val="Corpo de texto Char"/>
    <w:link w:val="Corpodetexto"/>
    <w:semiHidden/>
    <w:rsid w:val="0034177B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3417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4177B"/>
    <w:rPr>
      <w:rFonts w:ascii="Arial" w:eastAsia="Times New Roman" w:hAnsi="Arial" w:cs="Times New Roman"/>
      <w:sz w:val="16"/>
      <w:szCs w:val="16"/>
      <w:lang w:eastAsia="pt-BR"/>
    </w:rPr>
  </w:style>
  <w:style w:type="paragraph" w:customStyle="1" w:styleId="Ementa">
    <w:name w:val="Ementa"/>
    <w:basedOn w:val="Normal"/>
    <w:next w:val="Normal"/>
    <w:uiPriority w:val="99"/>
    <w:rsid w:val="0034177B"/>
    <w:pPr>
      <w:ind w:left="4649"/>
      <w:jc w:val="both"/>
    </w:pPr>
    <w:rPr>
      <w:rFonts w:ascii="Courier New" w:hAnsi="Courier New"/>
      <w:sz w:val="20"/>
    </w:rPr>
  </w:style>
  <w:style w:type="paragraph" w:customStyle="1" w:styleId="Texto">
    <w:name w:val="Texto"/>
    <w:basedOn w:val="Normal"/>
    <w:rsid w:val="0034177B"/>
    <w:pPr>
      <w:tabs>
        <w:tab w:val="left" w:pos="1260"/>
        <w:tab w:val="left" w:pos="1440"/>
        <w:tab w:val="left" w:pos="1620"/>
        <w:tab w:val="left" w:pos="1800"/>
        <w:tab w:val="left" w:pos="1980"/>
      </w:tabs>
      <w:overflowPunct/>
      <w:autoSpaceDE/>
      <w:autoSpaceDN/>
      <w:adjustRightInd/>
      <w:spacing w:before="120"/>
      <w:ind w:firstLine="680"/>
      <w:jc w:val="both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417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4177B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417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4177B"/>
    <w:rPr>
      <w:rFonts w:ascii="Arial" w:eastAsia="Times New Roman" w:hAnsi="Arial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D06CCF"/>
    <w:rPr>
      <w:sz w:val="20"/>
    </w:rPr>
  </w:style>
  <w:style w:type="character" w:customStyle="1" w:styleId="TextodenotaderodapChar">
    <w:name w:val="Texto de nota de rodapé Char"/>
    <w:link w:val="Textodenotaderodap"/>
    <w:rsid w:val="00D06CCF"/>
    <w:rPr>
      <w:rFonts w:ascii="Arial" w:eastAsia="Times New Roman" w:hAnsi="Arial"/>
    </w:rPr>
  </w:style>
  <w:style w:type="character" w:styleId="Refdenotaderodap">
    <w:name w:val="footnote reference"/>
    <w:uiPriority w:val="99"/>
    <w:semiHidden/>
    <w:unhideWhenUsed/>
    <w:rsid w:val="00D06CCF"/>
    <w:rPr>
      <w:vertAlign w:val="superscript"/>
    </w:rPr>
  </w:style>
  <w:style w:type="character" w:styleId="Hyperlink">
    <w:name w:val="Hyperlink"/>
    <w:uiPriority w:val="99"/>
    <w:rsid w:val="00D06CCF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F77357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5959D7"/>
    <w:rPr>
      <w:b/>
      <w:bCs/>
    </w:rPr>
  </w:style>
  <w:style w:type="paragraph" w:styleId="NormalWeb">
    <w:name w:val="Normal (Web)"/>
    <w:basedOn w:val="Normal"/>
    <w:uiPriority w:val="99"/>
    <w:rsid w:val="005959D7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29-de-17-de-novembro-de-2011/1375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1/12/pdf/0000022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tc514268</dc:creator>
  <cp:keywords/>
  <cp:lastModifiedBy>Yarusya Fonseca</cp:lastModifiedBy>
  <cp:revision>13</cp:revision>
  <dcterms:created xsi:type="dcterms:W3CDTF">2022-07-06T13:53:00Z</dcterms:created>
  <dcterms:modified xsi:type="dcterms:W3CDTF">2022-07-15T14:17:00Z</dcterms:modified>
</cp:coreProperties>
</file>