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C783B" w14:textId="3802ECC2" w:rsidR="00472FE5" w:rsidRPr="00F372B5" w:rsidRDefault="00472FE5" w:rsidP="00472F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>
        <w:rPr>
          <w:rFonts w:ascii="Arial" w:hAnsi="Arial" w:cs="Arial"/>
          <w:b/>
          <w:bCs/>
          <w:sz w:val="28"/>
          <w:szCs w:val="28"/>
          <w:lang w:eastAsia="pt-BR"/>
        </w:rPr>
        <w:t>RESOLUÇÃO Nº 53/2015</w:t>
      </w:r>
      <w:r w:rsidR="00474FAB">
        <w:rPr>
          <w:rStyle w:val="Refdenotaderodap"/>
          <w:rFonts w:ascii="Arial" w:hAnsi="Arial" w:cs="Arial"/>
          <w:b/>
          <w:bCs/>
          <w:sz w:val="28"/>
          <w:szCs w:val="28"/>
          <w:lang w:eastAsia="pt-BR"/>
        </w:rPr>
        <w:footnoteReference w:id="1"/>
      </w:r>
    </w:p>
    <w:p w14:paraId="44DBA2A7" w14:textId="77777777" w:rsidR="00472FE5" w:rsidRPr="00472FE5" w:rsidRDefault="00472FE5" w:rsidP="00472FE5">
      <w:pPr>
        <w:autoSpaceDE w:val="0"/>
        <w:autoSpaceDN w:val="0"/>
        <w:adjustRightInd w:val="0"/>
        <w:spacing w:before="360" w:after="360" w:line="240" w:lineRule="auto"/>
        <w:ind w:left="4536"/>
        <w:jc w:val="both"/>
        <w:rPr>
          <w:rFonts w:ascii="Arial,Italic" w:hAnsi="Arial,Italic" w:cs="Arial,Italic"/>
          <w:i/>
          <w:iCs/>
          <w:lang w:eastAsia="pt-BR"/>
        </w:rPr>
      </w:pPr>
      <w:r w:rsidRPr="00472FE5">
        <w:rPr>
          <w:rFonts w:ascii="Arial,Italic" w:hAnsi="Arial,Italic" w:cs="Arial,Italic"/>
          <w:i/>
          <w:iCs/>
          <w:lang w:eastAsia="pt-BR"/>
        </w:rPr>
        <w:t>Dispõe sobre competências do Presidente do Tribunal de Contas em matéria de férias e licença especial de seus servidores.</w:t>
      </w:r>
    </w:p>
    <w:p w14:paraId="644E8998" w14:textId="77777777" w:rsidR="00472FE5" w:rsidRPr="00EC5D04" w:rsidRDefault="00472FE5" w:rsidP="00472FE5">
      <w:pPr>
        <w:autoSpaceDE w:val="0"/>
        <w:autoSpaceDN w:val="0"/>
        <w:adjustRightInd w:val="0"/>
        <w:spacing w:before="120" w:after="120" w:line="240" w:lineRule="auto"/>
        <w:ind w:firstLine="1134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472FE5">
        <w:rPr>
          <w:rFonts w:ascii="Arial" w:hAnsi="Arial" w:cs="Arial"/>
          <w:sz w:val="24"/>
          <w:szCs w:val="24"/>
          <w:lang w:eastAsia="pt-BR"/>
        </w:rPr>
        <w:t xml:space="preserve">O </w:t>
      </w:r>
      <w:r w:rsidRPr="00EC5D04">
        <w:rPr>
          <w:rFonts w:ascii="Arial" w:hAnsi="Arial" w:cs="Arial"/>
          <w:b/>
          <w:bCs/>
          <w:sz w:val="24"/>
          <w:szCs w:val="24"/>
          <w:lang w:eastAsia="pt-BR"/>
        </w:rPr>
        <w:t xml:space="preserve">TRIBUNAL DE CONTAS DO ESTADO DO PARANÁ, </w:t>
      </w:r>
      <w:r w:rsidRPr="00EC5D04">
        <w:rPr>
          <w:rFonts w:ascii="Arial" w:hAnsi="Arial" w:cs="Arial"/>
          <w:bCs/>
          <w:sz w:val="24"/>
          <w:szCs w:val="24"/>
          <w:lang w:eastAsia="pt-BR"/>
        </w:rPr>
        <w:t>com fundamento no art. 2º, inciso I, da Lei Complementar Estadual nº 113/2005 e no art. 188 do Regimento Interno,</w:t>
      </w:r>
    </w:p>
    <w:p w14:paraId="340174F8" w14:textId="77777777" w:rsidR="00472FE5" w:rsidRPr="00EC5D04" w:rsidRDefault="00472FE5" w:rsidP="00472FE5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  <w:lang w:eastAsia="pt-BR"/>
        </w:rPr>
      </w:pPr>
    </w:p>
    <w:p w14:paraId="36F12563" w14:textId="77777777" w:rsidR="00472FE5" w:rsidRPr="00EC5D04" w:rsidRDefault="00472FE5" w:rsidP="00472FE5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EC5D04">
        <w:rPr>
          <w:rFonts w:ascii="Arial" w:hAnsi="Arial" w:cs="Arial"/>
          <w:b/>
          <w:bCs/>
          <w:sz w:val="24"/>
          <w:szCs w:val="24"/>
          <w:lang w:eastAsia="pt-BR"/>
        </w:rPr>
        <w:t>CONSIDERANDO</w:t>
      </w:r>
    </w:p>
    <w:p w14:paraId="5C3411E4" w14:textId="77777777" w:rsidR="00472FE5" w:rsidRPr="00EC5D04" w:rsidRDefault="00472FE5" w:rsidP="00472FE5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  <w:lang w:eastAsia="pt-BR"/>
        </w:rPr>
      </w:pPr>
    </w:p>
    <w:p w14:paraId="549F4A3E" w14:textId="77777777" w:rsidR="00472FE5" w:rsidRPr="00EC5D04" w:rsidRDefault="00472FE5" w:rsidP="00472FE5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C5D04">
        <w:rPr>
          <w:rFonts w:ascii="Arial" w:hAnsi="Arial" w:cs="Arial"/>
          <w:bCs/>
          <w:sz w:val="24"/>
          <w:szCs w:val="24"/>
          <w:lang w:eastAsia="pt-BR"/>
        </w:rPr>
        <w:t>• as</w:t>
      </w:r>
      <w:r w:rsidRPr="00EC5D04">
        <w:rPr>
          <w:rFonts w:ascii="Arial" w:hAnsi="Arial" w:cs="Arial"/>
          <w:sz w:val="24"/>
          <w:szCs w:val="24"/>
        </w:rPr>
        <w:t xml:space="preserve"> reiteradas deliberações deste Tribunal reconhecendo o direito de indenização </w:t>
      </w:r>
      <w:r>
        <w:rPr>
          <w:rFonts w:ascii="Arial" w:hAnsi="Arial" w:cs="Arial"/>
          <w:sz w:val="24"/>
          <w:szCs w:val="24"/>
        </w:rPr>
        <w:t>de</w:t>
      </w:r>
      <w:r w:rsidRPr="00EC5D04">
        <w:rPr>
          <w:rFonts w:ascii="Arial" w:hAnsi="Arial" w:cs="Arial"/>
          <w:sz w:val="24"/>
          <w:szCs w:val="24"/>
        </w:rPr>
        <w:t xml:space="preserve"> férias</w:t>
      </w:r>
      <w:r>
        <w:rPr>
          <w:rFonts w:ascii="Arial" w:hAnsi="Arial" w:cs="Arial"/>
          <w:sz w:val="24"/>
          <w:szCs w:val="24"/>
        </w:rPr>
        <w:t xml:space="preserve"> e licenças especiais</w:t>
      </w:r>
      <w:r w:rsidRPr="00EC5D04">
        <w:rPr>
          <w:rFonts w:ascii="Arial" w:hAnsi="Arial" w:cs="Arial"/>
          <w:sz w:val="24"/>
          <w:szCs w:val="24"/>
        </w:rPr>
        <w:t xml:space="preserve"> não fruídas</w:t>
      </w:r>
      <w:r>
        <w:rPr>
          <w:rFonts w:ascii="Arial" w:hAnsi="Arial" w:cs="Arial"/>
          <w:sz w:val="24"/>
          <w:szCs w:val="24"/>
        </w:rPr>
        <w:t xml:space="preserve"> de servidores exonerados, aposentados e falecidos</w:t>
      </w:r>
      <w:r w:rsidRPr="00EC5D04">
        <w:rPr>
          <w:rFonts w:ascii="Arial" w:hAnsi="Arial" w:cs="Arial"/>
          <w:sz w:val="24"/>
          <w:szCs w:val="24"/>
        </w:rPr>
        <w:t>;</w:t>
      </w:r>
    </w:p>
    <w:p w14:paraId="7DF0145F" w14:textId="77777777" w:rsidR="00472FE5" w:rsidRPr="00EC5D04" w:rsidRDefault="00472FE5" w:rsidP="00472FE5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C5D04">
        <w:rPr>
          <w:rFonts w:ascii="Arial" w:hAnsi="Arial" w:cs="Arial"/>
          <w:sz w:val="24"/>
          <w:szCs w:val="24"/>
        </w:rPr>
        <w:t>• o impacto financeiro global das referidas decisões e a necessidade de planejamento dos pagamentos;</w:t>
      </w:r>
    </w:p>
    <w:p w14:paraId="7E4A7745" w14:textId="77777777" w:rsidR="00472FE5" w:rsidRDefault="00472FE5" w:rsidP="00472FE5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C5D04">
        <w:rPr>
          <w:rFonts w:ascii="Arial" w:hAnsi="Arial" w:cs="Arial"/>
          <w:sz w:val="24"/>
          <w:szCs w:val="24"/>
        </w:rPr>
        <w:t>• a possibilidade de conferir maior economicidade e celeridade processuais ao julgamento de pedidos com idêntico objeto, tendo em vista a pacificação do entendimento do Tribunal a respeito da matéria</w:t>
      </w:r>
      <w:r>
        <w:rPr>
          <w:rFonts w:ascii="Arial" w:hAnsi="Arial" w:cs="Arial"/>
          <w:sz w:val="24"/>
          <w:szCs w:val="24"/>
        </w:rPr>
        <w:t>;</w:t>
      </w:r>
    </w:p>
    <w:p w14:paraId="09CE8E87" w14:textId="77777777" w:rsidR="00472FE5" w:rsidRPr="00CE58D6" w:rsidRDefault="00472FE5" w:rsidP="00472FE5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E58D6">
        <w:rPr>
          <w:rFonts w:ascii="Arial" w:hAnsi="Arial" w:cs="Arial"/>
          <w:sz w:val="24"/>
          <w:szCs w:val="24"/>
        </w:rPr>
        <w:t>• a necessidade de regulamentar a fruição das férias e das licenças especiais, de modo a harmonizar o interesse público, os princípios da continuidade e da eficiência do serviço público e o direito subjetivo do servidor,</w:t>
      </w:r>
    </w:p>
    <w:p w14:paraId="543E7947" w14:textId="77777777" w:rsidR="00472FE5" w:rsidRPr="00EC5D04" w:rsidRDefault="00472FE5" w:rsidP="00472FE5">
      <w:pPr>
        <w:autoSpaceDE w:val="0"/>
        <w:autoSpaceDN w:val="0"/>
        <w:adjustRightInd w:val="0"/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eastAsia="pt-BR"/>
        </w:rPr>
      </w:pPr>
    </w:p>
    <w:p w14:paraId="7BBF8762" w14:textId="77777777" w:rsidR="00472FE5" w:rsidRPr="00EC5D04" w:rsidRDefault="00472FE5" w:rsidP="00472FE5">
      <w:pPr>
        <w:autoSpaceDE w:val="0"/>
        <w:autoSpaceDN w:val="0"/>
        <w:adjustRightInd w:val="0"/>
        <w:spacing w:before="120" w:after="120" w:line="240" w:lineRule="auto"/>
        <w:ind w:firstLine="1134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EC5D04">
        <w:rPr>
          <w:rFonts w:ascii="Arial" w:hAnsi="Arial" w:cs="Arial"/>
          <w:b/>
          <w:bCs/>
          <w:sz w:val="24"/>
          <w:szCs w:val="24"/>
          <w:lang w:eastAsia="pt-BR"/>
        </w:rPr>
        <w:t>RESOLVE</w:t>
      </w:r>
    </w:p>
    <w:p w14:paraId="7DB9BEB2" w14:textId="77777777" w:rsidR="00472FE5" w:rsidRPr="00EC5D04" w:rsidRDefault="00472FE5" w:rsidP="00472FE5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59D5BBDB" w14:textId="77777777" w:rsidR="00472FE5" w:rsidRDefault="00472FE5" w:rsidP="00472FE5">
      <w:pPr>
        <w:autoSpaceDN w:val="0"/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EC5D04">
        <w:rPr>
          <w:rFonts w:ascii="Arial" w:hAnsi="Arial" w:cs="Arial"/>
          <w:b/>
          <w:bCs/>
          <w:sz w:val="24"/>
          <w:szCs w:val="24"/>
          <w:lang w:eastAsia="pt-BR"/>
        </w:rPr>
        <w:t>Art. 1°</w:t>
      </w:r>
      <w:r w:rsidRPr="00EC5D04">
        <w:rPr>
          <w:rFonts w:ascii="Arial" w:hAnsi="Arial" w:cs="Arial"/>
          <w:bCs/>
          <w:sz w:val="24"/>
          <w:szCs w:val="24"/>
          <w:lang w:eastAsia="pt-BR"/>
        </w:rPr>
        <w:t xml:space="preserve"> O Presidente do Tribunal est</w:t>
      </w:r>
      <w:r>
        <w:rPr>
          <w:rFonts w:ascii="Arial" w:hAnsi="Arial" w:cs="Arial"/>
          <w:bCs/>
          <w:sz w:val="24"/>
          <w:szCs w:val="24"/>
          <w:lang w:eastAsia="pt-BR"/>
        </w:rPr>
        <w:t>abelecerá, por meio de Portaria:</w:t>
      </w:r>
    </w:p>
    <w:p w14:paraId="7794B0DF" w14:textId="77777777" w:rsidR="00472FE5" w:rsidRPr="00CE58D6" w:rsidRDefault="00472FE5" w:rsidP="00472FE5">
      <w:pPr>
        <w:autoSpaceDN w:val="0"/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CE58D6">
        <w:rPr>
          <w:rFonts w:ascii="Arial" w:hAnsi="Arial" w:cs="Arial"/>
          <w:bCs/>
          <w:sz w:val="24"/>
          <w:szCs w:val="24"/>
          <w:lang w:eastAsia="pt-BR"/>
        </w:rPr>
        <w:t xml:space="preserve">I – medidas de incentivo </w:t>
      </w:r>
      <w:r>
        <w:rPr>
          <w:rFonts w:ascii="Arial" w:hAnsi="Arial" w:cs="Arial"/>
          <w:bCs/>
          <w:sz w:val="24"/>
          <w:szCs w:val="24"/>
          <w:lang w:eastAsia="pt-BR"/>
        </w:rPr>
        <w:t>à fruição</w:t>
      </w:r>
      <w:r w:rsidRPr="00CE58D6">
        <w:rPr>
          <w:rFonts w:ascii="Arial" w:hAnsi="Arial" w:cs="Arial"/>
          <w:bCs/>
          <w:sz w:val="24"/>
          <w:szCs w:val="24"/>
          <w:lang w:eastAsia="pt-BR"/>
        </w:rPr>
        <w:t>, em atividade, das férias e licenças especiais pelos servidores do Tribunal de Contas;</w:t>
      </w:r>
    </w:p>
    <w:p w14:paraId="1E5265EE" w14:textId="77777777" w:rsidR="00472FE5" w:rsidRPr="00EC5D04" w:rsidRDefault="00472FE5" w:rsidP="00472FE5">
      <w:pPr>
        <w:autoSpaceDN w:val="0"/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Cs/>
          <w:sz w:val="24"/>
          <w:szCs w:val="24"/>
          <w:lang w:eastAsia="pt-BR"/>
        </w:rPr>
        <w:t xml:space="preserve">II – </w:t>
      </w:r>
      <w:r w:rsidRPr="00EC5D04">
        <w:rPr>
          <w:rFonts w:ascii="Arial" w:hAnsi="Arial" w:cs="Arial"/>
          <w:bCs/>
          <w:sz w:val="24"/>
          <w:szCs w:val="24"/>
          <w:lang w:eastAsia="pt-BR"/>
        </w:rPr>
        <w:t xml:space="preserve">critérios de pagamento das indenizações 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de férias e licenças especiais não fruídas </w:t>
      </w:r>
      <w:r>
        <w:rPr>
          <w:rFonts w:ascii="Arial" w:hAnsi="Arial" w:cs="Arial"/>
          <w:sz w:val="24"/>
          <w:szCs w:val="24"/>
        </w:rPr>
        <w:t>de servidores exonerados, aposentados e falecidos</w:t>
      </w:r>
      <w:r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5A1D2C4F" w14:textId="2AF466B3" w:rsidR="00472FE5" w:rsidRPr="00EC5D04" w:rsidRDefault="00472FE5" w:rsidP="00472FE5">
      <w:pPr>
        <w:autoSpaceDN w:val="0"/>
        <w:spacing w:before="24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EC5D04">
        <w:rPr>
          <w:rFonts w:ascii="Arial" w:hAnsi="Arial" w:cs="Arial"/>
          <w:b/>
          <w:bCs/>
          <w:sz w:val="24"/>
          <w:szCs w:val="24"/>
          <w:lang w:eastAsia="pt-BR"/>
        </w:rPr>
        <w:t>Art. 2°</w:t>
      </w:r>
      <w:r w:rsidRPr="00EC5D04">
        <w:rPr>
          <w:rFonts w:ascii="Arial" w:hAnsi="Arial" w:cs="Arial"/>
          <w:bCs/>
          <w:sz w:val="24"/>
          <w:szCs w:val="24"/>
          <w:lang w:eastAsia="pt-BR"/>
        </w:rPr>
        <w:t xml:space="preserve"> O inciso XLVI do art. 16 do </w:t>
      </w:r>
      <w:hyperlink r:id="rId8" w:history="1">
        <w:r w:rsidRPr="00A411EF">
          <w:rPr>
            <w:rStyle w:val="Hyperlink"/>
            <w:rFonts w:ascii="Arial" w:hAnsi="Arial" w:cs="Arial"/>
            <w:bCs/>
            <w:sz w:val="24"/>
            <w:szCs w:val="24"/>
            <w:lang w:eastAsia="pt-BR"/>
          </w:rPr>
          <w:t>Regimento Interno</w:t>
        </w:r>
      </w:hyperlink>
      <w:r w:rsidRPr="00EC5D04">
        <w:rPr>
          <w:rFonts w:ascii="Arial" w:hAnsi="Arial" w:cs="Arial"/>
          <w:bCs/>
          <w:sz w:val="24"/>
          <w:szCs w:val="24"/>
          <w:lang w:eastAsia="pt-BR"/>
        </w:rPr>
        <w:t xml:space="preserve"> fica acresc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ido das alíneas “n”, </w:t>
      </w:r>
      <w:r w:rsidRPr="00EC5D04">
        <w:rPr>
          <w:rFonts w:ascii="Arial" w:hAnsi="Arial" w:cs="Arial"/>
          <w:bCs/>
          <w:sz w:val="24"/>
          <w:szCs w:val="24"/>
          <w:lang w:eastAsia="pt-BR"/>
        </w:rPr>
        <w:t>“o”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e “p”,</w:t>
      </w:r>
      <w:r w:rsidRPr="00EC5D04">
        <w:rPr>
          <w:rFonts w:ascii="Arial" w:hAnsi="Arial" w:cs="Arial"/>
          <w:bCs/>
          <w:sz w:val="24"/>
          <w:szCs w:val="24"/>
          <w:lang w:eastAsia="pt-BR"/>
        </w:rPr>
        <w:t xml:space="preserve"> com o seguinte teor:</w:t>
      </w:r>
    </w:p>
    <w:p w14:paraId="2C39AC2A" w14:textId="77777777" w:rsidR="00472FE5" w:rsidRPr="00EC5D04" w:rsidRDefault="00472FE5" w:rsidP="00472FE5">
      <w:pPr>
        <w:autoSpaceDN w:val="0"/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EC5D04">
        <w:rPr>
          <w:rFonts w:ascii="Arial" w:hAnsi="Arial" w:cs="Arial"/>
          <w:bCs/>
          <w:sz w:val="24"/>
          <w:szCs w:val="24"/>
          <w:lang w:eastAsia="pt-BR"/>
        </w:rPr>
        <w:lastRenderedPageBreak/>
        <w:t>“</w:t>
      </w:r>
      <w:r w:rsidRPr="00A6507C">
        <w:rPr>
          <w:rFonts w:ascii="Arial" w:hAnsi="Arial" w:cs="Arial"/>
          <w:bCs/>
          <w:i/>
          <w:sz w:val="24"/>
          <w:szCs w:val="24"/>
          <w:lang w:eastAsia="pt-BR"/>
        </w:rPr>
        <w:t>n)</w:t>
      </w:r>
      <w:r w:rsidRPr="00EC5D04">
        <w:rPr>
          <w:rFonts w:ascii="Arial" w:hAnsi="Arial" w:cs="Arial"/>
          <w:bCs/>
          <w:sz w:val="24"/>
          <w:szCs w:val="24"/>
          <w:lang w:eastAsia="pt-BR"/>
        </w:rPr>
        <w:t xml:space="preserve"> concessão de férias, quando houver, no caso concreto, divergência entre o servidor interessado, o superior hierárquico responsável pela autorização das férias e/ou a Diretoria de Gestão de Pessoas;</w:t>
      </w:r>
    </w:p>
    <w:p w14:paraId="3B8E9C74" w14:textId="77777777" w:rsidR="00472FE5" w:rsidRDefault="00472FE5" w:rsidP="00472FE5">
      <w:pPr>
        <w:autoSpaceDN w:val="0"/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A6507C">
        <w:rPr>
          <w:rFonts w:ascii="Arial" w:hAnsi="Arial" w:cs="Arial"/>
          <w:bCs/>
          <w:i/>
          <w:sz w:val="24"/>
          <w:szCs w:val="24"/>
          <w:lang w:eastAsia="pt-BR"/>
        </w:rPr>
        <w:t>o)</w:t>
      </w:r>
      <w:r w:rsidRPr="00EC5D04">
        <w:rPr>
          <w:rFonts w:ascii="Arial" w:hAnsi="Arial" w:cs="Arial"/>
          <w:bCs/>
          <w:sz w:val="24"/>
          <w:szCs w:val="24"/>
          <w:lang w:eastAsia="pt-BR"/>
        </w:rPr>
        <w:t xml:space="preserve"> indenização de férias não fruídas, de servidor exonerado, inativo ou falecido</w:t>
      </w:r>
      <w:r>
        <w:rPr>
          <w:rFonts w:ascii="Arial" w:hAnsi="Arial" w:cs="Arial"/>
          <w:bCs/>
          <w:sz w:val="24"/>
          <w:szCs w:val="24"/>
          <w:lang w:eastAsia="pt-BR"/>
        </w:rPr>
        <w:t>;</w:t>
      </w:r>
    </w:p>
    <w:p w14:paraId="6914D5C5" w14:textId="77777777" w:rsidR="00472FE5" w:rsidRPr="00A22526" w:rsidRDefault="00472FE5" w:rsidP="00472FE5">
      <w:pPr>
        <w:autoSpaceDN w:val="0"/>
        <w:spacing w:before="24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A22526">
        <w:rPr>
          <w:rFonts w:ascii="Arial" w:hAnsi="Arial" w:cs="Arial"/>
          <w:bCs/>
          <w:i/>
          <w:sz w:val="24"/>
          <w:szCs w:val="24"/>
          <w:lang w:eastAsia="pt-BR"/>
        </w:rPr>
        <w:t xml:space="preserve">p) </w:t>
      </w:r>
      <w:r w:rsidRPr="00A22526">
        <w:rPr>
          <w:rFonts w:ascii="Arial" w:hAnsi="Arial" w:cs="Arial"/>
          <w:bCs/>
          <w:sz w:val="24"/>
          <w:szCs w:val="24"/>
          <w:lang w:eastAsia="pt-BR"/>
        </w:rPr>
        <w:t>indenização de licenças especiais não fruídas</w:t>
      </w:r>
      <w:r>
        <w:rPr>
          <w:rFonts w:ascii="Arial" w:hAnsi="Arial" w:cs="Arial"/>
          <w:bCs/>
          <w:sz w:val="24"/>
          <w:szCs w:val="24"/>
          <w:lang w:eastAsia="pt-BR"/>
        </w:rPr>
        <w:t>, de servidor exonerado, inativo ou falecido</w:t>
      </w:r>
      <w:r w:rsidRPr="00A22526">
        <w:rPr>
          <w:rFonts w:ascii="Arial" w:hAnsi="Arial" w:cs="Arial"/>
          <w:bCs/>
          <w:sz w:val="24"/>
          <w:szCs w:val="24"/>
          <w:lang w:eastAsia="pt-BR"/>
        </w:rPr>
        <w:t>.”</w:t>
      </w:r>
    </w:p>
    <w:p w14:paraId="5F59D948" w14:textId="77777777" w:rsidR="00472FE5" w:rsidRPr="00EC5D04" w:rsidRDefault="00472FE5" w:rsidP="00472FE5">
      <w:pPr>
        <w:autoSpaceDN w:val="0"/>
        <w:spacing w:before="24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EC5D04">
        <w:rPr>
          <w:rFonts w:ascii="Arial" w:hAnsi="Arial" w:cs="Arial"/>
          <w:b/>
          <w:bCs/>
          <w:sz w:val="24"/>
          <w:szCs w:val="24"/>
          <w:lang w:eastAsia="pt-BR"/>
        </w:rPr>
        <w:t>Art. 3º</w:t>
      </w:r>
      <w:r w:rsidRPr="00EC5D04">
        <w:rPr>
          <w:rFonts w:ascii="Arial" w:hAnsi="Arial" w:cs="Arial"/>
          <w:bCs/>
          <w:sz w:val="24"/>
          <w:szCs w:val="24"/>
          <w:lang w:eastAsia="pt-BR"/>
        </w:rPr>
        <w:t xml:space="preserve"> Os processos em curso, não incluídos em pauta de julgamento até a data da publicação desta Resolução, que tenham por objeto as matérias referidas no artigo anterior, se submeterão imediatamente à nova regra de competência, de modo que serão decididos pelo Presidente.</w:t>
      </w:r>
    </w:p>
    <w:p w14:paraId="14F17C85" w14:textId="77777777" w:rsidR="00472FE5" w:rsidRDefault="00472FE5" w:rsidP="00472FE5">
      <w:pPr>
        <w:autoSpaceDN w:val="0"/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EC5D04">
        <w:rPr>
          <w:rFonts w:ascii="Arial" w:hAnsi="Arial" w:cs="Arial"/>
          <w:bCs/>
          <w:sz w:val="24"/>
          <w:szCs w:val="24"/>
          <w:lang w:eastAsia="pt-BR"/>
        </w:rPr>
        <w:t xml:space="preserve">Parágrafo único. O disposto no </w:t>
      </w:r>
      <w:r w:rsidRPr="00EC5D04">
        <w:rPr>
          <w:rFonts w:ascii="Arial" w:hAnsi="Arial" w:cs="Arial"/>
          <w:bCs/>
          <w:i/>
          <w:sz w:val="24"/>
          <w:szCs w:val="24"/>
          <w:lang w:eastAsia="pt-BR"/>
        </w:rPr>
        <w:t xml:space="preserve">caput </w:t>
      </w:r>
      <w:r w:rsidRPr="00EC5D04">
        <w:rPr>
          <w:rFonts w:ascii="Arial" w:hAnsi="Arial" w:cs="Arial"/>
          <w:bCs/>
          <w:sz w:val="24"/>
          <w:szCs w:val="24"/>
          <w:lang w:eastAsia="pt-BR"/>
        </w:rPr>
        <w:t>não se aplica aos processos em fase recursal, que seguirão seu curso regular.</w:t>
      </w:r>
    </w:p>
    <w:p w14:paraId="0F42BA3C" w14:textId="77777777" w:rsidR="00472FE5" w:rsidRPr="00EC5D04" w:rsidRDefault="00472FE5" w:rsidP="00472FE5">
      <w:pPr>
        <w:autoSpaceDN w:val="0"/>
        <w:spacing w:before="24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Art. 4</w:t>
      </w:r>
      <w:r w:rsidRPr="00EC5D04">
        <w:rPr>
          <w:rFonts w:ascii="Arial" w:hAnsi="Arial" w:cs="Arial"/>
          <w:b/>
          <w:bCs/>
          <w:sz w:val="24"/>
          <w:szCs w:val="24"/>
          <w:lang w:eastAsia="pt-BR"/>
        </w:rPr>
        <w:t>º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Esta Resolução entra em vigor na data de sua publicação.</w:t>
      </w:r>
    </w:p>
    <w:p w14:paraId="0DEF40F4" w14:textId="77777777" w:rsidR="00472FE5" w:rsidRPr="00F372B5" w:rsidRDefault="00472FE5" w:rsidP="00472FE5">
      <w:pPr>
        <w:autoSpaceDN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eastAsia="pt-BR"/>
        </w:rPr>
      </w:pPr>
    </w:p>
    <w:p w14:paraId="2E9B8A1D" w14:textId="77777777" w:rsidR="00472FE5" w:rsidRDefault="00472FE5" w:rsidP="00472FE5">
      <w:pPr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highlight w:val="yellow"/>
          <w:lang w:eastAsia="pt-BR"/>
        </w:rPr>
      </w:pPr>
    </w:p>
    <w:p w14:paraId="200E3A3A" w14:textId="77777777" w:rsidR="00472FE5" w:rsidRPr="00F372B5" w:rsidRDefault="00472FE5" w:rsidP="00472FE5">
      <w:pPr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  <w:r w:rsidRPr="00DF142C">
        <w:rPr>
          <w:rFonts w:ascii="Arial" w:hAnsi="Arial" w:cs="Arial"/>
          <w:sz w:val="24"/>
          <w:szCs w:val="24"/>
          <w:lang w:eastAsia="pt-BR"/>
        </w:rPr>
        <w:t xml:space="preserve">Curitiba, </w:t>
      </w:r>
      <w:r>
        <w:rPr>
          <w:rFonts w:ascii="Arial" w:hAnsi="Arial" w:cs="Arial"/>
          <w:sz w:val="24"/>
          <w:szCs w:val="24"/>
          <w:lang w:eastAsia="pt-BR"/>
        </w:rPr>
        <w:t>1º de outubro de 2015</w:t>
      </w:r>
      <w:r w:rsidRPr="00DF142C">
        <w:rPr>
          <w:rFonts w:ascii="Arial" w:hAnsi="Arial" w:cs="Arial"/>
          <w:sz w:val="24"/>
          <w:szCs w:val="24"/>
          <w:lang w:eastAsia="pt-BR"/>
        </w:rPr>
        <w:t>.</w:t>
      </w:r>
    </w:p>
    <w:p w14:paraId="5CDC85AE" w14:textId="77777777" w:rsidR="00472FE5" w:rsidRPr="00F372B5" w:rsidRDefault="00472FE5" w:rsidP="00472FE5">
      <w:pPr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13015069" w14:textId="77777777" w:rsidR="00472FE5" w:rsidRPr="00F372B5" w:rsidRDefault="00472FE5" w:rsidP="00472FE5">
      <w:pPr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34768AB6" w14:textId="77777777" w:rsidR="00472FE5" w:rsidRPr="00F372B5" w:rsidRDefault="00472FE5" w:rsidP="00472FE5">
      <w:pPr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F372B5">
        <w:rPr>
          <w:rFonts w:ascii="Arial" w:hAnsi="Arial" w:cs="Arial"/>
          <w:b/>
          <w:sz w:val="24"/>
          <w:szCs w:val="24"/>
          <w:lang w:eastAsia="pt-BR"/>
        </w:rPr>
        <w:t>IVAN LELIS BONILHA</w:t>
      </w:r>
    </w:p>
    <w:p w14:paraId="42B4354B" w14:textId="77777777" w:rsidR="00472FE5" w:rsidRPr="00F372B5" w:rsidRDefault="00472FE5" w:rsidP="00472FE5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t-BR"/>
        </w:rPr>
      </w:pPr>
      <w:r w:rsidRPr="00F372B5">
        <w:rPr>
          <w:rFonts w:ascii="Arial" w:hAnsi="Arial" w:cs="Arial"/>
          <w:sz w:val="24"/>
          <w:szCs w:val="24"/>
          <w:lang w:eastAsia="pt-BR"/>
        </w:rPr>
        <w:t>Presidente</w:t>
      </w:r>
    </w:p>
    <w:p w14:paraId="166D5B89" w14:textId="77777777" w:rsidR="00472FE5" w:rsidRDefault="00472FE5" w:rsidP="00472FE5"/>
    <w:p w14:paraId="5DA177A2" w14:textId="77777777" w:rsidR="00620093" w:rsidRDefault="00620093"/>
    <w:sectPr w:rsidR="00620093" w:rsidSect="00472FE5">
      <w:headerReference w:type="default" r:id="rId9"/>
      <w:footnotePr>
        <w:numFmt w:val="chicago"/>
      </w:footnotePr>
      <w:pgSz w:w="11906" w:h="16838"/>
      <w:pgMar w:top="141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D7741" w14:textId="77777777" w:rsidR="00B164F7" w:rsidRDefault="00B164F7" w:rsidP="00474FAB">
      <w:pPr>
        <w:spacing w:after="0" w:line="240" w:lineRule="auto"/>
      </w:pPr>
      <w:r>
        <w:separator/>
      </w:r>
    </w:p>
  </w:endnote>
  <w:endnote w:type="continuationSeparator" w:id="0">
    <w:p w14:paraId="677DB2E0" w14:textId="77777777" w:rsidR="00B164F7" w:rsidRDefault="00B164F7" w:rsidP="00474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F9888" w14:textId="77777777" w:rsidR="00B164F7" w:rsidRDefault="00B164F7" w:rsidP="00474FAB">
      <w:pPr>
        <w:spacing w:after="0" w:line="240" w:lineRule="auto"/>
      </w:pPr>
      <w:r>
        <w:separator/>
      </w:r>
    </w:p>
  </w:footnote>
  <w:footnote w:type="continuationSeparator" w:id="0">
    <w:p w14:paraId="3E755A51" w14:textId="77777777" w:rsidR="00B164F7" w:rsidRDefault="00B164F7" w:rsidP="00474FAB">
      <w:pPr>
        <w:spacing w:after="0" w:line="240" w:lineRule="auto"/>
      </w:pPr>
      <w:r>
        <w:continuationSeparator/>
      </w:r>
    </w:p>
  </w:footnote>
  <w:footnote w:id="1">
    <w:p w14:paraId="24086646" w14:textId="77777777" w:rsidR="00474FAB" w:rsidRPr="007240B8" w:rsidRDefault="00474FAB" w:rsidP="00474FAB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7240B8">
        <w:rPr>
          <w:rFonts w:ascii="Arial" w:hAnsi="Arial" w:cs="Arial"/>
          <w:b/>
        </w:rPr>
        <w:t>Notas da Biblioteca:</w:t>
      </w:r>
    </w:p>
    <w:p w14:paraId="71483F21" w14:textId="305BF7BD" w:rsidR="00474FAB" w:rsidRPr="000F1F02" w:rsidRDefault="00474FAB" w:rsidP="000F1F02">
      <w:pPr>
        <w:pStyle w:val="Textodenotaderodap"/>
        <w:numPr>
          <w:ilvl w:val="0"/>
          <w:numId w:val="4"/>
        </w:numPr>
        <w:ind w:left="426" w:hanging="284"/>
        <w:jc w:val="both"/>
        <w:rPr>
          <w:rFonts w:ascii="Arial" w:hAnsi="Arial" w:cs="Arial"/>
        </w:rPr>
      </w:pPr>
      <w:r w:rsidRPr="000F1F02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0E5A6B" w:rsidRPr="000F1F02">
          <w:rPr>
            <w:rStyle w:val="Hyperlink"/>
            <w:rFonts w:ascii="Arial" w:hAnsi="Arial" w:cs="Arial"/>
          </w:rPr>
          <w:t>Diário Eletrônico do Tribunal de Contas do Estado do Paraná, Curitiba, PR, n. 1233, 28 out. 2015, p. 18</w:t>
        </w:r>
      </w:hyperlink>
      <w:r w:rsidR="000E5A6B" w:rsidRPr="000F1F02">
        <w:rPr>
          <w:rFonts w:ascii="Arial" w:hAnsi="Arial" w:cs="Arial"/>
        </w:rPr>
        <w:t>.</w:t>
      </w:r>
    </w:p>
    <w:p w14:paraId="537586B1" w14:textId="77777777" w:rsidR="000F1F02" w:rsidRPr="000F1F02" w:rsidRDefault="000F1F02" w:rsidP="000F1F02">
      <w:pPr>
        <w:pStyle w:val="Textodenotaderodap"/>
        <w:numPr>
          <w:ilvl w:val="0"/>
          <w:numId w:val="4"/>
        </w:numPr>
        <w:ind w:left="426" w:hanging="284"/>
        <w:jc w:val="both"/>
        <w:rPr>
          <w:rFonts w:ascii="Arial" w:hAnsi="Arial" w:cs="Arial"/>
          <w:color w:val="545454"/>
        </w:rPr>
      </w:pPr>
      <w:r w:rsidRPr="000F1F02">
        <w:rPr>
          <w:rFonts w:ascii="Arial" w:hAnsi="Arial" w:cs="Arial"/>
          <w:b/>
          <w:bCs/>
        </w:rPr>
        <w:t>Altera</w:t>
      </w:r>
      <w:r w:rsidRPr="000F1F02">
        <w:rPr>
          <w:rFonts w:ascii="Arial" w:hAnsi="Arial" w:cs="Arial"/>
        </w:rPr>
        <w:t xml:space="preserve">: </w:t>
      </w:r>
      <w:hyperlink r:id="rId2" w:history="1">
        <w:r w:rsidRPr="000F1F02">
          <w:rPr>
            <w:rStyle w:val="Hyperlink"/>
            <w:rFonts w:ascii="Arial" w:hAnsi="Arial" w:cs="Arial"/>
          </w:rPr>
          <w:t>Resolução n. 1, de 24 de janeiro de 2006 - Regimento Interno</w:t>
        </w:r>
      </w:hyperlink>
      <w:r w:rsidRPr="000F1F02">
        <w:rPr>
          <w:rStyle w:val="Hyperlink"/>
          <w:rFonts w:ascii="Arial" w:hAnsi="Arial" w:cs="Arial"/>
        </w:rPr>
        <w:t xml:space="preserve"> (e alterações posteriores).</w:t>
      </w:r>
    </w:p>
    <w:p w14:paraId="63419FD9" w14:textId="5EBD0F1D" w:rsidR="00474FAB" w:rsidRPr="00E61126" w:rsidRDefault="000F1F02" w:rsidP="000F1F02">
      <w:pPr>
        <w:pStyle w:val="PargrafodaLista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0F1F02">
        <w:rPr>
          <w:rStyle w:val="Forte"/>
          <w:rFonts w:ascii="Arial" w:hAnsi="Arial" w:cs="Arial"/>
          <w:sz w:val="20"/>
          <w:szCs w:val="20"/>
        </w:rPr>
        <w:t xml:space="preserve">Ver </w:t>
      </w:r>
      <w:hyperlink r:id="rId3" w:history="1">
        <w:r w:rsidRPr="000F1F02">
          <w:rPr>
            <w:rStyle w:val="Hyperlink"/>
            <w:rFonts w:ascii="Arial" w:hAnsi="Arial" w:cs="Arial"/>
            <w:sz w:val="20"/>
            <w:szCs w:val="20"/>
          </w:rPr>
          <w:t>alterações posteriores</w:t>
        </w:r>
      </w:hyperlink>
      <w:r w:rsidRPr="000F1F02">
        <w:rPr>
          <w:rFonts w:ascii="Arial" w:hAnsi="Arial" w:cs="Arial"/>
          <w:b/>
          <w:bCs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7FB1F" w14:textId="4716942E" w:rsidR="00F372B5" w:rsidRPr="00F372B5" w:rsidRDefault="00472FE5" w:rsidP="00F372B5">
    <w:pPr>
      <w:tabs>
        <w:tab w:val="center" w:pos="4252"/>
        <w:tab w:val="right" w:pos="8504"/>
      </w:tabs>
      <w:autoSpaceDE w:val="0"/>
      <w:autoSpaceDN w:val="0"/>
      <w:spacing w:before="480" w:after="0" w:line="240" w:lineRule="auto"/>
      <w:ind w:left="1134"/>
      <w:rPr>
        <w:rFonts w:ascii="Arial" w:eastAsia="Times New Roman" w:hAnsi="Arial" w:cs="Arial"/>
        <w:b/>
        <w:sz w:val="30"/>
        <w:szCs w:val="30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C5D4FB6" wp14:editId="4477E846">
          <wp:simplePos x="0" y="0"/>
          <wp:positionH relativeFrom="column">
            <wp:posOffset>-3175</wp:posOffset>
          </wp:positionH>
          <wp:positionV relativeFrom="paragraph">
            <wp:posOffset>57785</wp:posOffset>
          </wp:positionV>
          <wp:extent cx="605790" cy="712470"/>
          <wp:effectExtent l="0" t="0" r="3810" b="0"/>
          <wp:wrapSquare wrapText="bothSides"/>
          <wp:docPr id="1" name="Imagem 1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64F7" w:rsidRPr="00F372B5">
      <w:rPr>
        <w:rFonts w:ascii="Arial" w:eastAsia="Times New Roman" w:hAnsi="Arial" w:cs="Arial"/>
        <w:b/>
        <w:sz w:val="30"/>
        <w:szCs w:val="30"/>
        <w:lang w:eastAsia="pt-BR"/>
      </w:rPr>
      <w:t xml:space="preserve"> TRIBUNAL DE CONTAS DO ESTADO DO PARANÁ</w:t>
    </w:r>
  </w:p>
  <w:p w14:paraId="6CF98D6E" w14:textId="77777777" w:rsidR="00F372B5" w:rsidRDefault="000F1F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4155"/>
    <w:multiLevelType w:val="hybridMultilevel"/>
    <w:tmpl w:val="E1D412E6"/>
    <w:lvl w:ilvl="0" w:tplc="7F02F7BC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95DE1"/>
    <w:multiLevelType w:val="hybridMultilevel"/>
    <w:tmpl w:val="174C1DDC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14935"/>
    <w:multiLevelType w:val="hybridMultilevel"/>
    <w:tmpl w:val="A09E7172"/>
    <w:lvl w:ilvl="0" w:tplc="AF98EE0C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621C4"/>
    <w:multiLevelType w:val="hybridMultilevel"/>
    <w:tmpl w:val="48B0F8A6"/>
    <w:lvl w:ilvl="0" w:tplc="A4B8BF7A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122011">
    <w:abstractNumId w:val="3"/>
  </w:num>
  <w:num w:numId="2" w16cid:durableId="1032342421">
    <w:abstractNumId w:val="0"/>
  </w:num>
  <w:num w:numId="3" w16cid:durableId="1279289350">
    <w:abstractNumId w:val="2"/>
  </w:num>
  <w:num w:numId="4" w16cid:durableId="973171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27"/>
    <w:rsid w:val="000E5A6B"/>
    <w:rsid w:val="000F1F02"/>
    <w:rsid w:val="003B6DD8"/>
    <w:rsid w:val="00472FE5"/>
    <w:rsid w:val="00474FAB"/>
    <w:rsid w:val="00620093"/>
    <w:rsid w:val="006E55CB"/>
    <w:rsid w:val="007240B8"/>
    <w:rsid w:val="00A411EF"/>
    <w:rsid w:val="00B164F7"/>
    <w:rsid w:val="00DC2227"/>
    <w:rsid w:val="00E6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0747A"/>
  <w15:chartTrackingRefBased/>
  <w15:docId w15:val="{29495A69-148A-4C42-886C-08C46E90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F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2F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2FE5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nhideWhenUsed/>
    <w:rsid w:val="00474FA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474FAB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74FAB"/>
    <w:rPr>
      <w:vertAlign w:val="superscript"/>
    </w:rPr>
  </w:style>
  <w:style w:type="character" w:styleId="Hyperlink">
    <w:name w:val="Hyperlink"/>
    <w:uiPriority w:val="99"/>
    <w:rsid w:val="00474FA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240B8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A411EF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0F1F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resolucao-n-1-de-24-de-janeiro-de-2006-regimento-interno/1403/area/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conteudo/resolucao-n-53-de-1%C2%BA-de-outubro-de-2015/277197/area/249" TargetMode="External"/><Relationship Id="rId2" Type="http://schemas.openxmlformats.org/officeDocument/2006/relationships/hyperlink" Target="https://www1.tce.pr.gov.br/conteudo/resolucao-n-1-de-24-de-janeiro-de-2006-regimento-interno/1403/area/10" TargetMode="External"/><Relationship Id="rId1" Type="http://schemas.openxmlformats.org/officeDocument/2006/relationships/hyperlink" Target="http://www1.tce.pr.gov.br/multimidia/2015/10/pdf/0028448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D5C89-6796-4E95-8FD8-AEE386D70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390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 Fonseca</dc:creator>
  <cp:keywords/>
  <dc:description/>
  <cp:lastModifiedBy>Yarusya Fonseca</cp:lastModifiedBy>
  <cp:revision>8</cp:revision>
  <dcterms:created xsi:type="dcterms:W3CDTF">2022-07-05T23:21:00Z</dcterms:created>
  <dcterms:modified xsi:type="dcterms:W3CDTF">2022-07-15T17:34:00Z</dcterms:modified>
</cp:coreProperties>
</file>