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EF1CD" w14:textId="238C2F94" w:rsidR="00803656" w:rsidRPr="00A422C7" w:rsidRDefault="00803656" w:rsidP="00E60DAD">
      <w:pPr>
        <w:pStyle w:val="Texto"/>
        <w:ind w:firstLine="0"/>
        <w:jc w:val="center"/>
        <w:rPr>
          <w:rFonts w:cs="Arial"/>
          <w:b/>
          <w:bCs/>
          <w:sz w:val="28"/>
          <w:szCs w:val="28"/>
        </w:rPr>
      </w:pPr>
      <w:r w:rsidRPr="00A422C7">
        <w:rPr>
          <w:rFonts w:cs="Arial"/>
          <w:b/>
          <w:bCs/>
          <w:sz w:val="28"/>
          <w:szCs w:val="28"/>
        </w:rPr>
        <w:t>RESOLUÇÃO</w:t>
      </w:r>
      <w:r w:rsidR="00E60DAD">
        <w:rPr>
          <w:rFonts w:cs="Arial"/>
          <w:b/>
          <w:bCs/>
          <w:sz w:val="28"/>
          <w:szCs w:val="28"/>
        </w:rPr>
        <w:t xml:space="preserve"> Nº </w:t>
      </w:r>
      <w:r w:rsidR="00DD2557">
        <w:rPr>
          <w:rFonts w:cs="Arial"/>
          <w:b/>
          <w:bCs/>
          <w:sz w:val="28"/>
          <w:szCs w:val="28"/>
        </w:rPr>
        <w:t>8</w:t>
      </w:r>
      <w:r w:rsidR="00E60DAD">
        <w:rPr>
          <w:rFonts w:cs="Arial"/>
          <w:b/>
          <w:bCs/>
          <w:sz w:val="28"/>
          <w:szCs w:val="28"/>
        </w:rPr>
        <w:t>0/2020</w:t>
      </w:r>
      <w:r w:rsidR="00FE5398">
        <w:rPr>
          <w:rStyle w:val="Refdenotaderodap"/>
          <w:rFonts w:cs="Arial"/>
          <w:b/>
          <w:bCs/>
          <w:sz w:val="28"/>
          <w:szCs w:val="28"/>
        </w:rPr>
        <w:footnoteReference w:id="2"/>
      </w:r>
    </w:p>
    <w:p w14:paraId="591F36FD" w14:textId="77777777" w:rsidR="00803656" w:rsidRPr="00366A7A" w:rsidRDefault="00803656" w:rsidP="00803656">
      <w:pPr>
        <w:pStyle w:val="Ementa"/>
        <w:spacing w:before="360" w:after="360"/>
        <w:ind w:left="4536"/>
        <w:rPr>
          <w:rFonts w:cs="Arial"/>
          <w:i/>
          <w:szCs w:val="22"/>
        </w:rPr>
      </w:pPr>
      <w:r w:rsidRPr="00366A7A">
        <w:rPr>
          <w:rFonts w:cs="Arial"/>
          <w:i/>
          <w:szCs w:val="22"/>
        </w:rPr>
        <w:t>Dispõe sobre</w:t>
      </w:r>
      <w:r w:rsidR="00A56C43" w:rsidRPr="00366A7A">
        <w:rPr>
          <w:rFonts w:cs="Arial"/>
          <w:i/>
          <w:szCs w:val="22"/>
        </w:rPr>
        <w:t xml:space="preserve"> os elementos técnicos constituintes do anteprojeto de engenharia.</w:t>
      </w:r>
    </w:p>
    <w:p w14:paraId="1D8D68F2" w14:textId="72A8E515" w:rsidR="00803656" w:rsidRPr="00A422C7" w:rsidRDefault="00803656" w:rsidP="00E60DAD">
      <w:pPr>
        <w:pStyle w:val="Texto"/>
        <w:ind w:firstLine="1134"/>
        <w:rPr>
          <w:rFonts w:cs="Arial"/>
          <w:sz w:val="24"/>
        </w:rPr>
      </w:pPr>
      <w:r w:rsidRPr="00366A7A">
        <w:rPr>
          <w:rFonts w:cs="Arial"/>
          <w:bCs/>
          <w:sz w:val="24"/>
        </w:rPr>
        <w:t>O</w:t>
      </w:r>
      <w:r w:rsidRPr="00A422C7">
        <w:rPr>
          <w:rFonts w:cs="Arial"/>
          <w:b/>
          <w:sz w:val="24"/>
        </w:rPr>
        <w:t xml:space="preserve"> TRIBUNAL DE CONTAS DO ESTADO DO PARANÁ</w:t>
      </w:r>
      <w:r w:rsidRPr="00A422C7">
        <w:rPr>
          <w:rFonts w:cs="Arial"/>
          <w:sz w:val="24"/>
        </w:rPr>
        <w:t xml:space="preserve">, no uso das atribuições contidas nos </w:t>
      </w:r>
      <w:proofErr w:type="spellStart"/>
      <w:r w:rsidRPr="00A422C7">
        <w:rPr>
          <w:rFonts w:cs="Arial"/>
          <w:sz w:val="24"/>
        </w:rPr>
        <w:t>arts</w:t>
      </w:r>
      <w:proofErr w:type="spellEnd"/>
      <w:r w:rsidRPr="00A422C7">
        <w:rPr>
          <w:rFonts w:cs="Arial"/>
          <w:sz w:val="24"/>
        </w:rPr>
        <w:t>. 2º, I, e 116, XII, e parágrafo único, da Lei Complementar n</w:t>
      </w:r>
      <w:r w:rsidR="008F7363" w:rsidRPr="00A422C7">
        <w:rPr>
          <w:rFonts w:cs="Arial"/>
          <w:sz w:val="24"/>
        </w:rPr>
        <w:t>.</w:t>
      </w:r>
      <w:r w:rsidRPr="00A422C7">
        <w:rPr>
          <w:rFonts w:cs="Arial"/>
          <w:sz w:val="24"/>
        </w:rPr>
        <w:t xml:space="preserve"> 113, de 15 de dezembro de 2005, e no art. 5º, XIII, do Regimento Interno, e com base no</w:t>
      </w:r>
      <w:r w:rsidR="00A56C43" w:rsidRPr="00A422C7">
        <w:rPr>
          <w:rFonts w:cs="Arial"/>
          <w:sz w:val="24"/>
        </w:rPr>
        <w:t xml:space="preserve"> </w:t>
      </w:r>
      <w:r w:rsidRPr="00A422C7">
        <w:rPr>
          <w:rFonts w:cs="Arial"/>
          <w:sz w:val="24"/>
        </w:rPr>
        <w:t xml:space="preserve">art. </w:t>
      </w:r>
      <w:r w:rsidR="00A56C43" w:rsidRPr="00A422C7">
        <w:rPr>
          <w:rFonts w:cs="Arial"/>
          <w:sz w:val="24"/>
        </w:rPr>
        <w:t xml:space="preserve">187, I, </w:t>
      </w:r>
      <w:r w:rsidRPr="00A422C7">
        <w:rPr>
          <w:rFonts w:cs="Arial"/>
          <w:sz w:val="24"/>
        </w:rPr>
        <w:t xml:space="preserve">c/c os </w:t>
      </w:r>
      <w:proofErr w:type="spellStart"/>
      <w:r w:rsidRPr="00A422C7">
        <w:rPr>
          <w:rFonts w:cs="Arial"/>
          <w:sz w:val="24"/>
        </w:rPr>
        <w:t>arts</w:t>
      </w:r>
      <w:proofErr w:type="spellEnd"/>
      <w:r w:rsidRPr="00A422C7">
        <w:rPr>
          <w:rFonts w:cs="Arial"/>
          <w:sz w:val="24"/>
        </w:rPr>
        <w:t xml:space="preserve">. 188 a 191, </w:t>
      </w:r>
      <w:r w:rsidR="00E60DAD">
        <w:rPr>
          <w:rFonts w:cs="Arial"/>
          <w:sz w:val="24"/>
        </w:rPr>
        <w:t xml:space="preserve">também </w:t>
      </w:r>
      <w:r w:rsidRPr="00A422C7">
        <w:rPr>
          <w:rFonts w:cs="Arial"/>
          <w:sz w:val="24"/>
        </w:rPr>
        <w:t>do Regimento Interno,</w:t>
      </w:r>
      <w:r w:rsidR="00B91290" w:rsidRPr="00A422C7">
        <w:rPr>
          <w:rFonts w:cs="Arial"/>
          <w:sz w:val="24"/>
        </w:rPr>
        <w:t xml:space="preserve"> </w:t>
      </w:r>
      <w:r w:rsidR="00B17AF7">
        <w:rPr>
          <w:rFonts w:cs="Arial"/>
          <w:sz w:val="24"/>
        </w:rPr>
        <w:t>e o</w:t>
      </w:r>
      <w:r w:rsidR="00E60DAD">
        <w:rPr>
          <w:rFonts w:cs="Arial"/>
          <w:sz w:val="24"/>
        </w:rPr>
        <w:t xml:space="preserve"> </w:t>
      </w:r>
      <w:hyperlink r:id="rId11" w:history="1">
        <w:r w:rsidR="00E60DAD" w:rsidRPr="007B2898">
          <w:rPr>
            <w:rStyle w:val="Hyperlink"/>
            <w:rFonts w:cs="Arial"/>
            <w:sz w:val="24"/>
          </w:rPr>
          <w:t>Acórdão nº 2.509/20 - Tribunal Pleno</w:t>
        </w:r>
      </w:hyperlink>
      <w:r w:rsidR="00E60DAD">
        <w:rPr>
          <w:rFonts w:cs="Arial"/>
          <w:sz w:val="24"/>
        </w:rPr>
        <w:t>, Processo nº 585619/17</w:t>
      </w:r>
      <w:r w:rsidR="00B17AF7">
        <w:rPr>
          <w:rFonts w:cs="Arial"/>
          <w:sz w:val="24"/>
        </w:rPr>
        <w:t>, e</w:t>
      </w:r>
    </w:p>
    <w:p w14:paraId="54FFC801" w14:textId="77777777" w:rsidR="00B91290" w:rsidRPr="00A422C7" w:rsidRDefault="00B91290" w:rsidP="00E60DAD">
      <w:pPr>
        <w:pStyle w:val="Texto"/>
        <w:ind w:firstLine="1134"/>
        <w:rPr>
          <w:rFonts w:cs="Arial"/>
          <w:sz w:val="24"/>
        </w:rPr>
      </w:pPr>
      <w:r w:rsidRPr="00A422C7">
        <w:rPr>
          <w:rFonts w:cs="Arial"/>
          <w:b/>
          <w:sz w:val="24"/>
        </w:rPr>
        <w:t>Considerando</w:t>
      </w:r>
      <w:r w:rsidRPr="00A422C7">
        <w:rPr>
          <w:rFonts w:cs="Arial"/>
          <w:sz w:val="24"/>
        </w:rPr>
        <w:t xml:space="preserve"> a necessidade de regulamentar o conteúdo dos anteprojetos de engenharia para obras e serviços de engenharia contratados ou em processo de licitação pelos órgãos e entidades jurisdicionadas a este Tribunal, objetivando o efetivo e regular exercício da sua atividade de controle externo,</w:t>
      </w:r>
    </w:p>
    <w:p w14:paraId="73A8C220" w14:textId="77777777" w:rsidR="00803656" w:rsidRPr="00A422C7" w:rsidRDefault="00803656" w:rsidP="00E60DAD">
      <w:pPr>
        <w:pStyle w:val="Texto"/>
        <w:spacing w:before="240" w:after="120"/>
        <w:ind w:firstLine="1134"/>
        <w:jc w:val="left"/>
        <w:rPr>
          <w:rFonts w:cs="Arial"/>
          <w:b/>
          <w:bCs/>
          <w:sz w:val="24"/>
        </w:rPr>
      </w:pPr>
      <w:r w:rsidRPr="00A422C7">
        <w:rPr>
          <w:rFonts w:cs="Arial"/>
          <w:b/>
          <w:bCs/>
          <w:sz w:val="24"/>
        </w:rPr>
        <w:t>RESOLVE</w:t>
      </w:r>
      <w:r w:rsidR="00E60DAD">
        <w:rPr>
          <w:rFonts w:cs="Arial"/>
          <w:b/>
          <w:bCs/>
          <w:sz w:val="24"/>
        </w:rPr>
        <w:t>:</w:t>
      </w:r>
    </w:p>
    <w:p w14:paraId="2C2C37D1" w14:textId="77777777" w:rsidR="00803656" w:rsidRPr="00A422C7" w:rsidRDefault="00803656" w:rsidP="00E60DAD">
      <w:pPr>
        <w:pStyle w:val="ArtigosOrdinais"/>
        <w:ind w:firstLine="1134"/>
        <w:rPr>
          <w:rFonts w:cs="Arial"/>
          <w:sz w:val="24"/>
        </w:rPr>
      </w:pPr>
      <w:r w:rsidRPr="00A422C7">
        <w:rPr>
          <w:rFonts w:cs="Arial"/>
          <w:b/>
          <w:sz w:val="24"/>
        </w:rPr>
        <w:t>Art.</w:t>
      </w:r>
      <w:r w:rsidR="00B91290" w:rsidRPr="00A422C7">
        <w:rPr>
          <w:rFonts w:cs="Arial"/>
          <w:b/>
          <w:sz w:val="24"/>
        </w:rPr>
        <w:t xml:space="preserve"> 1º</w:t>
      </w:r>
      <w:r w:rsidRPr="00A422C7">
        <w:rPr>
          <w:rFonts w:cs="Arial"/>
          <w:sz w:val="24"/>
        </w:rPr>
        <w:t xml:space="preserve"> </w:t>
      </w:r>
      <w:r w:rsidR="001C17B8" w:rsidRPr="00A422C7">
        <w:rPr>
          <w:rFonts w:cs="Arial"/>
          <w:sz w:val="24"/>
        </w:rPr>
        <w:t>Esta R</w:t>
      </w:r>
      <w:r w:rsidR="00B91290" w:rsidRPr="00A422C7">
        <w:rPr>
          <w:rFonts w:cs="Arial"/>
          <w:sz w:val="24"/>
        </w:rPr>
        <w:t xml:space="preserve">esolução </w:t>
      </w:r>
      <w:r w:rsidR="001C17B8" w:rsidRPr="00A422C7">
        <w:rPr>
          <w:rFonts w:cs="Arial"/>
          <w:sz w:val="24"/>
        </w:rPr>
        <w:t>se aplica</w:t>
      </w:r>
      <w:r w:rsidR="00B91290" w:rsidRPr="00A422C7">
        <w:rPr>
          <w:rFonts w:cs="Arial"/>
          <w:sz w:val="24"/>
        </w:rPr>
        <w:t xml:space="preserve"> aos órgãos da Administração Direta e Indireta do Poder Executivo Estadual, dos Poderes Legislativo e Judiciário, do Ministério Público do Estado do Paraná, da Administração Direta e Indireta do Poder Executivo dos municípios do Estado do Paraná, do Poder Legislativo dos municípios do Estado do Paraná, aos consórcios intermunicipais e às pessoas de direito privado que receberem transferências voluntárias do Estado e dos Municípios.</w:t>
      </w:r>
    </w:p>
    <w:p w14:paraId="37661FDF" w14:textId="77777777" w:rsidR="00373660" w:rsidRPr="00A422C7" w:rsidRDefault="00373660" w:rsidP="00E60DAD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A422C7">
        <w:rPr>
          <w:rFonts w:ascii="Arial" w:hAnsi="Arial" w:cs="Arial"/>
          <w:b/>
          <w:bCs/>
        </w:rPr>
        <w:t xml:space="preserve">Art. 2º </w:t>
      </w:r>
      <w:r w:rsidRPr="00A422C7">
        <w:rPr>
          <w:rFonts w:ascii="Arial" w:hAnsi="Arial" w:cs="Arial"/>
        </w:rPr>
        <w:t>Fica estabelecida a relação dos documentos técnicos mínimos que constituem o anteprojeto de engenharia para obras e serviços de engenharia executados ou contratados pelos órgãos e entidades referidos no artigo 1º desta Resolução.</w:t>
      </w:r>
    </w:p>
    <w:p w14:paraId="63E18AC5" w14:textId="77777777" w:rsidR="00E77FDE" w:rsidRPr="00A422C7" w:rsidRDefault="00E77FDE" w:rsidP="00E60DAD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A422C7">
        <w:rPr>
          <w:rFonts w:ascii="Arial" w:hAnsi="Arial" w:cs="Arial"/>
          <w:b/>
          <w:bCs/>
        </w:rPr>
        <w:t xml:space="preserve">Art. </w:t>
      </w:r>
      <w:r w:rsidR="0009370E" w:rsidRPr="00A422C7">
        <w:rPr>
          <w:rFonts w:ascii="Arial" w:hAnsi="Arial" w:cs="Arial"/>
          <w:b/>
          <w:bCs/>
        </w:rPr>
        <w:t>3</w:t>
      </w:r>
      <w:r w:rsidRPr="00A422C7">
        <w:rPr>
          <w:rFonts w:ascii="Arial" w:hAnsi="Arial" w:cs="Arial"/>
          <w:b/>
          <w:bCs/>
        </w:rPr>
        <w:t xml:space="preserve">º </w:t>
      </w:r>
      <w:r w:rsidRPr="00A422C7">
        <w:rPr>
          <w:rFonts w:ascii="Arial" w:hAnsi="Arial" w:cs="Arial"/>
        </w:rPr>
        <w:t xml:space="preserve">Os órgãos e entidades indicados no artigo 1º deverão, em caso de </w:t>
      </w:r>
      <w:r w:rsidR="000F0DC6" w:rsidRPr="00A422C7">
        <w:rPr>
          <w:rFonts w:ascii="Arial" w:hAnsi="Arial" w:cs="Arial"/>
        </w:rPr>
        <w:t>utilização ou de elaboração</w:t>
      </w:r>
      <w:r w:rsidRPr="00A422C7">
        <w:rPr>
          <w:rFonts w:ascii="Arial" w:hAnsi="Arial" w:cs="Arial"/>
        </w:rPr>
        <w:t xml:space="preserve"> de anteprojeto de engenharia, manter em seu sistema de controle interno, de forma organizada, o conjunto de documentos técnicos especificados na presente Resolução de forma a possibilitar a análise da coerência e da completitude das informações sobre as obras e s</w:t>
      </w:r>
      <w:r w:rsidR="000F0DC6" w:rsidRPr="00A422C7">
        <w:rPr>
          <w:rFonts w:ascii="Arial" w:hAnsi="Arial" w:cs="Arial"/>
        </w:rPr>
        <w:t>erviços de engenharia contratado</w:t>
      </w:r>
      <w:r w:rsidRPr="00A422C7">
        <w:rPr>
          <w:rFonts w:ascii="Arial" w:hAnsi="Arial" w:cs="Arial"/>
        </w:rPr>
        <w:t>s ou em processo de licitação, bem como racionalizar as atividades de fiscalização deste Tribunal no seu regular exercício do controle externo.</w:t>
      </w:r>
    </w:p>
    <w:p w14:paraId="5E95A2D2" w14:textId="77777777" w:rsidR="00E77FDE" w:rsidRPr="00A422C7" w:rsidRDefault="001C17B8" w:rsidP="00E60DAD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A422C7">
        <w:rPr>
          <w:rFonts w:ascii="Arial" w:hAnsi="Arial" w:cs="Arial"/>
          <w:b/>
          <w:bCs/>
        </w:rPr>
        <w:t xml:space="preserve">Art. </w:t>
      </w:r>
      <w:r w:rsidR="0009370E" w:rsidRPr="00A422C7">
        <w:rPr>
          <w:rFonts w:ascii="Arial" w:hAnsi="Arial" w:cs="Arial"/>
          <w:b/>
          <w:bCs/>
        </w:rPr>
        <w:t>4</w:t>
      </w:r>
      <w:r w:rsidRPr="00A422C7">
        <w:rPr>
          <w:rFonts w:ascii="Arial" w:hAnsi="Arial" w:cs="Arial"/>
          <w:b/>
          <w:bCs/>
        </w:rPr>
        <w:t xml:space="preserve">º </w:t>
      </w:r>
      <w:r w:rsidR="00E77FDE" w:rsidRPr="00A422C7">
        <w:rPr>
          <w:rFonts w:ascii="Arial" w:hAnsi="Arial" w:cs="Arial"/>
        </w:rPr>
        <w:t>T</w:t>
      </w:r>
      <w:r w:rsidRPr="00A422C7">
        <w:rPr>
          <w:rFonts w:ascii="Arial" w:hAnsi="Arial" w:cs="Arial"/>
        </w:rPr>
        <w:t xml:space="preserve">odas as obras </w:t>
      </w:r>
      <w:r w:rsidR="00E77FDE" w:rsidRPr="00A422C7">
        <w:rPr>
          <w:rFonts w:ascii="Arial" w:hAnsi="Arial" w:cs="Arial"/>
        </w:rPr>
        <w:t xml:space="preserve">públicas em que ocorra utilização de anteprojeto de </w:t>
      </w:r>
      <w:r w:rsidRPr="00A422C7">
        <w:rPr>
          <w:rFonts w:ascii="Arial" w:hAnsi="Arial" w:cs="Arial"/>
        </w:rPr>
        <w:t>engenharia deverão possuir</w:t>
      </w:r>
      <w:r w:rsidR="00E77FDE" w:rsidRPr="00A422C7">
        <w:rPr>
          <w:rFonts w:ascii="Arial" w:hAnsi="Arial" w:cs="Arial"/>
        </w:rPr>
        <w:t xml:space="preserve"> o conjunto de elementos técnicos </w:t>
      </w:r>
      <w:r w:rsidRPr="00A422C7">
        <w:rPr>
          <w:rFonts w:ascii="Arial" w:hAnsi="Arial" w:cs="Arial"/>
        </w:rPr>
        <w:t>conforme</w:t>
      </w:r>
      <w:r w:rsidR="00E77FDE" w:rsidRPr="00A422C7">
        <w:rPr>
          <w:rFonts w:ascii="Arial" w:hAnsi="Arial" w:cs="Arial"/>
        </w:rPr>
        <w:t xml:space="preserve"> a Orientação Técnica OT-IBR 006</w:t>
      </w:r>
      <w:r w:rsidRPr="00A422C7">
        <w:rPr>
          <w:rFonts w:ascii="Arial" w:hAnsi="Arial" w:cs="Arial"/>
        </w:rPr>
        <w:t>/20</w:t>
      </w:r>
      <w:r w:rsidR="007E1BB3" w:rsidRPr="00A422C7">
        <w:rPr>
          <w:rFonts w:ascii="Arial" w:hAnsi="Arial" w:cs="Arial"/>
        </w:rPr>
        <w:t>1</w:t>
      </w:r>
      <w:r w:rsidRPr="00A422C7">
        <w:rPr>
          <w:rFonts w:ascii="Arial" w:hAnsi="Arial" w:cs="Arial"/>
        </w:rPr>
        <w:t xml:space="preserve">6 do Instituto Brasileiro de </w:t>
      </w:r>
      <w:r w:rsidRPr="00A422C7">
        <w:rPr>
          <w:rFonts w:ascii="Arial" w:hAnsi="Arial" w:cs="Arial"/>
        </w:rPr>
        <w:lastRenderedPageBreak/>
        <w:t>Auditoria de</w:t>
      </w:r>
      <w:r w:rsidR="00E77FDE" w:rsidRPr="00A422C7">
        <w:rPr>
          <w:rFonts w:ascii="Arial" w:hAnsi="Arial" w:cs="Arial"/>
        </w:rPr>
        <w:t xml:space="preserve"> </w:t>
      </w:r>
      <w:r w:rsidRPr="00A422C7">
        <w:rPr>
          <w:rFonts w:ascii="Arial" w:hAnsi="Arial" w:cs="Arial"/>
        </w:rPr>
        <w:t>Obras Públicas - IBRAOP</w:t>
      </w:r>
      <w:r w:rsidR="00E77FDE" w:rsidRPr="00A422C7">
        <w:rPr>
          <w:rFonts w:ascii="Arial" w:hAnsi="Arial" w:cs="Arial"/>
        </w:rPr>
        <w:t xml:space="preserve">, cujas planilhas </w:t>
      </w:r>
      <w:r w:rsidR="008F7363" w:rsidRPr="00A422C7">
        <w:rPr>
          <w:rFonts w:ascii="Arial" w:hAnsi="Arial" w:cs="Arial"/>
        </w:rPr>
        <w:t>estão</w:t>
      </w:r>
      <w:r w:rsidR="00E77FDE" w:rsidRPr="00A422C7">
        <w:rPr>
          <w:rFonts w:ascii="Arial" w:hAnsi="Arial" w:cs="Arial"/>
        </w:rPr>
        <w:t xml:space="preserve"> resumidas em </w:t>
      </w:r>
      <w:r w:rsidR="0004274D" w:rsidRPr="00A422C7">
        <w:rPr>
          <w:rFonts w:ascii="Arial" w:hAnsi="Arial" w:cs="Arial"/>
        </w:rPr>
        <w:t xml:space="preserve">extrato </w:t>
      </w:r>
      <w:r w:rsidR="00E77FDE" w:rsidRPr="00A422C7">
        <w:rPr>
          <w:rFonts w:ascii="Arial" w:hAnsi="Arial" w:cs="Arial"/>
        </w:rPr>
        <w:t xml:space="preserve">anexo. </w:t>
      </w:r>
    </w:p>
    <w:p w14:paraId="2D944AC6" w14:textId="77777777" w:rsidR="00E77FDE" w:rsidRPr="00A422C7" w:rsidRDefault="00E77FDE" w:rsidP="00E60DAD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A422C7">
        <w:rPr>
          <w:rFonts w:ascii="Arial" w:hAnsi="Arial" w:cs="Arial"/>
          <w:b/>
          <w:bCs/>
        </w:rPr>
        <w:t xml:space="preserve">Art. </w:t>
      </w:r>
      <w:r w:rsidR="008F7363" w:rsidRPr="00A422C7">
        <w:rPr>
          <w:rFonts w:ascii="Arial" w:hAnsi="Arial" w:cs="Arial"/>
          <w:b/>
          <w:bCs/>
        </w:rPr>
        <w:t>5</w:t>
      </w:r>
      <w:r w:rsidRPr="00A422C7">
        <w:rPr>
          <w:rFonts w:ascii="Arial" w:hAnsi="Arial" w:cs="Arial"/>
          <w:b/>
          <w:bCs/>
        </w:rPr>
        <w:t xml:space="preserve">º </w:t>
      </w:r>
      <w:r w:rsidRPr="00A422C7">
        <w:rPr>
          <w:rFonts w:ascii="Arial" w:hAnsi="Arial" w:cs="Arial"/>
        </w:rPr>
        <w:t>O descumprimento das normas desta Resolução acarretará as sanções previstas na Lei Complementar n</w:t>
      </w:r>
      <w:r w:rsidR="008F7363" w:rsidRPr="00A422C7">
        <w:rPr>
          <w:rFonts w:ascii="Arial" w:hAnsi="Arial" w:cs="Arial"/>
        </w:rPr>
        <w:t>.</w:t>
      </w:r>
      <w:r w:rsidRPr="00A422C7">
        <w:rPr>
          <w:rFonts w:ascii="Arial" w:hAnsi="Arial" w:cs="Arial"/>
        </w:rPr>
        <w:t xml:space="preserve"> 113/2005 e nos demais diplomas legislativos pertinentes. </w:t>
      </w:r>
    </w:p>
    <w:p w14:paraId="2D056AC4" w14:textId="19E3479C" w:rsidR="008F7363" w:rsidRDefault="00E77FDE" w:rsidP="00E60DAD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A422C7">
        <w:rPr>
          <w:rFonts w:ascii="Arial" w:hAnsi="Arial" w:cs="Arial"/>
          <w:b/>
          <w:bCs/>
        </w:rPr>
        <w:t xml:space="preserve">Art. </w:t>
      </w:r>
      <w:r w:rsidR="008F7363" w:rsidRPr="00A422C7">
        <w:rPr>
          <w:rFonts w:ascii="Arial" w:hAnsi="Arial" w:cs="Arial"/>
          <w:b/>
          <w:bCs/>
        </w:rPr>
        <w:t>6</w:t>
      </w:r>
      <w:r w:rsidRPr="00A422C7">
        <w:rPr>
          <w:rFonts w:ascii="Arial" w:hAnsi="Arial" w:cs="Arial"/>
          <w:b/>
          <w:bCs/>
        </w:rPr>
        <w:t xml:space="preserve">º </w:t>
      </w:r>
      <w:r w:rsidRPr="00A422C7">
        <w:rPr>
          <w:rFonts w:ascii="Arial" w:hAnsi="Arial" w:cs="Arial"/>
        </w:rPr>
        <w:t>Esta Resolução entrará em vigor no prazo de 90 (noventa) dias, contado da data de sua publicação no</w:t>
      </w:r>
      <w:r w:rsidR="008F7363" w:rsidRPr="00A422C7">
        <w:rPr>
          <w:rFonts w:ascii="Arial" w:hAnsi="Arial" w:cs="Arial"/>
        </w:rPr>
        <w:t xml:space="preserve"> Diário Eletrônico do Tribunal de Contas do Estado do Paraná.</w:t>
      </w:r>
    </w:p>
    <w:p w14:paraId="43DDBD11" w14:textId="77777777" w:rsidR="00E60DAD" w:rsidRDefault="00E60DAD" w:rsidP="00DD2557">
      <w:pPr>
        <w:autoSpaceDE w:val="0"/>
        <w:autoSpaceDN w:val="0"/>
        <w:adjustRightInd w:val="0"/>
        <w:spacing w:before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Curitiba, 26 de outubro de 2020.</w:t>
      </w:r>
    </w:p>
    <w:p w14:paraId="2CAB032D" w14:textId="77777777" w:rsidR="00E60DAD" w:rsidRPr="00B12B89" w:rsidRDefault="00E60DAD" w:rsidP="00DD2557">
      <w:pPr>
        <w:spacing w:before="360"/>
        <w:jc w:val="center"/>
        <w:rPr>
          <w:rFonts w:ascii="Arial" w:hAnsi="Arial" w:cs="Arial"/>
          <w:color w:val="808080"/>
        </w:rPr>
      </w:pPr>
      <w:r w:rsidRPr="00B12B89">
        <w:rPr>
          <w:rFonts w:ascii="Arial" w:hAnsi="Arial" w:cs="Arial"/>
          <w:color w:val="808080"/>
        </w:rPr>
        <w:t>- documento assinado digitalmente -</w:t>
      </w:r>
    </w:p>
    <w:p w14:paraId="37A5B28F" w14:textId="77777777" w:rsidR="00E60DAD" w:rsidRPr="00B12B89" w:rsidRDefault="00E60DAD" w:rsidP="00E60DAD">
      <w:pPr>
        <w:spacing w:before="120"/>
        <w:jc w:val="center"/>
        <w:rPr>
          <w:rFonts w:ascii="Arial" w:hAnsi="Arial" w:cs="Arial"/>
          <w:b/>
        </w:rPr>
      </w:pPr>
      <w:bookmarkStart w:id="0" w:name="_Hlk536444639"/>
      <w:r w:rsidRPr="00B12B89">
        <w:rPr>
          <w:rFonts w:ascii="Arial" w:hAnsi="Arial" w:cs="Arial"/>
        </w:rPr>
        <w:t>Conselheiro</w:t>
      </w:r>
      <w:r w:rsidRPr="00B12B89">
        <w:rPr>
          <w:rFonts w:ascii="Arial" w:hAnsi="Arial" w:cs="Arial"/>
          <w:b/>
        </w:rPr>
        <w:t xml:space="preserve"> NESTOR BAPTISTA</w:t>
      </w:r>
      <w:bookmarkEnd w:id="0"/>
    </w:p>
    <w:p w14:paraId="6ABFF04A" w14:textId="77777777" w:rsidR="00E60DAD" w:rsidRPr="00B12B89" w:rsidRDefault="00E60DAD" w:rsidP="00E60DAD">
      <w:pPr>
        <w:jc w:val="center"/>
        <w:rPr>
          <w:rFonts w:ascii="Arial" w:hAnsi="Arial" w:cs="Arial"/>
        </w:rPr>
      </w:pPr>
      <w:r w:rsidRPr="00B12B89">
        <w:rPr>
          <w:rFonts w:ascii="Arial" w:hAnsi="Arial" w:cs="Arial"/>
        </w:rPr>
        <w:t>Presidente</w:t>
      </w:r>
    </w:p>
    <w:p w14:paraId="607226A4" w14:textId="77777777" w:rsidR="00E60DAD" w:rsidRPr="00A422C7" w:rsidRDefault="00E60DAD" w:rsidP="00E60DA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64140AA" w14:textId="77777777" w:rsidR="0004274D" w:rsidRPr="00A422C7" w:rsidRDefault="0004274D" w:rsidP="00B17AF7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A422C7">
        <w:rPr>
          <w:rFonts w:ascii="Arial" w:hAnsi="Arial" w:cs="Arial"/>
          <w:b/>
        </w:rPr>
        <w:br w:type="page"/>
      </w:r>
      <w:r w:rsidRPr="00A422C7">
        <w:rPr>
          <w:rFonts w:ascii="Arial" w:hAnsi="Arial" w:cs="Arial"/>
          <w:b/>
          <w:sz w:val="28"/>
          <w:szCs w:val="28"/>
        </w:rPr>
        <w:lastRenderedPageBreak/>
        <w:t>ANEXO</w:t>
      </w:r>
    </w:p>
    <w:p w14:paraId="605A807D" w14:textId="77777777" w:rsidR="0004274D" w:rsidRPr="00A422C7" w:rsidRDefault="0004274D" w:rsidP="00B17AF7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z w:val="28"/>
          <w:szCs w:val="28"/>
        </w:rPr>
      </w:pPr>
      <w:r w:rsidRPr="00A422C7">
        <w:rPr>
          <w:rFonts w:ascii="Arial" w:hAnsi="Arial" w:cs="Arial"/>
          <w:b/>
          <w:sz w:val="28"/>
          <w:szCs w:val="28"/>
        </w:rPr>
        <w:t xml:space="preserve">Extrato da ORIENTAÇÃO TÉCNICA </w:t>
      </w:r>
      <w:r w:rsidRPr="00A422C7">
        <w:rPr>
          <w:rFonts w:ascii="Arial" w:hAnsi="Arial" w:cs="Arial"/>
          <w:b/>
          <w:bCs/>
          <w:sz w:val="28"/>
          <w:szCs w:val="28"/>
        </w:rPr>
        <w:t>OT - IBR 006/2016</w:t>
      </w:r>
    </w:p>
    <w:p w14:paraId="0B00273C" w14:textId="77777777" w:rsidR="0004274D" w:rsidRPr="00A422C7" w:rsidRDefault="0004274D" w:rsidP="00B17AF7">
      <w:pPr>
        <w:spacing w:before="120"/>
        <w:jc w:val="center"/>
        <w:rPr>
          <w:rFonts w:ascii="Arial" w:hAnsi="Arial" w:cs="Arial"/>
        </w:rPr>
      </w:pPr>
      <w:r w:rsidRPr="00A422C7">
        <w:rPr>
          <w:rFonts w:ascii="Arial" w:hAnsi="Arial" w:cs="Arial"/>
          <w:b/>
          <w:bCs/>
          <w:sz w:val="28"/>
          <w:szCs w:val="28"/>
        </w:rPr>
        <w:t>ANTEPROJETO DE ENGENHARIA</w:t>
      </w:r>
    </w:p>
    <w:p w14:paraId="1FEDEAE3" w14:textId="77777777" w:rsidR="0004274D" w:rsidRPr="00A422C7" w:rsidRDefault="0004274D" w:rsidP="00B17AF7">
      <w:pPr>
        <w:spacing w:before="240"/>
        <w:jc w:val="both"/>
        <w:rPr>
          <w:rFonts w:ascii="Arial" w:hAnsi="Arial" w:cs="Arial"/>
        </w:rPr>
      </w:pPr>
      <w:r w:rsidRPr="00A422C7">
        <w:rPr>
          <w:rFonts w:ascii="Arial" w:hAnsi="Arial" w:cs="Arial"/>
        </w:rPr>
        <w:t>PREFÁCIO</w:t>
      </w:r>
    </w:p>
    <w:p w14:paraId="0558C1E3" w14:textId="77777777" w:rsidR="0004274D" w:rsidRPr="00A422C7" w:rsidRDefault="0004274D" w:rsidP="001E4F3E">
      <w:pPr>
        <w:spacing w:before="120"/>
        <w:jc w:val="both"/>
        <w:rPr>
          <w:rFonts w:ascii="Arial" w:hAnsi="Arial" w:cs="Arial"/>
        </w:rPr>
      </w:pPr>
      <w:r w:rsidRPr="00A422C7">
        <w:rPr>
          <w:rFonts w:ascii="Arial" w:hAnsi="Arial" w:cs="Arial"/>
        </w:rPr>
        <w:t>[...]</w:t>
      </w:r>
    </w:p>
    <w:p w14:paraId="3912D684" w14:textId="77777777" w:rsidR="0004274D" w:rsidRPr="00A422C7" w:rsidRDefault="0004274D" w:rsidP="001E4F3E">
      <w:pPr>
        <w:spacing w:before="120"/>
        <w:jc w:val="both"/>
        <w:rPr>
          <w:rFonts w:ascii="Arial" w:hAnsi="Arial" w:cs="Arial"/>
        </w:rPr>
      </w:pPr>
      <w:r w:rsidRPr="00A422C7">
        <w:rPr>
          <w:rFonts w:ascii="Arial" w:hAnsi="Arial" w:cs="Arial"/>
        </w:rPr>
        <w:t>Esta OT – IBR 006/2016 define anteprojeto de engenharia e seus elementos constituintes e foi elaborada com base em debates de âmbito nacional, por técnicos envolvidos diretamente com a auditoria de obras públicas.</w:t>
      </w:r>
    </w:p>
    <w:p w14:paraId="22BC5082" w14:textId="77777777" w:rsidR="0004274D" w:rsidRPr="00A422C7" w:rsidRDefault="0004274D" w:rsidP="00B17AF7">
      <w:pPr>
        <w:spacing w:before="240"/>
        <w:jc w:val="both"/>
        <w:rPr>
          <w:rFonts w:ascii="Arial" w:hAnsi="Arial" w:cs="Arial"/>
        </w:rPr>
      </w:pPr>
      <w:r w:rsidRPr="00A422C7">
        <w:rPr>
          <w:rFonts w:ascii="Arial" w:hAnsi="Arial" w:cs="Arial"/>
        </w:rPr>
        <w:t>1. OBJETIVOS</w:t>
      </w:r>
    </w:p>
    <w:p w14:paraId="2D695ACD" w14:textId="77777777" w:rsidR="0004274D" w:rsidRPr="00A422C7" w:rsidRDefault="0004274D" w:rsidP="0004274D">
      <w:pPr>
        <w:jc w:val="both"/>
        <w:rPr>
          <w:rFonts w:ascii="Arial" w:hAnsi="Arial" w:cs="Arial"/>
        </w:rPr>
      </w:pPr>
      <w:r w:rsidRPr="00A422C7">
        <w:rPr>
          <w:rFonts w:ascii="Arial" w:hAnsi="Arial" w:cs="Arial"/>
        </w:rPr>
        <w:t>Esta Orientação Técnica visa uniformizar o entendimento quanto ao conceito de anteprojeto de engenharia e aos parâmetros necessários quando de sua utilização na contratação de obras públicas.</w:t>
      </w:r>
    </w:p>
    <w:p w14:paraId="3DCD4091" w14:textId="77777777" w:rsidR="0004274D" w:rsidRPr="00A422C7" w:rsidRDefault="0004274D" w:rsidP="00B17AF7">
      <w:pPr>
        <w:spacing w:before="120"/>
        <w:jc w:val="both"/>
        <w:rPr>
          <w:rFonts w:ascii="Arial" w:hAnsi="Arial" w:cs="Arial"/>
        </w:rPr>
      </w:pPr>
      <w:r w:rsidRPr="00A422C7">
        <w:rPr>
          <w:rFonts w:ascii="Arial" w:hAnsi="Arial" w:cs="Arial"/>
        </w:rPr>
        <w:t>[...]</w:t>
      </w:r>
    </w:p>
    <w:p w14:paraId="0632C934" w14:textId="77777777" w:rsidR="0004274D" w:rsidRPr="00A422C7" w:rsidRDefault="0004274D" w:rsidP="00B17AF7">
      <w:pPr>
        <w:spacing w:before="240"/>
        <w:jc w:val="both"/>
        <w:rPr>
          <w:rFonts w:ascii="Arial" w:hAnsi="Arial" w:cs="Arial"/>
        </w:rPr>
      </w:pPr>
      <w:r w:rsidRPr="00A422C7">
        <w:rPr>
          <w:rFonts w:ascii="Arial" w:hAnsi="Arial" w:cs="Arial"/>
        </w:rPr>
        <w:t>4. DEFINIÇÃO DE ANTEPROJETO DE ENGENHARIA</w:t>
      </w:r>
    </w:p>
    <w:p w14:paraId="655D9127" w14:textId="77777777" w:rsidR="0004274D" w:rsidRPr="00A422C7" w:rsidRDefault="0004274D" w:rsidP="0004274D">
      <w:pPr>
        <w:jc w:val="both"/>
        <w:rPr>
          <w:rFonts w:ascii="Arial" w:hAnsi="Arial" w:cs="Arial"/>
        </w:rPr>
      </w:pPr>
      <w:r w:rsidRPr="00A422C7">
        <w:rPr>
          <w:rFonts w:ascii="Arial" w:hAnsi="Arial" w:cs="Arial"/>
        </w:rPr>
        <w:t>Anteprojeto de engenharia é a representação técnica da opção aprovada em estudos anteriores, para subsidiar a elaboração do Projeto Básico, apresentado em desenhos em número, escala e detalhes suficientes para a compreensão da obra planejada, contemplando especificações técnicas, memorial descritivo e orçamento estimativo, e deve ser elaborado como parte da sequência lógica das etapas que compõem o desenvolvimento de uma obra, precedido obrigatoriamente de estudos preliminares, programa de necessidades e estudo de viabilidade.</w:t>
      </w:r>
    </w:p>
    <w:p w14:paraId="51966706" w14:textId="77777777" w:rsidR="006F626B" w:rsidRPr="00A422C7" w:rsidRDefault="006F626B" w:rsidP="00B17AF7">
      <w:pPr>
        <w:spacing w:before="120"/>
        <w:jc w:val="both"/>
        <w:rPr>
          <w:rFonts w:ascii="Arial" w:hAnsi="Arial" w:cs="Arial"/>
        </w:rPr>
      </w:pPr>
      <w:r w:rsidRPr="00A422C7">
        <w:rPr>
          <w:rFonts w:ascii="Arial" w:hAnsi="Arial" w:cs="Arial"/>
        </w:rPr>
        <w:t>[...]</w:t>
      </w:r>
    </w:p>
    <w:p w14:paraId="11FB3390" w14:textId="77777777" w:rsidR="006F626B" w:rsidRPr="00A422C7" w:rsidRDefault="006F626B" w:rsidP="00B17AF7">
      <w:pPr>
        <w:spacing w:before="240"/>
        <w:jc w:val="both"/>
        <w:rPr>
          <w:rFonts w:ascii="Arial" w:hAnsi="Arial" w:cs="Arial"/>
        </w:rPr>
      </w:pPr>
      <w:r w:rsidRPr="00A422C7">
        <w:rPr>
          <w:rFonts w:ascii="Arial" w:hAnsi="Arial" w:cs="Arial"/>
        </w:rPr>
        <w:t>6. ELEMENTOS TÉCNICOS POR TIPO DE OBRA</w:t>
      </w:r>
    </w:p>
    <w:p w14:paraId="6CF5E1BE" w14:textId="77777777" w:rsidR="006F626B" w:rsidRPr="00A422C7" w:rsidRDefault="006F626B" w:rsidP="006F626B">
      <w:pPr>
        <w:jc w:val="both"/>
        <w:rPr>
          <w:rFonts w:ascii="Arial" w:hAnsi="Arial" w:cs="Arial"/>
        </w:rPr>
      </w:pPr>
      <w:r w:rsidRPr="00A422C7">
        <w:rPr>
          <w:rFonts w:ascii="Arial" w:hAnsi="Arial" w:cs="Arial"/>
        </w:rPr>
        <w:t>A seguir são listados elementos técnicos mínimos que devem compor o anteprojeto de engenharia para tipos de obras mais comuns, não esgotando ou limitando eventuais exigências de outros órgãos.</w:t>
      </w:r>
    </w:p>
    <w:p w14:paraId="2FE22C56" w14:textId="77777777" w:rsidR="006F626B" w:rsidRPr="00A422C7" w:rsidRDefault="006F626B" w:rsidP="006F626B">
      <w:pPr>
        <w:jc w:val="both"/>
        <w:rPr>
          <w:rFonts w:ascii="Arial" w:hAnsi="Arial" w:cs="Arial"/>
        </w:rPr>
      </w:pPr>
      <w:r w:rsidRPr="00A422C7">
        <w:rPr>
          <w:rFonts w:ascii="Arial" w:hAnsi="Arial" w:cs="Arial"/>
        </w:rPr>
        <w:t>Outros elementos devem ser acrescidos conforme obrigações de meio que sejam impostas, tipo de obra e eventuais exigências da Administração aplicáveis.</w:t>
      </w:r>
    </w:p>
    <w:p w14:paraId="12CBB1E4" w14:textId="77777777" w:rsidR="0004274D" w:rsidRPr="00A422C7" w:rsidRDefault="0004274D" w:rsidP="0004274D">
      <w:pPr>
        <w:jc w:val="both"/>
        <w:rPr>
          <w:rFonts w:ascii="Arial" w:hAnsi="Arial" w:cs="Arial"/>
        </w:rPr>
      </w:pPr>
    </w:p>
    <w:p w14:paraId="2B7438B8" w14:textId="77777777" w:rsidR="00A422C7" w:rsidRPr="00261550" w:rsidRDefault="006F626B" w:rsidP="00C16A35">
      <w:pPr>
        <w:spacing w:before="120" w:after="120"/>
        <w:ind w:left="284"/>
        <w:jc w:val="both"/>
        <w:rPr>
          <w:rFonts w:ascii="Arial" w:hAnsi="Arial" w:cs="Arial"/>
          <w:b/>
          <w:bCs/>
          <w:lang w:val="en-US"/>
        </w:rPr>
      </w:pPr>
      <w:r w:rsidRPr="00A422C7">
        <w:rPr>
          <w:rFonts w:ascii="Arial" w:hAnsi="Arial" w:cs="Arial"/>
        </w:rPr>
        <w:br w:type="page"/>
      </w:r>
      <w:r w:rsidR="00A422C7" w:rsidRPr="00261550">
        <w:rPr>
          <w:rFonts w:ascii="Arial" w:hAnsi="Arial" w:cs="Arial"/>
          <w:b/>
          <w:bCs/>
          <w:lang w:val="en-US"/>
        </w:rPr>
        <w:lastRenderedPageBreak/>
        <w:t xml:space="preserve">6.1 - </w:t>
      </w:r>
      <w:proofErr w:type="spellStart"/>
      <w:r w:rsidR="00A422C7" w:rsidRPr="00261550">
        <w:rPr>
          <w:rFonts w:ascii="Arial" w:hAnsi="Arial" w:cs="Arial"/>
          <w:b/>
          <w:bCs/>
          <w:lang w:val="en-US"/>
        </w:rPr>
        <w:t>Edificação</w:t>
      </w:r>
      <w:proofErr w:type="spellEnd"/>
    </w:p>
    <w:tbl>
      <w:tblPr>
        <w:tblW w:w="9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1271"/>
        <w:gridCol w:w="6329"/>
      </w:tblGrid>
      <w:tr w:rsidR="00A422C7" w:rsidRPr="00CF766F" w14:paraId="5ACEA26D" w14:textId="77777777" w:rsidTr="00975774">
        <w:trPr>
          <w:jc w:val="center"/>
        </w:trPr>
        <w:tc>
          <w:tcPr>
            <w:tcW w:w="1507" w:type="dxa"/>
            <w:shd w:val="clear" w:color="auto" w:fill="auto"/>
          </w:tcPr>
          <w:p w14:paraId="24B0A9DC" w14:textId="77777777" w:rsidR="00A422C7" w:rsidRPr="00CF766F" w:rsidRDefault="00A422C7" w:rsidP="00975774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Especialidade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28712D8C" w14:textId="77777777" w:rsidR="00A422C7" w:rsidRPr="00CF766F" w:rsidRDefault="00A422C7" w:rsidP="00975774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Elemento</w:t>
            </w:r>
            <w:proofErr w:type="spellEnd"/>
          </w:p>
        </w:tc>
        <w:tc>
          <w:tcPr>
            <w:tcW w:w="6467" w:type="dxa"/>
            <w:shd w:val="clear" w:color="auto" w:fill="auto"/>
          </w:tcPr>
          <w:p w14:paraId="18ED186C" w14:textId="77777777" w:rsidR="00A422C7" w:rsidRPr="00CF766F" w:rsidRDefault="00A422C7" w:rsidP="00975774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Conteúdo</w:t>
            </w:r>
            <w:proofErr w:type="spellEnd"/>
          </w:p>
        </w:tc>
      </w:tr>
      <w:tr w:rsidR="00A422C7" w:rsidRPr="00CF766F" w14:paraId="4FB67E4A" w14:textId="77777777" w:rsidTr="00975774">
        <w:trPr>
          <w:jc w:val="center"/>
        </w:trPr>
        <w:tc>
          <w:tcPr>
            <w:tcW w:w="1507" w:type="dxa"/>
            <w:shd w:val="clear" w:color="auto" w:fill="auto"/>
          </w:tcPr>
          <w:p w14:paraId="443A1C78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Concepção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Geral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0462FE84" w14:textId="77777777" w:rsidR="00A422C7" w:rsidRPr="00CF766F" w:rsidRDefault="00A422C7" w:rsidP="0097577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Memorial</w:t>
            </w:r>
          </w:p>
        </w:tc>
        <w:tc>
          <w:tcPr>
            <w:tcW w:w="6467" w:type="dxa"/>
            <w:shd w:val="clear" w:color="auto" w:fill="auto"/>
          </w:tcPr>
          <w:p w14:paraId="64CAB60A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Memorial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Descritivo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da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Obra</w:t>
            </w:r>
            <w:proofErr w:type="spellEnd"/>
          </w:p>
        </w:tc>
      </w:tr>
      <w:tr w:rsidR="00A422C7" w:rsidRPr="00CF766F" w14:paraId="529D3482" w14:textId="77777777" w:rsidTr="00975774">
        <w:trPr>
          <w:jc w:val="center"/>
        </w:trPr>
        <w:tc>
          <w:tcPr>
            <w:tcW w:w="1507" w:type="dxa"/>
            <w:shd w:val="clear" w:color="auto" w:fill="auto"/>
          </w:tcPr>
          <w:p w14:paraId="2717C2DD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Topografia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559B53ED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Desenho</w:t>
            </w:r>
            <w:proofErr w:type="spellEnd"/>
          </w:p>
        </w:tc>
        <w:tc>
          <w:tcPr>
            <w:tcW w:w="6467" w:type="dxa"/>
            <w:shd w:val="clear" w:color="auto" w:fill="auto"/>
          </w:tcPr>
          <w:p w14:paraId="42EF9B6A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Levantamento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planialtimétrico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do </w:t>
            </w:r>
            <w:proofErr w:type="spellStart"/>
            <w:proofErr w:type="gram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terreno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;</w:t>
            </w:r>
            <w:proofErr w:type="gram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e</w:t>
            </w:r>
          </w:p>
          <w:p w14:paraId="7D2A160F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Levantamento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cadastral das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principais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interferências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tubulações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linhas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energia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, etc.).</w:t>
            </w:r>
          </w:p>
        </w:tc>
      </w:tr>
      <w:tr w:rsidR="00A422C7" w:rsidRPr="00CF766F" w14:paraId="29D1D782" w14:textId="77777777" w:rsidTr="00975774">
        <w:trPr>
          <w:trHeight w:val="225"/>
          <w:jc w:val="center"/>
        </w:trPr>
        <w:tc>
          <w:tcPr>
            <w:tcW w:w="1507" w:type="dxa"/>
            <w:vMerge w:val="restart"/>
            <w:shd w:val="clear" w:color="auto" w:fill="auto"/>
          </w:tcPr>
          <w:p w14:paraId="73F45131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Geotecnia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7EDBA934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Desenho</w:t>
            </w:r>
            <w:proofErr w:type="spellEnd"/>
          </w:p>
        </w:tc>
        <w:tc>
          <w:tcPr>
            <w:tcW w:w="6467" w:type="dxa"/>
            <w:shd w:val="clear" w:color="auto" w:fill="auto"/>
          </w:tcPr>
          <w:p w14:paraId="4BF71904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Locação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dos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furos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sondagem</w:t>
            </w:r>
            <w:proofErr w:type="spellEnd"/>
          </w:p>
          <w:p w14:paraId="6187824C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Desenhos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perfis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resultantes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das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sondagens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SPT; e</w:t>
            </w:r>
          </w:p>
          <w:p w14:paraId="269E8144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Desenhos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perfis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resultantes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eventuais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outras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sondagens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rotativa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, etc.).</w:t>
            </w:r>
          </w:p>
        </w:tc>
      </w:tr>
      <w:tr w:rsidR="00A422C7" w:rsidRPr="00CF766F" w14:paraId="6D4A1B28" w14:textId="77777777" w:rsidTr="00975774">
        <w:trPr>
          <w:trHeight w:val="225"/>
          <w:jc w:val="center"/>
        </w:trPr>
        <w:tc>
          <w:tcPr>
            <w:tcW w:w="1507" w:type="dxa"/>
            <w:vMerge/>
            <w:shd w:val="clear" w:color="auto" w:fill="auto"/>
          </w:tcPr>
          <w:p w14:paraId="72456CD7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6C6D7368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Memorial</w:t>
            </w:r>
          </w:p>
        </w:tc>
        <w:tc>
          <w:tcPr>
            <w:tcW w:w="6467" w:type="dxa"/>
            <w:shd w:val="clear" w:color="auto" w:fill="auto"/>
          </w:tcPr>
          <w:p w14:paraId="3DF14E00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Descrição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das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características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do solo,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estimativa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resistência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de solo superficial e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recomendação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tipo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fundação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A422C7" w:rsidRPr="00CF766F" w14:paraId="6AC86581" w14:textId="77777777" w:rsidTr="00975774">
        <w:trPr>
          <w:trHeight w:val="225"/>
          <w:jc w:val="center"/>
        </w:trPr>
        <w:tc>
          <w:tcPr>
            <w:tcW w:w="1507" w:type="dxa"/>
            <w:vMerge w:val="restart"/>
            <w:shd w:val="clear" w:color="auto" w:fill="auto"/>
          </w:tcPr>
          <w:p w14:paraId="4F00C078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Arquitetura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6AE4AE02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Desenho</w:t>
            </w:r>
            <w:proofErr w:type="spellEnd"/>
          </w:p>
        </w:tc>
        <w:tc>
          <w:tcPr>
            <w:tcW w:w="6467" w:type="dxa"/>
            <w:shd w:val="clear" w:color="auto" w:fill="auto"/>
          </w:tcPr>
          <w:p w14:paraId="61F46A93" w14:textId="77777777" w:rsidR="00A422C7" w:rsidRPr="00CF766F" w:rsidRDefault="00A422C7" w:rsidP="00975774">
            <w:pPr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Desenho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em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escala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com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cotas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principais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detalhes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aberturas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são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opcionais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) de:</w:t>
            </w:r>
          </w:p>
          <w:p w14:paraId="78A9804F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Planta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geral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implantação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localização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terreno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e da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obra</w:t>
            </w:r>
            <w:proofErr w:type="spellEnd"/>
            <w:proofErr w:type="gram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);</w:t>
            </w:r>
            <w:proofErr w:type="gramEnd"/>
          </w:p>
          <w:p w14:paraId="19AC6105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Planta dos </w:t>
            </w:r>
            <w:proofErr w:type="spellStart"/>
            <w:proofErr w:type="gram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pavimentos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;</w:t>
            </w:r>
            <w:proofErr w:type="gramEnd"/>
          </w:p>
          <w:p w14:paraId="0512BC49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Plantas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de </w:t>
            </w:r>
            <w:proofErr w:type="spellStart"/>
            <w:proofErr w:type="gram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coberturas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;</w:t>
            </w:r>
            <w:proofErr w:type="gramEnd"/>
          </w:p>
          <w:p w14:paraId="3ACDEA3A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Cortes (longitudinal e transversal); e </w:t>
            </w:r>
          </w:p>
          <w:p w14:paraId="089F8545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Elevações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fachadas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).</w:t>
            </w:r>
          </w:p>
        </w:tc>
      </w:tr>
      <w:tr w:rsidR="00A422C7" w:rsidRPr="00CF766F" w14:paraId="7FF9DB72" w14:textId="77777777" w:rsidTr="00975774">
        <w:trPr>
          <w:trHeight w:val="225"/>
          <w:jc w:val="center"/>
        </w:trPr>
        <w:tc>
          <w:tcPr>
            <w:tcW w:w="1507" w:type="dxa"/>
            <w:vMerge/>
            <w:shd w:val="clear" w:color="auto" w:fill="auto"/>
          </w:tcPr>
          <w:p w14:paraId="24EB03F8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67040F8B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Memorial</w:t>
            </w:r>
          </w:p>
        </w:tc>
        <w:tc>
          <w:tcPr>
            <w:tcW w:w="6467" w:type="dxa"/>
            <w:shd w:val="clear" w:color="auto" w:fill="auto"/>
          </w:tcPr>
          <w:p w14:paraId="21D52828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Descritivo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da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edificação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; e</w:t>
            </w:r>
          </w:p>
          <w:p w14:paraId="09724626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Materiais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construção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que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caracterizem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os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padrões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esperados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para </w:t>
            </w:r>
            <w:proofErr w:type="gram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proofErr w:type="gram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edificação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A422C7" w:rsidRPr="00CF766F" w14:paraId="39C4B25A" w14:textId="77777777" w:rsidTr="00975774">
        <w:trPr>
          <w:trHeight w:val="225"/>
          <w:jc w:val="center"/>
        </w:trPr>
        <w:tc>
          <w:tcPr>
            <w:tcW w:w="1507" w:type="dxa"/>
            <w:vMerge w:val="restart"/>
            <w:shd w:val="clear" w:color="auto" w:fill="auto"/>
          </w:tcPr>
          <w:p w14:paraId="2F6494BC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Terraplenagem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40AAAE90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Desenho</w:t>
            </w:r>
            <w:proofErr w:type="spellEnd"/>
          </w:p>
        </w:tc>
        <w:tc>
          <w:tcPr>
            <w:tcW w:w="6467" w:type="dxa"/>
            <w:shd w:val="clear" w:color="auto" w:fill="auto"/>
          </w:tcPr>
          <w:p w14:paraId="6EF7A1FA" w14:textId="77777777" w:rsidR="00A422C7" w:rsidRPr="00CF766F" w:rsidRDefault="00A422C7" w:rsidP="00975774">
            <w:pPr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Desenhos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em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escala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1:100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ou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maior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, com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cotas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principais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detalhes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são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opcionais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) de:</w:t>
            </w:r>
          </w:p>
          <w:p w14:paraId="2D0DE197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Planta de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terraplenagem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; e</w:t>
            </w:r>
          </w:p>
          <w:p w14:paraId="08943BBF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Cortes de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terraplenagem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A422C7" w:rsidRPr="00CF766F" w14:paraId="7A0859BD" w14:textId="77777777" w:rsidTr="00975774">
        <w:trPr>
          <w:trHeight w:val="225"/>
          <w:jc w:val="center"/>
        </w:trPr>
        <w:tc>
          <w:tcPr>
            <w:tcW w:w="1507" w:type="dxa"/>
            <w:vMerge/>
            <w:shd w:val="clear" w:color="auto" w:fill="auto"/>
          </w:tcPr>
          <w:p w14:paraId="49FB07BA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3E644D07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Memorial</w:t>
            </w:r>
          </w:p>
        </w:tc>
        <w:tc>
          <w:tcPr>
            <w:tcW w:w="6467" w:type="dxa"/>
            <w:shd w:val="clear" w:color="auto" w:fill="auto"/>
          </w:tcPr>
          <w:p w14:paraId="28EBD2F2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Descrição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da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solução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prevista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para a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terraplenagem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A422C7" w:rsidRPr="00CF766F" w14:paraId="2A22EF32" w14:textId="77777777" w:rsidTr="00975774">
        <w:trPr>
          <w:trHeight w:val="225"/>
          <w:jc w:val="center"/>
        </w:trPr>
        <w:tc>
          <w:tcPr>
            <w:tcW w:w="1507" w:type="dxa"/>
            <w:vMerge w:val="restart"/>
            <w:shd w:val="clear" w:color="auto" w:fill="auto"/>
          </w:tcPr>
          <w:p w14:paraId="2D67A0F8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Fundações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7B9726ED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Desenho</w:t>
            </w:r>
            <w:proofErr w:type="spellEnd"/>
          </w:p>
        </w:tc>
        <w:tc>
          <w:tcPr>
            <w:tcW w:w="6467" w:type="dxa"/>
            <w:shd w:val="clear" w:color="auto" w:fill="auto"/>
          </w:tcPr>
          <w:p w14:paraId="70BD5452" w14:textId="77777777" w:rsidR="00A422C7" w:rsidRPr="00CF766F" w:rsidRDefault="00A422C7" w:rsidP="00975774">
            <w:pPr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Desenhos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em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escala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1:50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ou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maior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, com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cotas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principais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detalhes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são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opcionais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) de:</w:t>
            </w:r>
          </w:p>
          <w:p w14:paraId="2A58C24E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Plantas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lançamento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preliminar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posição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dimensões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pré-dimensionadas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da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seção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transversal) de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elementos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da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fundação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sapatas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blocos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estacas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, etc.).</w:t>
            </w:r>
          </w:p>
        </w:tc>
      </w:tr>
      <w:tr w:rsidR="00A422C7" w:rsidRPr="00CF766F" w14:paraId="31CD431E" w14:textId="77777777" w:rsidTr="00975774">
        <w:trPr>
          <w:trHeight w:val="225"/>
          <w:jc w:val="center"/>
        </w:trPr>
        <w:tc>
          <w:tcPr>
            <w:tcW w:w="1507" w:type="dxa"/>
            <w:vMerge/>
            <w:shd w:val="clear" w:color="auto" w:fill="auto"/>
          </w:tcPr>
          <w:p w14:paraId="193F283C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26F73BD2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Memorial</w:t>
            </w:r>
          </w:p>
        </w:tc>
        <w:tc>
          <w:tcPr>
            <w:tcW w:w="6467" w:type="dxa"/>
            <w:shd w:val="clear" w:color="auto" w:fill="auto"/>
          </w:tcPr>
          <w:p w14:paraId="75BEBFB4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Descrição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da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solução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prevista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para a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fundação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A422C7" w:rsidRPr="00CF766F" w14:paraId="6FEBA17A" w14:textId="77777777" w:rsidTr="00975774">
        <w:trPr>
          <w:trHeight w:val="225"/>
          <w:jc w:val="center"/>
        </w:trPr>
        <w:tc>
          <w:tcPr>
            <w:tcW w:w="1507" w:type="dxa"/>
            <w:vMerge w:val="restart"/>
            <w:shd w:val="clear" w:color="auto" w:fill="auto"/>
          </w:tcPr>
          <w:p w14:paraId="2A94B0F0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Estrutura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2554B544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Desenho</w:t>
            </w:r>
            <w:proofErr w:type="spellEnd"/>
          </w:p>
        </w:tc>
        <w:tc>
          <w:tcPr>
            <w:tcW w:w="6467" w:type="dxa"/>
            <w:shd w:val="clear" w:color="auto" w:fill="auto"/>
          </w:tcPr>
          <w:p w14:paraId="3DBAAF85" w14:textId="77777777" w:rsidR="00A422C7" w:rsidRPr="00CF766F" w:rsidRDefault="00A422C7" w:rsidP="00975774">
            <w:pPr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Desenhos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em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escala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1:50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ou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maior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, com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cotas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principais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detalhes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são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opcionais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) de:</w:t>
            </w:r>
          </w:p>
          <w:p w14:paraId="3DEC5589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Plantas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lançamento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preliminar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posição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medidas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pré-dimensionadas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das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seções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transversais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) de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elementos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estruturais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dos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pavimentos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(vigas,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pilares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lajes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escadas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, etc.); e</w:t>
            </w:r>
          </w:p>
          <w:p w14:paraId="2E9A48E7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Corte de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lançamento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preliminar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elementos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estruturais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da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edificação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A422C7" w:rsidRPr="00CF766F" w14:paraId="6029A6A8" w14:textId="77777777" w:rsidTr="00975774">
        <w:trPr>
          <w:trHeight w:val="225"/>
          <w:jc w:val="center"/>
        </w:trPr>
        <w:tc>
          <w:tcPr>
            <w:tcW w:w="1507" w:type="dxa"/>
            <w:vMerge/>
            <w:shd w:val="clear" w:color="auto" w:fill="auto"/>
          </w:tcPr>
          <w:p w14:paraId="3D9EC42D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0ED8B9C2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Memorial</w:t>
            </w:r>
          </w:p>
        </w:tc>
        <w:tc>
          <w:tcPr>
            <w:tcW w:w="6467" w:type="dxa"/>
            <w:shd w:val="clear" w:color="auto" w:fill="auto"/>
          </w:tcPr>
          <w:p w14:paraId="2B5AFEED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Descrição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da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solução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prevista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para </w:t>
            </w:r>
            <w:proofErr w:type="gram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proofErr w:type="gram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estrutura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5CF28D75" w14:textId="77777777" w:rsidR="00A422C7" w:rsidRPr="00CF766F" w:rsidRDefault="00A422C7" w:rsidP="00975774">
            <w:pPr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422C7" w:rsidRPr="00CF766F" w14:paraId="1E891304" w14:textId="77777777" w:rsidTr="00975774">
        <w:trPr>
          <w:trHeight w:val="368"/>
          <w:jc w:val="center"/>
        </w:trPr>
        <w:tc>
          <w:tcPr>
            <w:tcW w:w="1507" w:type="dxa"/>
            <w:vMerge w:val="restart"/>
            <w:shd w:val="clear" w:color="auto" w:fill="auto"/>
          </w:tcPr>
          <w:p w14:paraId="38EB5D1D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Instalações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Hidrossanitárias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385FF275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Desenho</w:t>
            </w:r>
            <w:proofErr w:type="spellEnd"/>
          </w:p>
        </w:tc>
        <w:tc>
          <w:tcPr>
            <w:tcW w:w="6467" w:type="dxa"/>
            <w:shd w:val="clear" w:color="auto" w:fill="auto"/>
          </w:tcPr>
          <w:p w14:paraId="53E552F0" w14:textId="77777777" w:rsidR="00A422C7" w:rsidRPr="00CF766F" w:rsidRDefault="00A422C7" w:rsidP="00975774">
            <w:pPr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Desenho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em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escala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1:75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ou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maior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, com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cotas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principais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detalhes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são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opcionais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) de:</w:t>
            </w:r>
          </w:p>
          <w:p w14:paraId="1FAB9243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Locação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preliminar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em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planta, dos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pontos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elementos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hidrossanitários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;</w:t>
            </w:r>
            <w:proofErr w:type="gramEnd"/>
          </w:p>
          <w:p w14:paraId="1416DC59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Locação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preliminar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em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planta, de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reservatórios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bombas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e outros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dispositivos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relevantes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; e</w:t>
            </w:r>
          </w:p>
          <w:p w14:paraId="4C100B29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Locação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pretendida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para entrada de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água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saída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esgoto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e de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águas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pluviais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A422C7" w:rsidRPr="00CF766F" w14:paraId="3FBF257B" w14:textId="77777777" w:rsidTr="00975774">
        <w:trPr>
          <w:trHeight w:val="367"/>
          <w:jc w:val="center"/>
        </w:trPr>
        <w:tc>
          <w:tcPr>
            <w:tcW w:w="1507" w:type="dxa"/>
            <w:vMerge/>
            <w:shd w:val="clear" w:color="auto" w:fill="auto"/>
          </w:tcPr>
          <w:p w14:paraId="0BAB423E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44190A6E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Memorial</w:t>
            </w:r>
          </w:p>
        </w:tc>
        <w:tc>
          <w:tcPr>
            <w:tcW w:w="6467" w:type="dxa"/>
            <w:shd w:val="clear" w:color="auto" w:fill="auto"/>
          </w:tcPr>
          <w:p w14:paraId="0FB209DC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Descrição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das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características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principais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e as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demandas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da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instalação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pretendida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; e</w:t>
            </w:r>
          </w:p>
          <w:p w14:paraId="3C3105FA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Informações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quanto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à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qualidade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dos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materiais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empregados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situações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especificas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serem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consideradas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nas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instalações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hidráulicas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A422C7" w:rsidRPr="00CF766F" w14:paraId="69A08A58" w14:textId="77777777" w:rsidTr="00975774">
        <w:trPr>
          <w:trHeight w:val="368"/>
          <w:jc w:val="center"/>
        </w:trPr>
        <w:tc>
          <w:tcPr>
            <w:tcW w:w="1507" w:type="dxa"/>
            <w:vMerge w:val="restart"/>
            <w:shd w:val="clear" w:color="auto" w:fill="auto"/>
          </w:tcPr>
          <w:p w14:paraId="230DBB79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Instalações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Elétricas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60DDD7FD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Desenho</w:t>
            </w:r>
            <w:proofErr w:type="spellEnd"/>
          </w:p>
        </w:tc>
        <w:tc>
          <w:tcPr>
            <w:tcW w:w="6467" w:type="dxa"/>
            <w:shd w:val="clear" w:color="auto" w:fill="auto"/>
          </w:tcPr>
          <w:p w14:paraId="39B3E63E" w14:textId="77777777" w:rsidR="00A422C7" w:rsidRPr="00CF766F" w:rsidRDefault="00A422C7" w:rsidP="00975774">
            <w:pPr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Desenho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em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escala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1:75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ou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maior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, com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cotas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principais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detalhes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são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opcionais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) de:</w:t>
            </w:r>
          </w:p>
          <w:p w14:paraId="4594B07D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Locação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em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planta dos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pontos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elétricos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;</w:t>
            </w:r>
            <w:proofErr w:type="gramEnd"/>
          </w:p>
          <w:p w14:paraId="74438EB0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Locação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em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planta de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quadros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distribuição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medidores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transformadores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; e</w:t>
            </w:r>
          </w:p>
          <w:p w14:paraId="5EC5E9A0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Locação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em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planta da entrada de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energia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A422C7" w:rsidRPr="00CF766F" w14:paraId="0B4FF7F8" w14:textId="77777777" w:rsidTr="00975774">
        <w:trPr>
          <w:trHeight w:val="367"/>
          <w:jc w:val="center"/>
        </w:trPr>
        <w:tc>
          <w:tcPr>
            <w:tcW w:w="1507" w:type="dxa"/>
            <w:vMerge/>
            <w:shd w:val="clear" w:color="auto" w:fill="auto"/>
          </w:tcPr>
          <w:p w14:paraId="4EE84F66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413AD871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Memorial</w:t>
            </w:r>
          </w:p>
        </w:tc>
        <w:tc>
          <w:tcPr>
            <w:tcW w:w="6467" w:type="dxa"/>
            <w:shd w:val="clear" w:color="auto" w:fill="auto"/>
          </w:tcPr>
          <w:p w14:paraId="098E3F78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Descrição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da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demanda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pretendida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para as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instalações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elétricas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características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iluminação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demandas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de cargas para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todos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os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equipamentos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elétricos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; e </w:t>
            </w:r>
          </w:p>
          <w:p w14:paraId="31259EF5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Informações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quanto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à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qualidade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dos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materiais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empregados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situações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específicas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serem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consideradas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nas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instalações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elétricas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A422C7" w:rsidRPr="00CF766F" w14:paraId="53A0E5BB" w14:textId="77777777" w:rsidTr="00975774">
        <w:trPr>
          <w:trHeight w:val="368"/>
          <w:jc w:val="center"/>
        </w:trPr>
        <w:tc>
          <w:tcPr>
            <w:tcW w:w="1507" w:type="dxa"/>
            <w:vMerge w:val="restart"/>
            <w:shd w:val="clear" w:color="auto" w:fill="auto"/>
          </w:tcPr>
          <w:p w14:paraId="15E8AC34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Instalações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Telefônicas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1A2308D5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Desenho</w:t>
            </w:r>
            <w:proofErr w:type="spellEnd"/>
          </w:p>
        </w:tc>
        <w:tc>
          <w:tcPr>
            <w:tcW w:w="6467" w:type="dxa"/>
            <w:shd w:val="clear" w:color="auto" w:fill="auto"/>
          </w:tcPr>
          <w:p w14:paraId="4D1680DC" w14:textId="77777777" w:rsidR="00A422C7" w:rsidRPr="00CF766F" w:rsidRDefault="00A422C7" w:rsidP="00975774">
            <w:pPr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Desenho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em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escala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1:75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ou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maior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, com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cotas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principais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detalhes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são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opcionais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) de:</w:t>
            </w:r>
          </w:p>
          <w:p w14:paraId="735A5B93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Locação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em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planta dos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pontos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telefônicos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, inclusive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quadros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distribuição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; e </w:t>
            </w:r>
          </w:p>
          <w:p w14:paraId="6C780691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Locação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da entrada </w:t>
            </w:r>
            <w:proofErr w:type="gram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do</w:t>
            </w:r>
            <w:proofErr w:type="gram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serviço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da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telefonia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A422C7" w:rsidRPr="00CF766F" w14:paraId="0420A69C" w14:textId="77777777" w:rsidTr="00975774">
        <w:trPr>
          <w:trHeight w:val="367"/>
          <w:jc w:val="center"/>
        </w:trPr>
        <w:tc>
          <w:tcPr>
            <w:tcW w:w="1507" w:type="dxa"/>
            <w:vMerge/>
            <w:shd w:val="clear" w:color="auto" w:fill="auto"/>
          </w:tcPr>
          <w:p w14:paraId="5E9A16EA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586E02FF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Memorial</w:t>
            </w:r>
          </w:p>
        </w:tc>
        <w:tc>
          <w:tcPr>
            <w:tcW w:w="6467" w:type="dxa"/>
            <w:shd w:val="clear" w:color="auto" w:fill="auto"/>
          </w:tcPr>
          <w:p w14:paraId="0F75D15F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Descrição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da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demanda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pretendida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para as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instalações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telefônicas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; e</w:t>
            </w:r>
          </w:p>
          <w:p w14:paraId="35EDF018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Informações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quanto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à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qualidade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dos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materiais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empregados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situações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específicas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serem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consideradas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nas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instalações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telefônicas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A422C7" w:rsidRPr="00CF766F" w14:paraId="26FE153C" w14:textId="77777777" w:rsidTr="00975774">
        <w:trPr>
          <w:trHeight w:val="368"/>
          <w:jc w:val="center"/>
        </w:trPr>
        <w:tc>
          <w:tcPr>
            <w:tcW w:w="1507" w:type="dxa"/>
            <w:vMerge w:val="restart"/>
            <w:shd w:val="clear" w:color="auto" w:fill="auto"/>
          </w:tcPr>
          <w:p w14:paraId="73A452A2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Prevenção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Incêndio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02031840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Desenho</w:t>
            </w:r>
            <w:proofErr w:type="spellEnd"/>
          </w:p>
        </w:tc>
        <w:tc>
          <w:tcPr>
            <w:tcW w:w="6467" w:type="dxa"/>
            <w:shd w:val="clear" w:color="auto" w:fill="auto"/>
          </w:tcPr>
          <w:p w14:paraId="4BC60B6B" w14:textId="77777777" w:rsidR="00A422C7" w:rsidRPr="00CF766F" w:rsidRDefault="00A422C7" w:rsidP="00975774">
            <w:pPr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Desenho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em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escala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1:75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ou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maior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, com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cotas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principais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detalhes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são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opcionais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) de:</w:t>
            </w:r>
          </w:p>
          <w:p w14:paraId="07B0DC3F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Locação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em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planta dos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elementos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para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prevenção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incêndio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A422C7" w:rsidRPr="00CF766F" w14:paraId="4F518459" w14:textId="77777777" w:rsidTr="00975774">
        <w:trPr>
          <w:trHeight w:val="367"/>
          <w:jc w:val="center"/>
        </w:trPr>
        <w:tc>
          <w:tcPr>
            <w:tcW w:w="1507" w:type="dxa"/>
            <w:vMerge/>
            <w:shd w:val="clear" w:color="auto" w:fill="auto"/>
          </w:tcPr>
          <w:p w14:paraId="7C81690C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0BA7F1CA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Memorial</w:t>
            </w:r>
          </w:p>
        </w:tc>
        <w:tc>
          <w:tcPr>
            <w:tcW w:w="6467" w:type="dxa"/>
            <w:shd w:val="clear" w:color="auto" w:fill="auto"/>
          </w:tcPr>
          <w:p w14:paraId="44F392BF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Informações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quanto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à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qualidade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dos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materiais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empregados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situação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específicas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serem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consideradas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nas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instalações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prevenção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incêndio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A422C7" w:rsidRPr="00CF766F" w14:paraId="40C13B3A" w14:textId="77777777" w:rsidTr="00975774">
        <w:trPr>
          <w:trHeight w:val="225"/>
          <w:jc w:val="center"/>
        </w:trPr>
        <w:tc>
          <w:tcPr>
            <w:tcW w:w="1507" w:type="dxa"/>
            <w:vMerge w:val="restart"/>
            <w:shd w:val="clear" w:color="auto" w:fill="auto"/>
          </w:tcPr>
          <w:p w14:paraId="054F37CE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Climatização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4B1C9BC6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Desenho</w:t>
            </w:r>
            <w:proofErr w:type="spellEnd"/>
          </w:p>
        </w:tc>
        <w:tc>
          <w:tcPr>
            <w:tcW w:w="6467" w:type="dxa"/>
            <w:shd w:val="clear" w:color="auto" w:fill="auto"/>
          </w:tcPr>
          <w:p w14:paraId="2390CEC7" w14:textId="77777777" w:rsidR="00A422C7" w:rsidRPr="00CF766F" w:rsidRDefault="00A422C7" w:rsidP="00975774">
            <w:pPr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Desenho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em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escala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1:75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ou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maior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, com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cotas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principais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detalhes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são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opcionais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) de:</w:t>
            </w:r>
          </w:p>
          <w:p w14:paraId="05596597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Locação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em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planta dos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pontos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para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condicionamento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ar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, e </w:t>
            </w:r>
          </w:p>
          <w:p w14:paraId="519AF54C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Locação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equipamentos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unidades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condensadoras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evaporadoras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).</w:t>
            </w:r>
          </w:p>
        </w:tc>
      </w:tr>
      <w:tr w:rsidR="00A422C7" w:rsidRPr="00CF766F" w14:paraId="361BFC7E" w14:textId="77777777" w:rsidTr="00975774">
        <w:trPr>
          <w:trHeight w:val="225"/>
          <w:jc w:val="center"/>
        </w:trPr>
        <w:tc>
          <w:tcPr>
            <w:tcW w:w="1507" w:type="dxa"/>
            <w:vMerge/>
            <w:shd w:val="clear" w:color="auto" w:fill="auto"/>
          </w:tcPr>
          <w:p w14:paraId="5009F902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29A2B2DF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Memorial</w:t>
            </w:r>
          </w:p>
        </w:tc>
        <w:tc>
          <w:tcPr>
            <w:tcW w:w="6467" w:type="dxa"/>
            <w:shd w:val="clear" w:color="auto" w:fill="auto"/>
          </w:tcPr>
          <w:p w14:paraId="61B4D320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Descrição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da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demanda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pretendida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para as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instalações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condicionamento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ar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; e</w:t>
            </w:r>
          </w:p>
          <w:p w14:paraId="711462B7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Informações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quanto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à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qualidade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dos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materiais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empregados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situações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especificas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serem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consideradas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nas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instalações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condicionamento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de ar.</w:t>
            </w:r>
          </w:p>
        </w:tc>
      </w:tr>
      <w:tr w:rsidR="00A422C7" w:rsidRPr="00CF766F" w14:paraId="1475F51D" w14:textId="77777777" w:rsidTr="00975774">
        <w:trPr>
          <w:trHeight w:val="368"/>
          <w:jc w:val="center"/>
        </w:trPr>
        <w:tc>
          <w:tcPr>
            <w:tcW w:w="1507" w:type="dxa"/>
            <w:vMerge w:val="restart"/>
            <w:shd w:val="clear" w:color="auto" w:fill="auto"/>
          </w:tcPr>
          <w:p w14:paraId="6AB24AE8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Instalações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Especiais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54F09E04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Desenho</w:t>
            </w:r>
            <w:proofErr w:type="spellEnd"/>
          </w:p>
        </w:tc>
        <w:tc>
          <w:tcPr>
            <w:tcW w:w="6467" w:type="dxa"/>
            <w:shd w:val="clear" w:color="auto" w:fill="auto"/>
          </w:tcPr>
          <w:p w14:paraId="2DEAE355" w14:textId="77777777" w:rsidR="00A422C7" w:rsidRPr="00CF766F" w:rsidRDefault="00A422C7" w:rsidP="00975774">
            <w:pPr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Desenho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em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escala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1:75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ou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maior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, com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cotas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principais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detalhes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são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opcionais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) de:</w:t>
            </w:r>
          </w:p>
          <w:p w14:paraId="27201297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Locação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em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planta de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pontos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utilização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dos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dispositivos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e outros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elementos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de interesse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específico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contratante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A422C7" w:rsidRPr="00CF766F" w14:paraId="09F6A955" w14:textId="77777777" w:rsidTr="00975774">
        <w:trPr>
          <w:trHeight w:val="367"/>
          <w:jc w:val="center"/>
        </w:trPr>
        <w:tc>
          <w:tcPr>
            <w:tcW w:w="1507" w:type="dxa"/>
            <w:vMerge/>
            <w:shd w:val="clear" w:color="auto" w:fill="auto"/>
          </w:tcPr>
          <w:p w14:paraId="0C490D3D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698D9D5F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Memorial</w:t>
            </w:r>
          </w:p>
        </w:tc>
        <w:tc>
          <w:tcPr>
            <w:tcW w:w="6467" w:type="dxa"/>
            <w:shd w:val="clear" w:color="auto" w:fill="auto"/>
          </w:tcPr>
          <w:p w14:paraId="78DB38E6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Descrição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da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demanda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pretendida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para as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instalações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especiais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; e </w:t>
            </w:r>
          </w:p>
          <w:p w14:paraId="0D22C545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Informações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quanto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à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qualidade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dos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materiais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empregados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situações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específicas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serem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consideradas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nas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instalações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especiais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lógica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vídeo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alarme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detecção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fumaça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, etc.).</w:t>
            </w:r>
          </w:p>
        </w:tc>
      </w:tr>
      <w:tr w:rsidR="00A422C7" w:rsidRPr="00CF766F" w14:paraId="3DDE1F79" w14:textId="77777777" w:rsidTr="00975774">
        <w:trPr>
          <w:trHeight w:val="368"/>
          <w:jc w:val="center"/>
        </w:trPr>
        <w:tc>
          <w:tcPr>
            <w:tcW w:w="1507" w:type="dxa"/>
            <w:vMerge w:val="restart"/>
            <w:shd w:val="clear" w:color="auto" w:fill="auto"/>
          </w:tcPr>
          <w:p w14:paraId="56CADD5F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Transporte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Vertical</w:t>
            </w:r>
          </w:p>
        </w:tc>
        <w:tc>
          <w:tcPr>
            <w:tcW w:w="1276" w:type="dxa"/>
            <w:shd w:val="clear" w:color="auto" w:fill="auto"/>
          </w:tcPr>
          <w:p w14:paraId="3F9B67E5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Desenho</w:t>
            </w:r>
            <w:proofErr w:type="spellEnd"/>
          </w:p>
        </w:tc>
        <w:tc>
          <w:tcPr>
            <w:tcW w:w="6467" w:type="dxa"/>
            <w:shd w:val="clear" w:color="auto" w:fill="auto"/>
          </w:tcPr>
          <w:p w14:paraId="47ED82A0" w14:textId="77777777" w:rsidR="00A422C7" w:rsidRPr="00CF766F" w:rsidRDefault="00A422C7" w:rsidP="00975774">
            <w:pPr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Desenho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em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escala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1:75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ou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maior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, com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cotas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principais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detalhes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são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opcionais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) de:</w:t>
            </w:r>
          </w:p>
          <w:p w14:paraId="7DB90412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Locação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em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planta dos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equipamentos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para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transporte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vertical.</w:t>
            </w:r>
          </w:p>
        </w:tc>
      </w:tr>
      <w:tr w:rsidR="00A422C7" w:rsidRPr="00CF766F" w14:paraId="0EAF676E" w14:textId="77777777" w:rsidTr="00975774">
        <w:trPr>
          <w:trHeight w:val="367"/>
          <w:jc w:val="center"/>
        </w:trPr>
        <w:tc>
          <w:tcPr>
            <w:tcW w:w="1507" w:type="dxa"/>
            <w:vMerge/>
            <w:shd w:val="clear" w:color="auto" w:fill="auto"/>
          </w:tcPr>
          <w:p w14:paraId="0D6A4565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40F4DE67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Memorial</w:t>
            </w:r>
          </w:p>
        </w:tc>
        <w:tc>
          <w:tcPr>
            <w:tcW w:w="6467" w:type="dxa"/>
            <w:shd w:val="clear" w:color="auto" w:fill="auto"/>
          </w:tcPr>
          <w:p w14:paraId="0D04DD6D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Informações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quanto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à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qualidade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dos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materiais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empregados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situações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especificas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serem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consideradas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nas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instalações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transporte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vertical.</w:t>
            </w:r>
          </w:p>
        </w:tc>
      </w:tr>
      <w:tr w:rsidR="00A422C7" w:rsidRPr="00CF766F" w14:paraId="62330886" w14:textId="77777777" w:rsidTr="00975774">
        <w:trPr>
          <w:trHeight w:val="367"/>
          <w:jc w:val="center"/>
        </w:trPr>
        <w:tc>
          <w:tcPr>
            <w:tcW w:w="1507" w:type="dxa"/>
            <w:shd w:val="clear" w:color="auto" w:fill="auto"/>
          </w:tcPr>
          <w:p w14:paraId="7A1FAFB7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Orçamento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2CA4E7A2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Planilha</w:t>
            </w:r>
            <w:proofErr w:type="spellEnd"/>
          </w:p>
        </w:tc>
        <w:tc>
          <w:tcPr>
            <w:tcW w:w="6467" w:type="dxa"/>
            <w:shd w:val="clear" w:color="auto" w:fill="auto"/>
          </w:tcPr>
          <w:p w14:paraId="4D56F7E9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Orçamento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elaborado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acordo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com o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especificado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no item 7,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desta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Orientação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Técnica;</w:t>
            </w:r>
            <w:proofErr w:type="gram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C71791E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Cronograma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físico-financeiro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preliminar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; e</w:t>
            </w:r>
          </w:p>
          <w:p w14:paraId="484034B6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6" w:hanging="176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Matriz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alocação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riscos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quando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for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adotado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adicional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risco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 xml:space="preserve"> no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orçamento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</w:tbl>
    <w:p w14:paraId="5ADAF7C9" w14:textId="77777777" w:rsidR="00A422C7" w:rsidRPr="00CF766F" w:rsidRDefault="00A422C7" w:rsidP="00A422C7">
      <w:pPr>
        <w:rPr>
          <w:rFonts w:ascii="Arial" w:hAnsi="Arial" w:cs="Arial"/>
          <w:sz w:val="20"/>
          <w:szCs w:val="20"/>
        </w:rPr>
      </w:pPr>
    </w:p>
    <w:p w14:paraId="1D60C492" w14:textId="77777777" w:rsidR="00A422C7" w:rsidRPr="00261550" w:rsidRDefault="00A422C7" w:rsidP="00B17AF7">
      <w:pPr>
        <w:spacing w:before="120" w:after="120"/>
        <w:ind w:hanging="425"/>
        <w:rPr>
          <w:rFonts w:ascii="Arial" w:hAnsi="Arial" w:cs="Arial"/>
        </w:rPr>
      </w:pPr>
      <w:r w:rsidRPr="00CF766F">
        <w:rPr>
          <w:rFonts w:ascii="Arial" w:hAnsi="Arial" w:cs="Arial"/>
          <w:sz w:val="20"/>
          <w:szCs w:val="20"/>
        </w:rPr>
        <w:br w:type="page"/>
      </w:r>
      <w:r w:rsidRPr="00261550">
        <w:rPr>
          <w:rFonts w:ascii="Arial" w:hAnsi="Arial" w:cs="Arial"/>
          <w:b/>
          <w:bCs/>
        </w:rPr>
        <w:lastRenderedPageBreak/>
        <w:t xml:space="preserve">6.2 </w:t>
      </w:r>
      <w:r w:rsidR="001E4F3E">
        <w:rPr>
          <w:rFonts w:ascii="Arial" w:hAnsi="Arial" w:cs="Arial"/>
          <w:b/>
          <w:bCs/>
        </w:rPr>
        <w:t>-</w:t>
      </w:r>
      <w:r w:rsidRPr="00261550">
        <w:rPr>
          <w:rFonts w:ascii="Arial" w:hAnsi="Arial" w:cs="Arial"/>
          <w:b/>
          <w:bCs/>
        </w:rPr>
        <w:t xml:space="preserve"> Obras Rodoviárias</w:t>
      </w: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1276"/>
        <w:gridCol w:w="6237"/>
      </w:tblGrid>
      <w:tr w:rsidR="00A422C7" w:rsidRPr="00CF766F" w14:paraId="54404498" w14:textId="77777777" w:rsidTr="00975774">
        <w:tc>
          <w:tcPr>
            <w:tcW w:w="1844" w:type="dxa"/>
            <w:shd w:val="clear" w:color="auto" w:fill="auto"/>
          </w:tcPr>
          <w:p w14:paraId="2461D3C2" w14:textId="77777777" w:rsidR="00A422C7" w:rsidRPr="00CF766F" w:rsidRDefault="00A422C7" w:rsidP="009757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766F">
              <w:rPr>
                <w:rFonts w:ascii="Arial" w:hAnsi="Arial" w:cs="Arial"/>
                <w:b/>
                <w:bCs/>
                <w:sz w:val="20"/>
                <w:szCs w:val="20"/>
              </w:rPr>
              <w:t>Especialidade</w:t>
            </w:r>
          </w:p>
        </w:tc>
        <w:tc>
          <w:tcPr>
            <w:tcW w:w="1276" w:type="dxa"/>
            <w:shd w:val="clear" w:color="auto" w:fill="auto"/>
          </w:tcPr>
          <w:p w14:paraId="58056E3A" w14:textId="77777777" w:rsidR="00A422C7" w:rsidRPr="00CF766F" w:rsidRDefault="00A422C7" w:rsidP="009757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766F">
              <w:rPr>
                <w:rFonts w:ascii="Arial" w:hAnsi="Arial" w:cs="Arial"/>
                <w:b/>
                <w:bCs/>
                <w:sz w:val="20"/>
                <w:szCs w:val="20"/>
              </w:rPr>
              <w:t>Elemento</w:t>
            </w:r>
          </w:p>
        </w:tc>
        <w:tc>
          <w:tcPr>
            <w:tcW w:w="6237" w:type="dxa"/>
            <w:shd w:val="clear" w:color="auto" w:fill="auto"/>
          </w:tcPr>
          <w:p w14:paraId="63627C1D" w14:textId="77777777" w:rsidR="00A422C7" w:rsidRPr="00CF766F" w:rsidRDefault="00A422C7" w:rsidP="009757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766F">
              <w:rPr>
                <w:rFonts w:ascii="Arial" w:hAnsi="Arial" w:cs="Arial"/>
                <w:b/>
                <w:bCs/>
                <w:sz w:val="20"/>
                <w:szCs w:val="20"/>
              </w:rPr>
              <w:t>Conteúdo</w:t>
            </w:r>
          </w:p>
        </w:tc>
      </w:tr>
      <w:tr w:rsidR="00A422C7" w:rsidRPr="00CF766F" w14:paraId="6405AEB3" w14:textId="77777777" w:rsidTr="00975774">
        <w:trPr>
          <w:trHeight w:val="150"/>
        </w:trPr>
        <w:tc>
          <w:tcPr>
            <w:tcW w:w="1844" w:type="dxa"/>
            <w:vMerge w:val="restart"/>
            <w:shd w:val="clear" w:color="auto" w:fill="auto"/>
          </w:tcPr>
          <w:p w14:paraId="40944FD0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Concepção Geral</w:t>
            </w:r>
          </w:p>
        </w:tc>
        <w:tc>
          <w:tcPr>
            <w:tcW w:w="1276" w:type="dxa"/>
            <w:shd w:val="clear" w:color="auto" w:fill="auto"/>
          </w:tcPr>
          <w:p w14:paraId="14C6BB2D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Planilha</w:t>
            </w:r>
          </w:p>
        </w:tc>
        <w:tc>
          <w:tcPr>
            <w:tcW w:w="6237" w:type="dxa"/>
            <w:shd w:val="clear" w:color="auto" w:fill="auto"/>
          </w:tcPr>
          <w:p w14:paraId="2707744E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5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Quadro de características técnicas.</w:t>
            </w:r>
          </w:p>
        </w:tc>
      </w:tr>
      <w:tr w:rsidR="00A422C7" w:rsidRPr="00CF766F" w14:paraId="54918005" w14:textId="77777777" w:rsidTr="00975774">
        <w:trPr>
          <w:trHeight w:val="150"/>
        </w:trPr>
        <w:tc>
          <w:tcPr>
            <w:tcW w:w="1844" w:type="dxa"/>
            <w:vMerge/>
            <w:shd w:val="clear" w:color="auto" w:fill="auto"/>
          </w:tcPr>
          <w:p w14:paraId="490BE51D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8616C70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Desenho</w:t>
            </w:r>
          </w:p>
        </w:tc>
        <w:tc>
          <w:tcPr>
            <w:tcW w:w="6237" w:type="dxa"/>
            <w:shd w:val="clear" w:color="auto" w:fill="auto"/>
          </w:tcPr>
          <w:p w14:paraId="7C89FBE5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5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Mapa de situação.</w:t>
            </w:r>
          </w:p>
        </w:tc>
      </w:tr>
      <w:tr w:rsidR="00A422C7" w:rsidRPr="00CF766F" w14:paraId="5260EF75" w14:textId="77777777" w:rsidTr="00975774">
        <w:trPr>
          <w:trHeight w:val="150"/>
        </w:trPr>
        <w:tc>
          <w:tcPr>
            <w:tcW w:w="1844" w:type="dxa"/>
            <w:vMerge/>
            <w:shd w:val="clear" w:color="auto" w:fill="auto"/>
          </w:tcPr>
          <w:p w14:paraId="6CE91528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4DD9B76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Memorial</w:t>
            </w:r>
          </w:p>
        </w:tc>
        <w:tc>
          <w:tcPr>
            <w:tcW w:w="6237" w:type="dxa"/>
            <w:shd w:val="clear" w:color="auto" w:fill="auto"/>
          </w:tcPr>
          <w:p w14:paraId="04A1E87E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5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Memorial descritivo da obra</w:t>
            </w:r>
          </w:p>
        </w:tc>
      </w:tr>
      <w:tr w:rsidR="00A422C7" w:rsidRPr="00CF766F" w14:paraId="6D1A1E9D" w14:textId="77777777" w:rsidTr="00975774">
        <w:tc>
          <w:tcPr>
            <w:tcW w:w="1844" w:type="dxa"/>
            <w:shd w:val="clear" w:color="auto" w:fill="auto"/>
          </w:tcPr>
          <w:p w14:paraId="6BCF327E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 xml:space="preserve">Topografia </w:t>
            </w:r>
          </w:p>
        </w:tc>
        <w:tc>
          <w:tcPr>
            <w:tcW w:w="1276" w:type="dxa"/>
            <w:shd w:val="clear" w:color="auto" w:fill="auto"/>
          </w:tcPr>
          <w:p w14:paraId="06D1078F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Desenho</w:t>
            </w:r>
          </w:p>
        </w:tc>
        <w:tc>
          <w:tcPr>
            <w:tcW w:w="6237" w:type="dxa"/>
            <w:shd w:val="clear" w:color="auto" w:fill="auto"/>
          </w:tcPr>
          <w:p w14:paraId="1C1BAF20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5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Levantamento planialtimétrico</w:t>
            </w:r>
          </w:p>
        </w:tc>
      </w:tr>
      <w:tr w:rsidR="00A422C7" w:rsidRPr="00CF766F" w14:paraId="31587470" w14:textId="77777777" w:rsidTr="00975774">
        <w:trPr>
          <w:trHeight w:val="293"/>
        </w:trPr>
        <w:tc>
          <w:tcPr>
            <w:tcW w:w="1844" w:type="dxa"/>
            <w:vMerge w:val="restart"/>
            <w:shd w:val="clear" w:color="auto" w:fill="auto"/>
          </w:tcPr>
          <w:p w14:paraId="1E154B86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Desapropriação</w:t>
            </w:r>
          </w:p>
        </w:tc>
        <w:tc>
          <w:tcPr>
            <w:tcW w:w="1276" w:type="dxa"/>
            <w:shd w:val="clear" w:color="auto" w:fill="auto"/>
          </w:tcPr>
          <w:p w14:paraId="31FF091B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Desenho</w:t>
            </w:r>
          </w:p>
        </w:tc>
        <w:tc>
          <w:tcPr>
            <w:tcW w:w="6237" w:type="dxa"/>
            <w:shd w:val="clear" w:color="auto" w:fill="auto"/>
          </w:tcPr>
          <w:p w14:paraId="200D17D8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5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Identificação de áreas ocupadas passíveis de desapropriação ou reassentamento.</w:t>
            </w:r>
          </w:p>
        </w:tc>
      </w:tr>
      <w:tr w:rsidR="00A422C7" w:rsidRPr="00CF766F" w14:paraId="5B6EBF2B" w14:textId="77777777" w:rsidTr="00975774">
        <w:trPr>
          <w:trHeight w:val="292"/>
        </w:trPr>
        <w:tc>
          <w:tcPr>
            <w:tcW w:w="1844" w:type="dxa"/>
            <w:vMerge/>
            <w:shd w:val="clear" w:color="auto" w:fill="auto"/>
          </w:tcPr>
          <w:p w14:paraId="2977C4A8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2C01DF2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Memorial</w:t>
            </w:r>
          </w:p>
        </w:tc>
        <w:tc>
          <w:tcPr>
            <w:tcW w:w="6237" w:type="dxa"/>
            <w:shd w:val="clear" w:color="auto" w:fill="auto"/>
          </w:tcPr>
          <w:p w14:paraId="4F49C09A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5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Descrição das áreas ocupadas passíveis de desapropriação ou reassentamento.</w:t>
            </w:r>
          </w:p>
        </w:tc>
      </w:tr>
      <w:tr w:rsidR="00A422C7" w:rsidRPr="00CF766F" w14:paraId="44FF3C67" w14:textId="77777777" w:rsidTr="00975774">
        <w:tc>
          <w:tcPr>
            <w:tcW w:w="1844" w:type="dxa"/>
            <w:shd w:val="clear" w:color="auto" w:fill="auto"/>
          </w:tcPr>
          <w:p w14:paraId="42A8ABB0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Geotecnia</w:t>
            </w:r>
          </w:p>
        </w:tc>
        <w:tc>
          <w:tcPr>
            <w:tcW w:w="1276" w:type="dxa"/>
            <w:shd w:val="clear" w:color="auto" w:fill="auto"/>
          </w:tcPr>
          <w:p w14:paraId="5BCF5B53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Memorial</w:t>
            </w:r>
          </w:p>
        </w:tc>
        <w:tc>
          <w:tcPr>
            <w:tcW w:w="6237" w:type="dxa"/>
            <w:shd w:val="clear" w:color="auto" w:fill="auto"/>
          </w:tcPr>
          <w:p w14:paraId="3CEF5791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5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Estudos geotécnicos que caracterizem as ocorrências e localização de jazidas e o comportamento do subleito.</w:t>
            </w:r>
          </w:p>
        </w:tc>
      </w:tr>
      <w:tr w:rsidR="00A422C7" w:rsidRPr="00CF766F" w14:paraId="18ECD61E" w14:textId="77777777" w:rsidTr="00975774">
        <w:trPr>
          <w:trHeight w:val="143"/>
        </w:trPr>
        <w:tc>
          <w:tcPr>
            <w:tcW w:w="1844" w:type="dxa"/>
            <w:vMerge w:val="restart"/>
            <w:shd w:val="clear" w:color="auto" w:fill="auto"/>
          </w:tcPr>
          <w:p w14:paraId="0EBD1662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Terraplenagem</w:t>
            </w:r>
          </w:p>
        </w:tc>
        <w:tc>
          <w:tcPr>
            <w:tcW w:w="1276" w:type="dxa"/>
            <w:shd w:val="clear" w:color="auto" w:fill="auto"/>
          </w:tcPr>
          <w:p w14:paraId="071074B6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Desenho</w:t>
            </w:r>
          </w:p>
        </w:tc>
        <w:tc>
          <w:tcPr>
            <w:tcW w:w="6237" w:type="dxa"/>
            <w:shd w:val="clear" w:color="auto" w:fill="auto"/>
          </w:tcPr>
          <w:p w14:paraId="1D5A2C0E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5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Seções transversais tipo; e</w:t>
            </w:r>
          </w:p>
          <w:p w14:paraId="2758E8EF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5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Identificação das áreas de empréstimo e bota-fora.</w:t>
            </w:r>
          </w:p>
        </w:tc>
      </w:tr>
      <w:tr w:rsidR="00A422C7" w:rsidRPr="00CF766F" w14:paraId="0C4849E7" w14:textId="77777777" w:rsidTr="00975774">
        <w:trPr>
          <w:trHeight w:val="142"/>
        </w:trPr>
        <w:tc>
          <w:tcPr>
            <w:tcW w:w="1844" w:type="dxa"/>
            <w:vMerge/>
            <w:shd w:val="clear" w:color="auto" w:fill="auto"/>
          </w:tcPr>
          <w:p w14:paraId="50DF06B4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710FE03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 xml:space="preserve">Memorial </w:t>
            </w:r>
          </w:p>
        </w:tc>
        <w:tc>
          <w:tcPr>
            <w:tcW w:w="6237" w:type="dxa"/>
            <w:shd w:val="clear" w:color="auto" w:fill="auto"/>
          </w:tcPr>
          <w:p w14:paraId="01ED6BAC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5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Estimativa de volumes de corte e aterro por categoria de material.</w:t>
            </w:r>
          </w:p>
        </w:tc>
      </w:tr>
      <w:tr w:rsidR="00A422C7" w:rsidRPr="00CF766F" w14:paraId="2EB661AD" w14:textId="77777777" w:rsidTr="00975774">
        <w:tc>
          <w:tcPr>
            <w:tcW w:w="1844" w:type="dxa"/>
            <w:shd w:val="clear" w:color="auto" w:fill="auto"/>
          </w:tcPr>
          <w:p w14:paraId="4C47E109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Geometria da via</w:t>
            </w:r>
          </w:p>
        </w:tc>
        <w:tc>
          <w:tcPr>
            <w:tcW w:w="1276" w:type="dxa"/>
            <w:shd w:val="clear" w:color="auto" w:fill="auto"/>
          </w:tcPr>
          <w:p w14:paraId="7C90F6FD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Desenho</w:t>
            </w:r>
          </w:p>
        </w:tc>
        <w:tc>
          <w:tcPr>
            <w:tcW w:w="6237" w:type="dxa"/>
            <w:shd w:val="clear" w:color="auto" w:fill="auto"/>
          </w:tcPr>
          <w:p w14:paraId="60604BEF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5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Definição do traçado;</w:t>
            </w:r>
          </w:p>
          <w:p w14:paraId="694DEBC2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5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Seções transversais tipo;</w:t>
            </w:r>
          </w:p>
          <w:p w14:paraId="6D5A6CCE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5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Traçado em planta, que contenha interseções, acessos, projeções de obras de arte; e</w:t>
            </w:r>
          </w:p>
          <w:p w14:paraId="410D1A4A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5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Traçado em perfil longitudinal, que contenha a linha do terreno natural, o greide, posição das obras de arte.</w:t>
            </w:r>
          </w:p>
        </w:tc>
      </w:tr>
      <w:tr w:rsidR="00A422C7" w:rsidRPr="00CF766F" w14:paraId="53C78F91" w14:textId="77777777" w:rsidTr="00975774">
        <w:trPr>
          <w:trHeight w:val="143"/>
        </w:trPr>
        <w:tc>
          <w:tcPr>
            <w:tcW w:w="1844" w:type="dxa"/>
            <w:vMerge w:val="restart"/>
            <w:shd w:val="clear" w:color="auto" w:fill="auto"/>
          </w:tcPr>
          <w:p w14:paraId="25CDE6B1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Pavimentação</w:t>
            </w:r>
          </w:p>
        </w:tc>
        <w:tc>
          <w:tcPr>
            <w:tcW w:w="1276" w:type="dxa"/>
            <w:shd w:val="clear" w:color="auto" w:fill="auto"/>
          </w:tcPr>
          <w:p w14:paraId="6717DAA8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Desenho</w:t>
            </w:r>
          </w:p>
        </w:tc>
        <w:tc>
          <w:tcPr>
            <w:tcW w:w="6237" w:type="dxa"/>
            <w:shd w:val="clear" w:color="auto" w:fill="auto"/>
          </w:tcPr>
          <w:p w14:paraId="192C4E61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5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Seções transversais tipo.</w:t>
            </w:r>
          </w:p>
        </w:tc>
      </w:tr>
      <w:tr w:rsidR="00A422C7" w:rsidRPr="00CF766F" w14:paraId="1647619B" w14:textId="77777777" w:rsidTr="00975774">
        <w:trPr>
          <w:trHeight w:val="142"/>
        </w:trPr>
        <w:tc>
          <w:tcPr>
            <w:tcW w:w="1844" w:type="dxa"/>
            <w:vMerge/>
            <w:shd w:val="clear" w:color="auto" w:fill="auto"/>
          </w:tcPr>
          <w:p w14:paraId="29DB8D96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6D37A26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Memorial</w:t>
            </w:r>
          </w:p>
        </w:tc>
        <w:tc>
          <w:tcPr>
            <w:tcW w:w="6237" w:type="dxa"/>
            <w:shd w:val="clear" w:color="auto" w:fill="auto"/>
          </w:tcPr>
          <w:p w14:paraId="5A01E8A8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5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Pré-dimensionamento da estrutura do pavimento.</w:t>
            </w:r>
          </w:p>
        </w:tc>
      </w:tr>
      <w:tr w:rsidR="00A422C7" w:rsidRPr="00CF766F" w14:paraId="49BB1410" w14:textId="77777777" w:rsidTr="00975774">
        <w:trPr>
          <w:trHeight w:val="293"/>
        </w:trPr>
        <w:tc>
          <w:tcPr>
            <w:tcW w:w="1844" w:type="dxa"/>
            <w:vMerge w:val="restart"/>
            <w:shd w:val="clear" w:color="auto" w:fill="auto"/>
          </w:tcPr>
          <w:p w14:paraId="4B78325A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Concepções complementares</w:t>
            </w:r>
          </w:p>
        </w:tc>
        <w:tc>
          <w:tcPr>
            <w:tcW w:w="1276" w:type="dxa"/>
            <w:shd w:val="clear" w:color="auto" w:fill="auto"/>
          </w:tcPr>
          <w:p w14:paraId="5D3085A1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Desenho</w:t>
            </w:r>
          </w:p>
        </w:tc>
        <w:tc>
          <w:tcPr>
            <w:tcW w:w="6237" w:type="dxa"/>
            <w:shd w:val="clear" w:color="auto" w:fill="auto"/>
          </w:tcPr>
          <w:p w14:paraId="298350A6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5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Identificação de interferências com equipamentos e serviços públicos para remoção ou realocação; e</w:t>
            </w:r>
          </w:p>
          <w:p w14:paraId="2DB9BE02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5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 xml:space="preserve">Características geométricas, topográficas e hidrológicas das Obras de Arte Especiais. </w:t>
            </w:r>
          </w:p>
        </w:tc>
      </w:tr>
      <w:tr w:rsidR="00A422C7" w:rsidRPr="00CF766F" w14:paraId="6F23BFE5" w14:textId="77777777" w:rsidTr="00975774">
        <w:trPr>
          <w:trHeight w:val="292"/>
        </w:trPr>
        <w:tc>
          <w:tcPr>
            <w:tcW w:w="1844" w:type="dxa"/>
            <w:vMerge/>
            <w:shd w:val="clear" w:color="auto" w:fill="auto"/>
          </w:tcPr>
          <w:p w14:paraId="28FD92A4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2EF557A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Memorial</w:t>
            </w:r>
          </w:p>
        </w:tc>
        <w:tc>
          <w:tcPr>
            <w:tcW w:w="6237" w:type="dxa"/>
            <w:shd w:val="clear" w:color="auto" w:fill="auto"/>
          </w:tcPr>
          <w:p w14:paraId="52AEF020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5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Soluções de drenagem com base em estudos hidrológicos;</w:t>
            </w:r>
          </w:p>
          <w:p w14:paraId="1C3EEE6B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5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 xml:space="preserve">Especificações básicas de sinalização horizontal e vertical, defensas, cercas, proteção vegetal; e </w:t>
            </w:r>
          </w:p>
          <w:p w14:paraId="354D3CD6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5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Estudos ambientais que identifiquem áreas protegidas legalmente, passivos e condicionantes ambientais.</w:t>
            </w:r>
          </w:p>
        </w:tc>
      </w:tr>
      <w:tr w:rsidR="00A422C7" w:rsidRPr="00CF766F" w14:paraId="0C822E50" w14:textId="77777777" w:rsidTr="00975774">
        <w:trPr>
          <w:trHeight w:val="292"/>
        </w:trPr>
        <w:tc>
          <w:tcPr>
            <w:tcW w:w="1844" w:type="dxa"/>
            <w:shd w:val="clear" w:color="auto" w:fill="auto"/>
          </w:tcPr>
          <w:p w14:paraId="4985B272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Orçamento</w:t>
            </w:r>
          </w:p>
        </w:tc>
        <w:tc>
          <w:tcPr>
            <w:tcW w:w="1276" w:type="dxa"/>
            <w:shd w:val="clear" w:color="auto" w:fill="auto"/>
          </w:tcPr>
          <w:p w14:paraId="291B9BCD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Planilha</w:t>
            </w:r>
          </w:p>
        </w:tc>
        <w:tc>
          <w:tcPr>
            <w:tcW w:w="6237" w:type="dxa"/>
            <w:shd w:val="clear" w:color="auto" w:fill="auto"/>
          </w:tcPr>
          <w:p w14:paraId="2334DFE4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5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Orçamento elaborado de acordo com o especificado no item 7 desta Orientação Técnica;</w:t>
            </w:r>
          </w:p>
          <w:p w14:paraId="3E7DEE31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5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Cronograma físico-financeiro preliminar; e</w:t>
            </w:r>
          </w:p>
          <w:p w14:paraId="0027A8C5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75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 xml:space="preserve">Matriz de alocação de riscos, quando for adotado adicional de risco no orçamento. </w:t>
            </w:r>
          </w:p>
        </w:tc>
      </w:tr>
    </w:tbl>
    <w:p w14:paraId="793774FF" w14:textId="77777777" w:rsidR="00A422C7" w:rsidRPr="00CF766F" w:rsidRDefault="00A422C7" w:rsidP="00A422C7">
      <w:pPr>
        <w:rPr>
          <w:rFonts w:ascii="Arial" w:hAnsi="Arial" w:cs="Arial"/>
          <w:sz w:val="20"/>
          <w:szCs w:val="20"/>
        </w:rPr>
      </w:pPr>
    </w:p>
    <w:p w14:paraId="5F906338" w14:textId="77777777" w:rsidR="00A422C7" w:rsidRPr="00261550" w:rsidRDefault="00A422C7" w:rsidP="00261550">
      <w:pPr>
        <w:spacing w:before="120" w:after="120"/>
        <w:ind w:hanging="425"/>
        <w:rPr>
          <w:rFonts w:ascii="Arial" w:hAnsi="Arial" w:cs="Arial"/>
          <w:b/>
          <w:bCs/>
        </w:rPr>
      </w:pPr>
      <w:r w:rsidRPr="00CF766F">
        <w:rPr>
          <w:rFonts w:ascii="Arial" w:hAnsi="Arial" w:cs="Arial"/>
          <w:sz w:val="20"/>
          <w:szCs w:val="20"/>
        </w:rPr>
        <w:br w:type="page"/>
      </w:r>
      <w:r w:rsidRPr="00261550">
        <w:rPr>
          <w:rFonts w:ascii="Arial" w:hAnsi="Arial" w:cs="Arial"/>
          <w:b/>
          <w:bCs/>
        </w:rPr>
        <w:lastRenderedPageBreak/>
        <w:t xml:space="preserve">6.3 </w:t>
      </w:r>
      <w:r w:rsidR="00261550" w:rsidRPr="00261550">
        <w:rPr>
          <w:rFonts w:ascii="Arial" w:hAnsi="Arial" w:cs="Arial"/>
          <w:b/>
          <w:bCs/>
        </w:rPr>
        <w:t>-</w:t>
      </w:r>
      <w:r w:rsidRPr="00261550">
        <w:rPr>
          <w:rFonts w:ascii="Arial" w:hAnsi="Arial" w:cs="Arial"/>
          <w:b/>
          <w:bCs/>
        </w:rPr>
        <w:t xml:space="preserve"> Obras de Saneamento – Tratamento de Água e de Esgotamento Sanitário</w:t>
      </w: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1184"/>
        <w:gridCol w:w="6470"/>
      </w:tblGrid>
      <w:tr w:rsidR="00A422C7" w:rsidRPr="00CF766F" w14:paraId="3FB4C9C2" w14:textId="77777777" w:rsidTr="00975774">
        <w:tc>
          <w:tcPr>
            <w:tcW w:w="1844" w:type="dxa"/>
            <w:shd w:val="clear" w:color="auto" w:fill="auto"/>
          </w:tcPr>
          <w:p w14:paraId="413B515B" w14:textId="77777777" w:rsidR="00A422C7" w:rsidRPr="00CF766F" w:rsidRDefault="00A422C7" w:rsidP="009757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766F">
              <w:rPr>
                <w:rFonts w:ascii="Arial" w:hAnsi="Arial" w:cs="Arial"/>
                <w:b/>
                <w:bCs/>
                <w:sz w:val="20"/>
                <w:szCs w:val="20"/>
              </w:rPr>
              <w:t>Especialidade</w:t>
            </w:r>
          </w:p>
        </w:tc>
        <w:tc>
          <w:tcPr>
            <w:tcW w:w="1184" w:type="dxa"/>
            <w:shd w:val="clear" w:color="auto" w:fill="auto"/>
          </w:tcPr>
          <w:p w14:paraId="1BACED1F" w14:textId="77777777" w:rsidR="00A422C7" w:rsidRPr="00CF766F" w:rsidRDefault="00A422C7" w:rsidP="009757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766F">
              <w:rPr>
                <w:rFonts w:ascii="Arial" w:hAnsi="Arial" w:cs="Arial"/>
                <w:b/>
                <w:bCs/>
                <w:sz w:val="20"/>
                <w:szCs w:val="20"/>
              </w:rPr>
              <w:t>Elemento</w:t>
            </w:r>
          </w:p>
        </w:tc>
        <w:tc>
          <w:tcPr>
            <w:tcW w:w="6470" w:type="dxa"/>
            <w:shd w:val="clear" w:color="auto" w:fill="auto"/>
          </w:tcPr>
          <w:p w14:paraId="541188AA" w14:textId="77777777" w:rsidR="00A422C7" w:rsidRPr="00CF766F" w:rsidRDefault="00A422C7" w:rsidP="0097577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766F">
              <w:rPr>
                <w:rFonts w:ascii="Arial" w:hAnsi="Arial" w:cs="Arial"/>
                <w:b/>
                <w:bCs/>
                <w:sz w:val="20"/>
                <w:szCs w:val="20"/>
              </w:rPr>
              <w:t>Conteúdo</w:t>
            </w:r>
          </w:p>
        </w:tc>
      </w:tr>
      <w:tr w:rsidR="00A422C7" w:rsidRPr="00CF766F" w14:paraId="3179742F" w14:textId="77777777" w:rsidTr="00975774">
        <w:trPr>
          <w:trHeight w:val="465"/>
        </w:trPr>
        <w:tc>
          <w:tcPr>
            <w:tcW w:w="1844" w:type="dxa"/>
            <w:vMerge w:val="restart"/>
            <w:shd w:val="clear" w:color="auto" w:fill="auto"/>
          </w:tcPr>
          <w:p w14:paraId="15ACF5D0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Concepção Geral</w:t>
            </w:r>
          </w:p>
        </w:tc>
        <w:tc>
          <w:tcPr>
            <w:tcW w:w="1184" w:type="dxa"/>
            <w:shd w:val="clear" w:color="auto" w:fill="auto"/>
          </w:tcPr>
          <w:p w14:paraId="275EFA57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 xml:space="preserve">Desenho e fotografias </w:t>
            </w:r>
          </w:p>
        </w:tc>
        <w:tc>
          <w:tcPr>
            <w:tcW w:w="6470" w:type="dxa"/>
            <w:shd w:val="clear" w:color="auto" w:fill="auto"/>
          </w:tcPr>
          <w:p w14:paraId="01B6A3EA" w14:textId="77777777" w:rsidR="00A422C7" w:rsidRPr="00CF766F" w:rsidRDefault="00A422C7" w:rsidP="00975774">
            <w:pPr>
              <w:ind w:left="125" w:hanging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Concepção básica em planta topográfica da área abrangida pelo sistema, localizando em única planta e em escala conveniente:</w:t>
            </w:r>
          </w:p>
          <w:p w14:paraId="56BB0659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25" w:hanging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 xml:space="preserve">Sistema de abastecimento de Água (SAA): captação, rede de água bruta, Estação de Tratamento de Água (ETA), rede de distribuição, estações elevatórias,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</w:rPr>
              <w:t>reservação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</w:rPr>
              <w:t xml:space="preserve"> e demais instalações existentes;</w:t>
            </w:r>
          </w:p>
          <w:p w14:paraId="5FEF62F8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25" w:hanging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Sistema de Tratamento de Esgoto (SES): rede de coleta, Estação de Tratamento de Esgoto (ETE), estações de recalque, disposição final e emissário, poços de visita (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</w:rPr>
              <w:t>PVs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</w:rPr>
              <w:t>), demais instalações existentes e a delimitação de bacias de esgotamento, quando for o caso.</w:t>
            </w:r>
          </w:p>
          <w:p w14:paraId="7DB49E61" w14:textId="77777777" w:rsidR="00A422C7" w:rsidRPr="00CF766F" w:rsidRDefault="00A422C7" w:rsidP="00975774">
            <w:pPr>
              <w:ind w:left="125" w:hanging="141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766F">
              <w:rPr>
                <w:rFonts w:ascii="Arial" w:hAnsi="Arial" w:cs="Arial"/>
                <w:sz w:val="20"/>
                <w:szCs w:val="20"/>
                <w:u w:val="single"/>
              </w:rPr>
              <w:t>Para SAA ou SES:</w:t>
            </w:r>
          </w:p>
          <w:p w14:paraId="152CEAB9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25" w:hanging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Cadastramento populacional;</w:t>
            </w:r>
          </w:p>
          <w:p w14:paraId="77357BDE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25" w:hanging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 xml:space="preserve">Zoneamento urbano (plano de urbanização com base na legislação relativa ao uso e ocupação do solo); e </w:t>
            </w:r>
          </w:p>
          <w:p w14:paraId="59DDEA7C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25" w:hanging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Registro fotográfico das instalações existentes e das áreas disponíveis para os elementos do sistema.</w:t>
            </w:r>
          </w:p>
        </w:tc>
      </w:tr>
      <w:tr w:rsidR="00A422C7" w:rsidRPr="00CF766F" w14:paraId="223EF4DB" w14:textId="77777777" w:rsidTr="00975774">
        <w:trPr>
          <w:trHeight w:val="465"/>
        </w:trPr>
        <w:tc>
          <w:tcPr>
            <w:tcW w:w="1844" w:type="dxa"/>
            <w:vMerge/>
            <w:shd w:val="clear" w:color="auto" w:fill="auto"/>
          </w:tcPr>
          <w:p w14:paraId="1B6B0073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14:paraId="72FCF94A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Memorial</w:t>
            </w:r>
          </w:p>
        </w:tc>
        <w:tc>
          <w:tcPr>
            <w:tcW w:w="6470" w:type="dxa"/>
            <w:shd w:val="clear" w:color="auto" w:fill="auto"/>
          </w:tcPr>
          <w:p w14:paraId="6DF490F4" w14:textId="77777777" w:rsidR="00A422C7" w:rsidRPr="00CF766F" w:rsidRDefault="00A422C7" w:rsidP="00975774">
            <w:pPr>
              <w:ind w:left="125" w:hanging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Estudo de concepção, baseado no Plano Diretor do Município e no Plano Municipal de Saneamento Básico, para SAA ou SES:</w:t>
            </w:r>
          </w:p>
          <w:p w14:paraId="5A69D142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25" w:hanging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População a ser atendida (estimativa avaliada ano a ano, inclusive densidade sazonal);</w:t>
            </w:r>
          </w:p>
          <w:p w14:paraId="288DAB1E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25" w:hanging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Projeção detalhada da demanda;</w:t>
            </w:r>
          </w:p>
          <w:p w14:paraId="5DEA6514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25" w:hanging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Justificativas das características técnicas e operacionais do sistema;</w:t>
            </w:r>
          </w:p>
          <w:p w14:paraId="04349F8A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25" w:hanging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Justificativas da definição da alternativa de tecnologia utilizada no tratamento;</w:t>
            </w:r>
          </w:p>
          <w:p w14:paraId="71D91A7E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25" w:hanging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Registro de eventuais problemas relacionados com a configuração topográfica e características geológicas da região de localização dos elementos constituintes do sistema;</w:t>
            </w:r>
          </w:p>
          <w:p w14:paraId="30DA37CE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25" w:hanging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 xml:space="preserve">Definição de prazos para as metas progressivas e graduais de expansão dos serviços; e </w:t>
            </w:r>
          </w:p>
          <w:p w14:paraId="3E9BA032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25" w:hanging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Estimativas de ações para emergências e contingências.</w:t>
            </w:r>
          </w:p>
          <w:p w14:paraId="735D6724" w14:textId="77777777" w:rsidR="00A422C7" w:rsidRPr="00CF766F" w:rsidRDefault="00A422C7" w:rsidP="00975774">
            <w:pPr>
              <w:ind w:left="125" w:hanging="141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766F">
              <w:rPr>
                <w:rFonts w:ascii="Arial" w:hAnsi="Arial" w:cs="Arial"/>
                <w:sz w:val="20"/>
                <w:szCs w:val="20"/>
                <w:u w:val="single"/>
              </w:rPr>
              <w:t>Para SAA:</w:t>
            </w:r>
          </w:p>
          <w:p w14:paraId="614ACD22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25" w:hanging="141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Vazão de projeto (quantidade de água exigida);</w:t>
            </w:r>
          </w:p>
          <w:p w14:paraId="0DAC7157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25" w:hanging="141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Escolha do manancial;</w:t>
            </w:r>
          </w:p>
          <w:p w14:paraId="2B84BDDF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25" w:hanging="141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Estudo de tratabilidade da água;</w:t>
            </w:r>
          </w:p>
          <w:p w14:paraId="1E74CE62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25" w:hanging="141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Estudo para redução de perdas;</w:t>
            </w:r>
          </w:p>
          <w:p w14:paraId="021E4C30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25" w:hanging="141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 xml:space="preserve">Dimensionamento preliminar da captação, rede de água bruta, ETA, rede de distribuição, estações elevatórias e 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</w:rPr>
              <w:t>reservação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</w:rPr>
              <w:t>, etc.;</w:t>
            </w:r>
          </w:p>
          <w:p w14:paraId="5F5D84F5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25" w:hanging="141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Memórias de cálculos dos dimensionamentos;</w:t>
            </w:r>
          </w:p>
          <w:p w14:paraId="21C29BB3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25" w:hanging="141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Memorial descritivo das unidades operacionais do sistema; e</w:t>
            </w:r>
          </w:p>
          <w:p w14:paraId="41DBF3B3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25" w:hanging="141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Proposição de medidas de fomento à moderação do consumo de água.</w:t>
            </w:r>
          </w:p>
          <w:p w14:paraId="2E20F36B" w14:textId="77777777" w:rsidR="00A422C7" w:rsidRPr="00CF766F" w:rsidRDefault="00A422C7" w:rsidP="00975774">
            <w:pPr>
              <w:ind w:left="125" w:hanging="141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766F">
              <w:rPr>
                <w:rFonts w:ascii="Arial" w:hAnsi="Arial" w:cs="Arial"/>
                <w:sz w:val="20"/>
                <w:szCs w:val="20"/>
                <w:u w:val="single"/>
              </w:rPr>
              <w:t>Para SES:</w:t>
            </w:r>
          </w:p>
          <w:p w14:paraId="41271E19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25" w:hanging="141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Volume de esgoto tratado;</w:t>
            </w:r>
          </w:p>
          <w:p w14:paraId="14BA70D6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25" w:hanging="141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Fixação preliminar das características do esgoto, cargas poluidoras atuais e futuras.</w:t>
            </w:r>
          </w:p>
          <w:p w14:paraId="4F878DB8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25" w:hanging="141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Padrões de lançamento dos efluentes;</w:t>
            </w:r>
          </w:p>
          <w:p w14:paraId="1E54ACBA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25" w:hanging="141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Destinação dos esgotos tratados (condições sanitárias dos corpos receptores);</w:t>
            </w:r>
          </w:p>
          <w:p w14:paraId="31733017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25" w:hanging="141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Avaliação da população de saturação;</w:t>
            </w:r>
          </w:p>
          <w:p w14:paraId="2B08B800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25" w:hanging="141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Dimensionamento preliminar da rede de coleta, ETE, estações elevatórias, disposição final e emissário, etc.;</w:t>
            </w:r>
          </w:p>
          <w:p w14:paraId="0887A315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25" w:hanging="141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lastRenderedPageBreak/>
              <w:t>Definição de rede coletora simples ou dupla, utilização de poços de visitas (</w:t>
            </w:r>
            <w:proofErr w:type="spellStart"/>
            <w:r w:rsidRPr="00CF766F">
              <w:rPr>
                <w:rFonts w:ascii="Arial" w:hAnsi="Arial" w:cs="Arial"/>
                <w:sz w:val="20"/>
                <w:szCs w:val="20"/>
              </w:rPr>
              <w:t>PVs</w:t>
            </w:r>
            <w:proofErr w:type="spellEnd"/>
            <w:r w:rsidRPr="00CF766F">
              <w:rPr>
                <w:rFonts w:ascii="Arial" w:hAnsi="Arial" w:cs="Arial"/>
                <w:sz w:val="20"/>
                <w:szCs w:val="20"/>
              </w:rPr>
              <w:t>) ou terminais de inspeção e limpeza (TLS e TILS);</w:t>
            </w:r>
          </w:p>
          <w:p w14:paraId="56881041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25" w:hanging="141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 xml:space="preserve">Memórias de cálculos dos dimensionamentos; e </w:t>
            </w:r>
          </w:p>
          <w:p w14:paraId="3CE46D39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25" w:hanging="141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Memorial descritivo das unidades operacionais do sistema.</w:t>
            </w:r>
          </w:p>
        </w:tc>
      </w:tr>
      <w:tr w:rsidR="00A422C7" w:rsidRPr="00CF766F" w14:paraId="04630B32" w14:textId="77777777" w:rsidTr="00975774">
        <w:trPr>
          <w:trHeight w:val="233"/>
        </w:trPr>
        <w:tc>
          <w:tcPr>
            <w:tcW w:w="1844" w:type="dxa"/>
            <w:vMerge w:val="restart"/>
            <w:shd w:val="clear" w:color="auto" w:fill="auto"/>
          </w:tcPr>
          <w:p w14:paraId="64444488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lastRenderedPageBreak/>
              <w:t>Topografia</w:t>
            </w:r>
          </w:p>
        </w:tc>
        <w:tc>
          <w:tcPr>
            <w:tcW w:w="1184" w:type="dxa"/>
            <w:shd w:val="clear" w:color="auto" w:fill="auto"/>
          </w:tcPr>
          <w:p w14:paraId="2A06007B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Desenho</w:t>
            </w:r>
          </w:p>
        </w:tc>
        <w:tc>
          <w:tcPr>
            <w:tcW w:w="6470" w:type="dxa"/>
            <w:shd w:val="clear" w:color="auto" w:fill="auto"/>
          </w:tcPr>
          <w:p w14:paraId="434D37D0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25" w:hanging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 xml:space="preserve">Levantamento planialtimétrico da área do sistema e de suas zonas de expansão em escala mínima de 1:2000 (com curvas de nível de </w:t>
            </w:r>
            <w:proofErr w:type="gramStart"/>
            <w:r w:rsidRPr="00CF766F">
              <w:rPr>
                <w:rFonts w:ascii="Arial" w:hAnsi="Arial" w:cs="Arial"/>
                <w:sz w:val="20"/>
                <w:szCs w:val="20"/>
              </w:rPr>
              <w:t>metro</w:t>
            </w:r>
            <w:proofErr w:type="gramEnd"/>
            <w:r w:rsidRPr="00CF766F">
              <w:rPr>
                <w:rFonts w:ascii="Arial" w:hAnsi="Arial" w:cs="Arial"/>
                <w:sz w:val="20"/>
                <w:szCs w:val="20"/>
              </w:rPr>
              <w:t xml:space="preserve"> em metro e pontos cotados onde necessário), com detalhes do arruamento, tipo de pavimento, obras especiais, interferências e cadastro da rede existente.</w:t>
            </w:r>
          </w:p>
        </w:tc>
      </w:tr>
      <w:tr w:rsidR="00A422C7" w:rsidRPr="00CF766F" w14:paraId="0F00D88D" w14:textId="77777777" w:rsidTr="00975774">
        <w:trPr>
          <w:trHeight w:val="232"/>
        </w:trPr>
        <w:tc>
          <w:tcPr>
            <w:tcW w:w="1844" w:type="dxa"/>
            <w:vMerge/>
            <w:shd w:val="clear" w:color="auto" w:fill="auto"/>
          </w:tcPr>
          <w:p w14:paraId="66B12E77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14:paraId="36507900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Memorial</w:t>
            </w:r>
          </w:p>
        </w:tc>
        <w:tc>
          <w:tcPr>
            <w:tcW w:w="6470" w:type="dxa"/>
            <w:shd w:val="clear" w:color="auto" w:fill="auto"/>
          </w:tcPr>
          <w:p w14:paraId="483ED2CF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25" w:hanging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Levantamento cadastral de rede existente;</w:t>
            </w:r>
          </w:p>
          <w:p w14:paraId="2D2A38ED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25" w:hanging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Levantamento de obstáculos superficiais e subterrâneos nos logradouros onde, provavelmente, devem ser traçadas as redes; e</w:t>
            </w:r>
          </w:p>
          <w:p w14:paraId="47D69AE3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25" w:hanging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Descrição de possíveis interferências com redes e elementos do sistema.</w:t>
            </w:r>
          </w:p>
        </w:tc>
      </w:tr>
      <w:tr w:rsidR="00A422C7" w:rsidRPr="00CF766F" w14:paraId="0DAA4AF8" w14:textId="77777777" w:rsidTr="00975774">
        <w:trPr>
          <w:trHeight w:val="150"/>
        </w:trPr>
        <w:tc>
          <w:tcPr>
            <w:tcW w:w="1844" w:type="dxa"/>
            <w:vMerge w:val="restart"/>
            <w:shd w:val="clear" w:color="auto" w:fill="auto"/>
          </w:tcPr>
          <w:p w14:paraId="2E8043C9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Desapropriação</w:t>
            </w:r>
          </w:p>
        </w:tc>
        <w:tc>
          <w:tcPr>
            <w:tcW w:w="1184" w:type="dxa"/>
            <w:shd w:val="clear" w:color="auto" w:fill="auto"/>
          </w:tcPr>
          <w:p w14:paraId="09B53018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Desenho</w:t>
            </w:r>
          </w:p>
        </w:tc>
        <w:tc>
          <w:tcPr>
            <w:tcW w:w="6470" w:type="dxa"/>
            <w:shd w:val="clear" w:color="auto" w:fill="auto"/>
          </w:tcPr>
          <w:p w14:paraId="0702B36F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25" w:hanging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Identificação de áreas ocupadas passíveis de desapropriação ou reassentamento (principalmente para traçados em áreas ribeirinhas).</w:t>
            </w:r>
          </w:p>
        </w:tc>
      </w:tr>
      <w:tr w:rsidR="00A422C7" w:rsidRPr="00CF766F" w14:paraId="6258533D" w14:textId="77777777" w:rsidTr="00975774">
        <w:trPr>
          <w:trHeight w:val="150"/>
        </w:trPr>
        <w:tc>
          <w:tcPr>
            <w:tcW w:w="1844" w:type="dxa"/>
            <w:vMerge/>
            <w:shd w:val="clear" w:color="auto" w:fill="auto"/>
          </w:tcPr>
          <w:p w14:paraId="590AD4EC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14:paraId="0F9750DB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Memorial</w:t>
            </w:r>
          </w:p>
        </w:tc>
        <w:tc>
          <w:tcPr>
            <w:tcW w:w="6470" w:type="dxa"/>
            <w:shd w:val="clear" w:color="auto" w:fill="auto"/>
          </w:tcPr>
          <w:p w14:paraId="3B05A359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25" w:hanging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Descrição das áreas ocupadas passíveis de desapropriação ou reassentamento.</w:t>
            </w:r>
          </w:p>
        </w:tc>
      </w:tr>
      <w:tr w:rsidR="00A422C7" w:rsidRPr="00CF766F" w14:paraId="63E74266" w14:textId="77777777" w:rsidTr="00975774">
        <w:trPr>
          <w:trHeight w:val="150"/>
        </w:trPr>
        <w:tc>
          <w:tcPr>
            <w:tcW w:w="1844" w:type="dxa"/>
            <w:vMerge w:val="restart"/>
            <w:shd w:val="clear" w:color="auto" w:fill="auto"/>
          </w:tcPr>
          <w:p w14:paraId="717E370E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Geotecnia</w:t>
            </w:r>
          </w:p>
        </w:tc>
        <w:tc>
          <w:tcPr>
            <w:tcW w:w="1184" w:type="dxa"/>
            <w:shd w:val="clear" w:color="auto" w:fill="auto"/>
          </w:tcPr>
          <w:p w14:paraId="12130382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Desenho</w:t>
            </w:r>
          </w:p>
        </w:tc>
        <w:tc>
          <w:tcPr>
            <w:tcW w:w="6470" w:type="dxa"/>
            <w:shd w:val="clear" w:color="auto" w:fill="auto"/>
          </w:tcPr>
          <w:p w14:paraId="7E7A4998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25" w:hanging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Sondagens de reconhecimento para determinação da natureza do terreno e dos níveis do lençol freático;</w:t>
            </w:r>
          </w:p>
          <w:p w14:paraId="34665557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25" w:hanging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Locação de furos de sondagem em áreas de ETE ou ETA e estações elevatórias; e</w:t>
            </w:r>
          </w:p>
          <w:p w14:paraId="54E4ADAA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25" w:hanging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Desenhos de perfis resultantes de sondagens.</w:t>
            </w:r>
          </w:p>
        </w:tc>
      </w:tr>
      <w:tr w:rsidR="00A422C7" w:rsidRPr="00CF766F" w14:paraId="737616FC" w14:textId="77777777" w:rsidTr="00975774">
        <w:trPr>
          <w:trHeight w:val="150"/>
        </w:trPr>
        <w:tc>
          <w:tcPr>
            <w:tcW w:w="1844" w:type="dxa"/>
            <w:vMerge/>
            <w:shd w:val="clear" w:color="auto" w:fill="auto"/>
          </w:tcPr>
          <w:p w14:paraId="39EB359F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14:paraId="0F74E430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Memorial</w:t>
            </w:r>
          </w:p>
        </w:tc>
        <w:tc>
          <w:tcPr>
            <w:tcW w:w="6470" w:type="dxa"/>
            <w:shd w:val="clear" w:color="auto" w:fill="auto"/>
          </w:tcPr>
          <w:p w14:paraId="1262CD99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25" w:hanging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Descrição das características do solo (para ETE, ETA, estações elevatórias e do traçado das redes).</w:t>
            </w:r>
          </w:p>
        </w:tc>
      </w:tr>
      <w:tr w:rsidR="00A422C7" w:rsidRPr="00CF766F" w14:paraId="35A0EBD3" w14:textId="77777777" w:rsidTr="00975774">
        <w:trPr>
          <w:trHeight w:val="150"/>
        </w:trPr>
        <w:tc>
          <w:tcPr>
            <w:tcW w:w="1844" w:type="dxa"/>
            <w:shd w:val="clear" w:color="auto" w:fill="auto"/>
          </w:tcPr>
          <w:p w14:paraId="145CA86D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 xml:space="preserve">Orçamento </w:t>
            </w:r>
          </w:p>
        </w:tc>
        <w:tc>
          <w:tcPr>
            <w:tcW w:w="1184" w:type="dxa"/>
            <w:shd w:val="clear" w:color="auto" w:fill="auto"/>
          </w:tcPr>
          <w:p w14:paraId="41B62036" w14:textId="77777777" w:rsidR="00A422C7" w:rsidRPr="00CF766F" w:rsidRDefault="00A422C7" w:rsidP="00975774">
            <w:pPr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Planilha</w:t>
            </w:r>
          </w:p>
        </w:tc>
        <w:tc>
          <w:tcPr>
            <w:tcW w:w="6470" w:type="dxa"/>
            <w:shd w:val="clear" w:color="auto" w:fill="auto"/>
          </w:tcPr>
          <w:p w14:paraId="02FE7D74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25" w:hanging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Orçamento elaborado de acordo com o especificado no item 7 desta Orientação Técnica;</w:t>
            </w:r>
          </w:p>
          <w:p w14:paraId="781F89B4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25" w:hanging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Cronograma físico-financeiro preliminar; e</w:t>
            </w:r>
          </w:p>
          <w:p w14:paraId="6CF2B1EE" w14:textId="77777777" w:rsidR="00A422C7" w:rsidRPr="00CF766F" w:rsidRDefault="00A422C7" w:rsidP="00A422C7">
            <w:pPr>
              <w:numPr>
                <w:ilvl w:val="0"/>
                <w:numId w:val="3"/>
              </w:numPr>
              <w:spacing w:line="259" w:lineRule="auto"/>
              <w:ind w:left="125" w:hanging="14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766F">
              <w:rPr>
                <w:rFonts w:ascii="Arial" w:hAnsi="Arial" w:cs="Arial"/>
                <w:sz w:val="20"/>
                <w:szCs w:val="20"/>
              </w:rPr>
              <w:t>Matriz de alocação de riscos, quando for adotado adicional de risco no orçamento.</w:t>
            </w:r>
          </w:p>
        </w:tc>
      </w:tr>
    </w:tbl>
    <w:p w14:paraId="7983DAEF" w14:textId="77777777" w:rsidR="00A422C7" w:rsidRPr="00261550" w:rsidRDefault="00A422C7" w:rsidP="00261550">
      <w:pPr>
        <w:spacing w:before="240"/>
        <w:ind w:hanging="426"/>
        <w:rPr>
          <w:rFonts w:ascii="Arial" w:hAnsi="Arial" w:cs="Arial"/>
        </w:rPr>
      </w:pPr>
      <w:r w:rsidRPr="00261550">
        <w:rPr>
          <w:rFonts w:ascii="Arial" w:hAnsi="Arial" w:cs="Arial"/>
        </w:rPr>
        <w:t>Para edificações que compõem o sistema, seguir as orientações da tabela 6.1.</w:t>
      </w:r>
    </w:p>
    <w:sectPr w:rsidR="00A422C7" w:rsidRPr="00261550" w:rsidSect="00366A7A">
      <w:headerReference w:type="default" r:id="rId12"/>
      <w:footerReference w:type="even" r:id="rId13"/>
      <w:footerReference w:type="default" r:id="rId14"/>
      <w:footnotePr>
        <w:numFmt w:val="chicago"/>
      </w:footnotePr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E3ACE" w14:textId="77777777" w:rsidR="00C70B10" w:rsidRDefault="00C70B10">
      <w:r>
        <w:separator/>
      </w:r>
    </w:p>
  </w:endnote>
  <w:endnote w:type="continuationSeparator" w:id="0">
    <w:p w14:paraId="2DE8C014" w14:textId="77777777" w:rsidR="00C70B10" w:rsidRDefault="00C70B10">
      <w:r>
        <w:continuationSeparator/>
      </w:r>
    </w:p>
  </w:endnote>
  <w:endnote w:type="continuationNotice" w:id="1">
    <w:p w14:paraId="66ECE781" w14:textId="77777777" w:rsidR="00C70B10" w:rsidRDefault="00C70B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C44E8" w14:textId="77777777" w:rsidR="0066249C" w:rsidRDefault="0066249C" w:rsidP="00AA445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7BC5C29" w14:textId="77777777" w:rsidR="0066249C" w:rsidRDefault="0066249C" w:rsidP="00AD269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87344" w14:textId="77777777" w:rsidR="0066249C" w:rsidRDefault="0066249C" w:rsidP="00AD269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1D38B" w14:textId="77777777" w:rsidR="00C70B10" w:rsidRDefault="00C70B10">
      <w:r>
        <w:separator/>
      </w:r>
    </w:p>
  </w:footnote>
  <w:footnote w:type="continuationSeparator" w:id="0">
    <w:p w14:paraId="4FCDDA4F" w14:textId="77777777" w:rsidR="00C70B10" w:rsidRDefault="00C70B10">
      <w:r>
        <w:continuationSeparator/>
      </w:r>
    </w:p>
  </w:footnote>
  <w:footnote w:type="continuationNotice" w:id="1">
    <w:p w14:paraId="697A6F62" w14:textId="77777777" w:rsidR="00C70B10" w:rsidRDefault="00C70B10"/>
  </w:footnote>
  <w:footnote w:id="2">
    <w:p w14:paraId="759D5883" w14:textId="77777777" w:rsidR="00FE5398" w:rsidRPr="00CC00E9" w:rsidRDefault="00FE5398" w:rsidP="00FE5398">
      <w:pPr>
        <w:pStyle w:val="Textodenotaderodap"/>
        <w:jc w:val="both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Pr="00CC00E9">
        <w:rPr>
          <w:rFonts w:ascii="Arial" w:hAnsi="Arial" w:cs="Arial"/>
          <w:b/>
        </w:rPr>
        <w:t>Notas da Biblioteca:</w:t>
      </w:r>
    </w:p>
    <w:p w14:paraId="30599F7D" w14:textId="20EB0F98" w:rsidR="00FE5398" w:rsidRPr="000C05DB" w:rsidRDefault="00FE5398" w:rsidP="000C05DB">
      <w:pPr>
        <w:pStyle w:val="Textodenotaderodap"/>
        <w:numPr>
          <w:ilvl w:val="0"/>
          <w:numId w:val="5"/>
        </w:numPr>
        <w:ind w:left="426" w:hanging="284"/>
        <w:jc w:val="both"/>
        <w:rPr>
          <w:rFonts w:ascii="Arial" w:hAnsi="Arial" w:cs="Arial"/>
        </w:rPr>
      </w:pPr>
      <w:r w:rsidRPr="000C05DB">
        <w:rPr>
          <w:rFonts w:ascii="Arial" w:hAnsi="Arial" w:cs="Arial"/>
        </w:rPr>
        <w:t xml:space="preserve">Este texto não substitui o publicado no periódico: </w:t>
      </w:r>
      <w:hyperlink r:id="rId1" w:history="1">
        <w:r w:rsidR="006B60D6" w:rsidRPr="000C05DB">
          <w:rPr>
            <w:rStyle w:val="Hyperlink"/>
            <w:rFonts w:ascii="Arial" w:hAnsi="Arial" w:cs="Arial"/>
            <w:b/>
            <w:bCs/>
          </w:rPr>
          <w:t>Diário Eletrônico do Tribunal de Contas do Estado do Paraná</w:t>
        </w:r>
        <w:r w:rsidR="006B60D6" w:rsidRPr="000C05DB">
          <w:rPr>
            <w:rStyle w:val="Hyperlink"/>
            <w:rFonts w:ascii="Arial" w:hAnsi="Arial" w:cs="Arial"/>
          </w:rPr>
          <w:t>, Curitiba, PR, n. 2414, 3 nov. 2020, p. 46-48</w:t>
        </w:r>
      </w:hyperlink>
      <w:r w:rsidR="006B60D6" w:rsidRPr="000C05DB">
        <w:rPr>
          <w:rFonts w:ascii="Arial" w:hAnsi="Arial" w:cs="Arial"/>
        </w:rPr>
        <w:t>.</w:t>
      </w:r>
    </w:p>
    <w:p w14:paraId="5409F716" w14:textId="1BBB075A" w:rsidR="00FE5398" w:rsidRDefault="00FE5398" w:rsidP="000C05DB">
      <w:pPr>
        <w:pStyle w:val="Textodenotaderodap"/>
        <w:numPr>
          <w:ilvl w:val="0"/>
          <w:numId w:val="5"/>
        </w:numPr>
        <w:ind w:left="426" w:hanging="284"/>
      </w:pPr>
      <w:r w:rsidRPr="000C05DB">
        <w:rPr>
          <w:rFonts w:ascii="Arial" w:hAnsi="Arial" w:cs="Arial"/>
        </w:rPr>
        <w:t xml:space="preserve">Origem: Processo n. </w:t>
      </w:r>
      <w:r w:rsidR="000C05DB" w:rsidRPr="000C05DB">
        <w:rPr>
          <w:rFonts w:ascii="Arial" w:hAnsi="Arial" w:cs="Arial"/>
          <w:color w:val="000000"/>
        </w:rPr>
        <w:t>58561-9/2017</w:t>
      </w:r>
      <w:r w:rsidRPr="000C05DB">
        <w:rPr>
          <w:rFonts w:ascii="Arial" w:hAnsi="Arial" w:cs="Arial"/>
        </w:rPr>
        <w:t xml:space="preserve">– </w:t>
      </w:r>
      <w:hyperlink r:id="rId2" w:history="1">
        <w:r w:rsidRPr="007B2898">
          <w:rPr>
            <w:rStyle w:val="Hyperlink"/>
            <w:rFonts w:ascii="Arial" w:hAnsi="Arial" w:cs="Arial"/>
          </w:rPr>
          <w:t xml:space="preserve">Acórdão n. </w:t>
        </w:r>
        <w:r w:rsidR="006B60D6" w:rsidRPr="007B2898">
          <w:rPr>
            <w:rStyle w:val="Hyperlink"/>
            <w:rFonts w:ascii="Arial" w:hAnsi="Arial" w:cs="Arial"/>
          </w:rPr>
          <w:t>2509</w:t>
        </w:r>
        <w:r w:rsidRPr="007B2898">
          <w:rPr>
            <w:rStyle w:val="Hyperlink"/>
            <w:rFonts w:ascii="Arial" w:hAnsi="Arial" w:cs="Arial"/>
          </w:rPr>
          <w:t>/2020 - Tribunal Pleno</w:t>
        </w:r>
      </w:hyperlink>
      <w:r w:rsidRPr="000C05DB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D6979" w14:textId="5E47937E" w:rsidR="0066249C" w:rsidRDefault="00A82982" w:rsidP="00E60DAD">
    <w:pPr>
      <w:pStyle w:val="Cabealho"/>
      <w:spacing w:before="240" w:after="24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34E14E0" wp14:editId="4D309A4A">
          <wp:simplePos x="0" y="0"/>
          <wp:positionH relativeFrom="column">
            <wp:posOffset>35560</wp:posOffset>
          </wp:positionH>
          <wp:positionV relativeFrom="paragraph">
            <wp:posOffset>-77470</wp:posOffset>
          </wp:positionV>
          <wp:extent cx="605790" cy="712470"/>
          <wp:effectExtent l="0" t="0" r="0" b="0"/>
          <wp:wrapSquare wrapText="bothSides"/>
          <wp:docPr id="1" name="Imagem 1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49C" w:rsidRPr="00C404BE">
      <w:rPr>
        <w:rFonts w:ascii="Arial" w:hAnsi="Arial" w:cs="Arial"/>
        <w:b/>
        <w:sz w:val="28"/>
        <w:szCs w:val="28"/>
      </w:rPr>
      <w:t>TRIBUNAL DE CONTAS DO ESTADO DO PARANÁ</w:t>
    </w:r>
  </w:p>
  <w:p w14:paraId="7AF224A2" w14:textId="77777777" w:rsidR="00366A7A" w:rsidRDefault="00366A7A" w:rsidP="00366A7A">
    <w:pPr>
      <w:pStyle w:val="Cabealho"/>
      <w:spacing w:before="120" w:after="120"/>
      <w:ind w:left="1134"/>
      <w:jc w:val="center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4B34"/>
    <w:multiLevelType w:val="hybridMultilevel"/>
    <w:tmpl w:val="768C4900"/>
    <w:lvl w:ilvl="0" w:tplc="F60E1FA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00FCB"/>
    <w:multiLevelType w:val="hybridMultilevel"/>
    <w:tmpl w:val="37CCDD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C3CBD"/>
    <w:multiLevelType w:val="hybridMultilevel"/>
    <w:tmpl w:val="E6DE62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1674C"/>
    <w:multiLevelType w:val="hybridMultilevel"/>
    <w:tmpl w:val="60A4FA18"/>
    <w:lvl w:ilvl="0" w:tplc="F1C6B9F4">
      <w:start w:val="6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657D23"/>
    <w:multiLevelType w:val="hybridMultilevel"/>
    <w:tmpl w:val="E1D412E6"/>
    <w:lvl w:ilvl="0" w:tplc="FFFFFFFF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445233">
    <w:abstractNumId w:val="2"/>
  </w:num>
  <w:num w:numId="2" w16cid:durableId="40792180">
    <w:abstractNumId w:val="1"/>
  </w:num>
  <w:num w:numId="3" w16cid:durableId="1425760750">
    <w:abstractNumId w:val="3"/>
  </w:num>
  <w:num w:numId="4" w16cid:durableId="263997062">
    <w:abstractNumId w:val="4"/>
  </w:num>
  <w:num w:numId="5" w16cid:durableId="260645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661"/>
    <w:rsid w:val="00021BEF"/>
    <w:rsid w:val="0004274D"/>
    <w:rsid w:val="00053204"/>
    <w:rsid w:val="000605EE"/>
    <w:rsid w:val="000679DB"/>
    <w:rsid w:val="00070A4B"/>
    <w:rsid w:val="00081959"/>
    <w:rsid w:val="0009370E"/>
    <w:rsid w:val="000A0122"/>
    <w:rsid w:val="000A0386"/>
    <w:rsid w:val="000B4E9F"/>
    <w:rsid w:val="000C05DB"/>
    <w:rsid w:val="000C68A9"/>
    <w:rsid w:val="000F06EE"/>
    <w:rsid w:val="000F0DC6"/>
    <w:rsid w:val="001000B9"/>
    <w:rsid w:val="0011369C"/>
    <w:rsid w:val="00123DE1"/>
    <w:rsid w:val="0012745F"/>
    <w:rsid w:val="00142ADD"/>
    <w:rsid w:val="00146978"/>
    <w:rsid w:val="00147824"/>
    <w:rsid w:val="001543CD"/>
    <w:rsid w:val="00155EC7"/>
    <w:rsid w:val="0019498E"/>
    <w:rsid w:val="001C17B8"/>
    <w:rsid w:val="001D07D2"/>
    <w:rsid w:val="001D0B09"/>
    <w:rsid w:val="001D2E9A"/>
    <w:rsid w:val="001D6F9D"/>
    <w:rsid w:val="001E2907"/>
    <w:rsid w:val="001E4F3E"/>
    <w:rsid w:val="001F297B"/>
    <w:rsid w:val="00252933"/>
    <w:rsid w:val="00261550"/>
    <w:rsid w:val="00283F4D"/>
    <w:rsid w:val="00284177"/>
    <w:rsid w:val="00290FDB"/>
    <w:rsid w:val="00291D10"/>
    <w:rsid w:val="002921E0"/>
    <w:rsid w:val="002A15EE"/>
    <w:rsid w:val="002D5497"/>
    <w:rsid w:val="002E3E39"/>
    <w:rsid w:val="002F0310"/>
    <w:rsid w:val="00300126"/>
    <w:rsid w:val="00352ECA"/>
    <w:rsid w:val="00366A7A"/>
    <w:rsid w:val="003705BD"/>
    <w:rsid w:val="00373660"/>
    <w:rsid w:val="00374244"/>
    <w:rsid w:val="00390302"/>
    <w:rsid w:val="003939F6"/>
    <w:rsid w:val="003A7B75"/>
    <w:rsid w:val="003C03F8"/>
    <w:rsid w:val="003C2825"/>
    <w:rsid w:val="003C71EF"/>
    <w:rsid w:val="00405768"/>
    <w:rsid w:val="004416A7"/>
    <w:rsid w:val="004505CE"/>
    <w:rsid w:val="004604F8"/>
    <w:rsid w:val="00460C5E"/>
    <w:rsid w:val="004743C2"/>
    <w:rsid w:val="00480ACE"/>
    <w:rsid w:val="0048683E"/>
    <w:rsid w:val="004B5683"/>
    <w:rsid w:val="004C025F"/>
    <w:rsid w:val="004C4394"/>
    <w:rsid w:val="004C7958"/>
    <w:rsid w:val="00506D3A"/>
    <w:rsid w:val="005D42B6"/>
    <w:rsid w:val="005D6010"/>
    <w:rsid w:val="005E595E"/>
    <w:rsid w:val="00605705"/>
    <w:rsid w:val="006509DA"/>
    <w:rsid w:val="0066249C"/>
    <w:rsid w:val="0067054B"/>
    <w:rsid w:val="006817D5"/>
    <w:rsid w:val="006826EE"/>
    <w:rsid w:val="006B3F7F"/>
    <w:rsid w:val="006B60D6"/>
    <w:rsid w:val="006D3DE3"/>
    <w:rsid w:val="006F626B"/>
    <w:rsid w:val="00701946"/>
    <w:rsid w:val="007362B6"/>
    <w:rsid w:val="00754614"/>
    <w:rsid w:val="00773F6B"/>
    <w:rsid w:val="00786BC9"/>
    <w:rsid w:val="00787410"/>
    <w:rsid w:val="00790839"/>
    <w:rsid w:val="007979CD"/>
    <w:rsid w:val="007B2898"/>
    <w:rsid w:val="007B541D"/>
    <w:rsid w:val="007B6480"/>
    <w:rsid w:val="007E1BB3"/>
    <w:rsid w:val="007F68E0"/>
    <w:rsid w:val="007F75CF"/>
    <w:rsid w:val="00803656"/>
    <w:rsid w:val="00834252"/>
    <w:rsid w:val="00844357"/>
    <w:rsid w:val="00871987"/>
    <w:rsid w:val="008719F5"/>
    <w:rsid w:val="00881F22"/>
    <w:rsid w:val="008A01F0"/>
    <w:rsid w:val="008D5003"/>
    <w:rsid w:val="008E2718"/>
    <w:rsid w:val="008F7363"/>
    <w:rsid w:val="00900DDC"/>
    <w:rsid w:val="00903E65"/>
    <w:rsid w:val="00906E4D"/>
    <w:rsid w:val="00912669"/>
    <w:rsid w:val="00916D5F"/>
    <w:rsid w:val="00940DA6"/>
    <w:rsid w:val="00947334"/>
    <w:rsid w:val="00954D45"/>
    <w:rsid w:val="0097229D"/>
    <w:rsid w:val="00975774"/>
    <w:rsid w:val="009A1923"/>
    <w:rsid w:val="009B718E"/>
    <w:rsid w:val="00A25C4C"/>
    <w:rsid w:val="00A422C7"/>
    <w:rsid w:val="00A56C43"/>
    <w:rsid w:val="00A82982"/>
    <w:rsid w:val="00A87661"/>
    <w:rsid w:val="00A953B5"/>
    <w:rsid w:val="00AA018F"/>
    <w:rsid w:val="00AA4452"/>
    <w:rsid w:val="00AB3FEC"/>
    <w:rsid w:val="00AC706A"/>
    <w:rsid w:val="00AD17AE"/>
    <w:rsid w:val="00AD2695"/>
    <w:rsid w:val="00AF7189"/>
    <w:rsid w:val="00B0643C"/>
    <w:rsid w:val="00B122F7"/>
    <w:rsid w:val="00B17AF7"/>
    <w:rsid w:val="00B22DDC"/>
    <w:rsid w:val="00B33609"/>
    <w:rsid w:val="00B47B3A"/>
    <w:rsid w:val="00B52B88"/>
    <w:rsid w:val="00B65CBB"/>
    <w:rsid w:val="00B71E34"/>
    <w:rsid w:val="00B8114B"/>
    <w:rsid w:val="00B91290"/>
    <w:rsid w:val="00B91F25"/>
    <w:rsid w:val="00B96EE0"/>
    <w:rsid w:val="00BD0103"/>
    <w:rsid w:val="00BD5199"/>
    <w:rsid w:val="00C01F80"/>
    <w:rsid w:val="00C13806"/>
    <w:rsid w:val="00C16A35"/>
    <w:rsid w:val="00C17F9B"/>
    <w:rsid w:val="00C407CD"/>
    <w:rsid w:val="00C474AE"/>
    <w:rsid w:val="00C531E8"/>
    <w:rsid w:val="00C70B10"/>
    <w:rsid w:val="00C84F53"/>
    <w:rsid w:val="00C87498"/>
    <w:rsid w:val="00C9431D"/>
    <w:rsid w:val="00CD0DAD"/>
    <w:rsid w:val="00CE0A9A"/>
    <w:rsid w:val="00CF766F"/>
    <w:rsid w:val="00D361B6"/>
    <w:rsid w:val="00D50162"/>
    <w:rsid w:val="00D51F81"/>
    <w:rsid w:val="00D52B62"/>
    <w:rsid w:val="00D64123"/>
    <w:rsid w:val="00D73867"/>
    <w:rsid w:val="00D80342"/>
    <w:rsid w:val="00D818A8"/>
    <w:rsid w:val="00D86ADD"/>
    <w:rsid w:val="00DA3F33"/>
    <w:rsid w:val="00DA5E5A"/>
    <w:rsid w:val="00DD2557"/>
    <w:rsid w:val="00DE449D"/>
    <w:rsid w:val="00DF1050"/>
    <w:rsid w:val="00DF12BE"/>
    <w:rsid w:val="00E0734C"/>
    <w:rsid w:val="00E07395"/>
    <w:rsid w:val="00E60DAD"/>
    <w:rsid w:val="00E77FDE"/>
    <w:rsid w:val="00EA0EA6"/>
    <w:rsid w:val="00EA13FB"/>
    <w:rsid w:val="00EC2AA7"/>
    <w:rsid w:val="00EC4961"/>
    <w:rsid w:val="00EF2DEC"/>
    <w:rsid w:val="00EF3BF4"/>
    <w:rsid w:val="00EF5FF1"/>
    <w:rsid w:val="00F038F1"/>
    <w:rsid w:val="00F114C7"/>
    <w:rsid w:val="00F40F61"/>
    <w:rsid w:val="00F50259"/>
    <w:rsid w:val="00F6718F"/>
    <w:rsid w:val="00F81D63"/>
    <w:rsid w:val="00FD394C"/>
    <w:rsid w:val="00FD7A31"/>
    <w:rsid w:val="00FE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3B87C0"/>
  <w15:docId w15:val="{9ED337D1-BE55-44D3-BF7E-A37A42AA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018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A87661"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Rodap">
    <w:name w:val="footer"/>
    <w:basedOn w:val="Normal"/>
    <w:link w:val="RodapChar"/>
    <w:uiPriority w:val="99"/>
    <w:rsid w:val="00AD2695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AD2695"/>
  </w:style>
  <w:style w:type="paragraph" w:styleId="Cabealho">
    <w:name w:val="header"/>
    <w:basedOn w:val="Normal"/>
    <w:link w:val="CabealhoChar"/>
    <w:rsid w:val="000A03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A0386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460C5E"/>
    <w:pPr>
      <w:spacing w:before="120" w:after="120" w:line="360" w:lineRule="auto"/>
      <w:ind w:firstLine="216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rsid w:val="00460C5E"/>
    <w:rPr>
      <w:rFonts w:ascii="Arial" w:hAnsi="Arial" w:cs="Arial"/>
      <w:sz w:val="24"/>
      <w:szCs w:val="24"/>
    </w:rPr>
  </w:style>
  <w:style w:type="character" w:styleId="TextodoEspaoReservado">
    <w:name w:val="Placeholder Text"/>
    <w:uiPriority w:val="99"/>
    <w:semiHidden/>
    <w:rsid w:val="00C87498"/>
    <w:rPr>
      <w:color w:val="808080"/>
    </w:rPr>
  </w:style>
  <w:style w:type="paragraph" w:styleId="Textodebalo">
    <w:name w:val="Balloon Text"/>
    <w:basedOn w:val="Normal"/>
    <w:link w:val="TextodebaloChar"/>
    <w:rsid w:val="00C874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87498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B47B3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B47B3A"/>
    <w:rPr>
      <w:sz w:val="16"/>
      <w:szCs w:val="16"/>
    </w:rPr>
  </w:style>
  <w:style w:type="paragraph" w:customStyle="1" w:styleId="Ementa">
    <w:name w:val="Ementa"/>
    <w:basedOn w:val="Normal"/>
    <w:rsid w:val="00B47B3A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Texto">
    <w:name w:val="Texto"/>
    <w:basedOn w:val="Normal"/>
    <w:rsid w:val="00B47B3A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customStyle="1" w:styleId="ArtigosOrdinais">
    <w:name w:val="ArtigosOrdinais"/>
    <w:basedOn w:val="Normal"/>
    <w:rsid w:val="00B47B3A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styleId="Reviso">
    <w:name w:val="Revision"/>
    <w:hidden/>
    <w:uiPriority w:val="99"/>
    <w:semiHidden/>
    <w:rsid w:val="00F038F1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E60DAD"/>
    <w:rPr>
      <w:sz w:val="24"/>
      <w:szCs w:val="24"/>
    </w:rPr>
  </w:style>
  <w:style w:type="paragraph" w:styleId="Textodenotaderodap">
    <w:name w:val="footnote text"/>
    <w:basedOn w:val="Normal"/>
    <w:link w:val="TextodenotaderodapChar"/>
    <w:unhideWhenUsed/>
    <w:rsid w:val="00FE539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FE5398"/>
  </w:style>
  <w:style w:type="character" w:styleId="Refdenotaderodap">
    <w:name w:val="footnote reference"/>
    <w:basedOn w:val="Fontepargpadro"/>
    <w:semiHidden/>
    <w:unhideWhenUsed/>
    <w:rsid w:val="00FE5398"/>
    <w:rPr>
      <w:vertAlign w:val="superscript"/>
    </w:rPr>
  </w:style>
  <w:style w:type="character" w:styleId="Hyperlink">
    <w:name w:val="Hyperlink"/>
    <w:uiPriority w:val="99"/>
    <w:rsid w:val="00FE5398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B2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1.tce.pr.gov.br/multimidia/2020/9/pdf/00350150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1.tce.pr.gov.br/multimidia/2020/9/pdf/00350150.pdf" TargetMode="External"/><Relationship Id="rId1" Type="http://schemas.openxmlformats.org/officeDocument/2006/relationships/hyperlink" Target="https://www1.tce.pr.gov.br/multimidia/2020/11/pdf/00351595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56AD8DEE17442B49C041355CA5801" ma:contentTypeVersion="0" ma:contentTypeDescription="Create a new document." ma:contentTypeScope="" ma:versionID="c8acc8029b1be1f17c0f393831b8d0a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82321F-785A-488D-BBC2-14C050C766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4E0C5A-6D62-4259-ABFC-94FE69C20E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8F34B7-A6D4-4ADA-BB27-3D6878CF3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3A498E9-FC5E-4E4A-9987-381CD6C88C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2183</Words>
  <Characters>13539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realização auditorias/inspeções/monitoramento</vt:lpstr>
    </vt:vector>
  </TitlesOfParts>
  <Company>TCE-PR</Company>
  <LinksUpToDate>false</LinksUpToDate>
  <CharactersWithSpaces>15691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80-2020 - Dispõe Anteprojetos Engenharia</dc:title>
  <dc:subject>Requerimento Interno - Licitação</dc:subject>
  <dc:creator>tc508500</dc:creator>
  <cp:keywords/>
  <cp:lastModifiedBy>Yarusya Fonseca</cp:lastModifiedBy>
  <cp:revision>8</cp:revision>
  <dcterms:created xsi:type="dcterms:W3CDTF">2022-07-05T19:19:00Z</dcterms:created>
  <dcterms:modified xsi:type="dcterms:W3CDTF">2022-07-15T20:23:00Z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0x01010093F56AD8DEE17442B49C041355CA5801</vt:lpwstr>
  </property>
  <property fmtid="{D5CDD505-2E9C-101B-9397-08002B2CF9AE}" pid="3" name="Order">
    <vt:r8>10600</vt:r8>
  </property>
</Properties>
</file>