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523E" w14:textId="2F796FB0" w:rsidR="00066BB0" w:rsidRDefault="00066BB0" w:rsidP="00066BB0">
      <w:pPr>
        <w:spacing w:before="120"/>
        <w:jc w:val="center"/>
        <w:rPr>
          <w:rFonts w:ascii="Arial" w:hAnsi="Arial" w:cs="Arial"/>
          <w:b/>
          <w:bCs/>
          <w:sz w:val="28"/>
          <w:szCs w:val="24"/>
        </w:rPr>
      </w:pPr>
      <w:r w:rsidRPr="00940757">
        <w:rPr>
          <w:rFonts w:ascii="Arial" w:hAnsi="Arial" w:cs="Arial"/>
          <w:b/>
          <w:bCs/>
          <w:sz w:val="28"/>
          <w:szCs w:val="24"/>
        </w:rPr>
        <w:t>INSTRUÇÃO</w:t>
      </w:r>
      <w:r w:rsidRPr="00940757">
        <w:rPr>
          <w:rFonts w:ascii="Arial" w:hAnsi="Arial" w:cs="Arial"/>
          <w:b/>
          <w:bCs/>
          <w:spacing w:val="-8"/>
          <w:sz w:val="28"/>
          <w:szCs w:val="24"/>
        </w:rPr>
        <w:t xml:space="preserve"> </w:t>
      </w:r>
      <w:r w:rsidRPr="00940757">
        <w:rPr>
          <w:rFonts w:ascii="Arial" w:hAnsi="Arial" w:cs="Arial"/>
          <w:b/>
          <w:bCs/>
          <w:sz w:val="28"/>
          <w:szCs w:val="24"/>
        </w:rPr>
        <w:t>NORMATIVA</w:t>
      </w:r>
      <w:r w:rsidRPr="00940757">
        <w:rPr>
          <w:rFonts w:ascii="Arial" w:hAnsi="Arial" w:cs="Arial"/>
          <w:b/>
          <w:bCs/>
          <w:spacing w:val="-6"/>
          <w:sz w:val="28"/>
          <w:szCs w:val="24"/>
        </w:rPr>
        <w:t xml:space="preserve"> </w:t>
      </w:r>
      <w:r w:rsidRPr="00940757">
        <w:rPr>
          <w:rFonts w:ascii="Arial" w:hAnsi="Arial" w:cs="Arial"/>
          <w:b/>
          <w:bCs/>
          <w:sz w:val="28"/>
          <w:szCs w:val="24"/>
        </w:rPr>
        <w:t>N°</w:t>
      </w:r>
      <w:r w:rsidRPr="00940757">
        <w:rPr>
          <w:rFonts w:ascii="Arial" w:hAnsi="Arial" w:cs="Arial"/>
          <w:b/>
          <w:bCs/>
          <w:spacing w:val="-10"/>
          <w:sz w:val="28"/>
          <w:szCs w:val="24"/>
        </w:rPr>
        <w:t xml:space="preserve"> </w:t>
      </w:r>
      <w:r w:rsidRPr="00940757">
        <w:rPr>
          <w:rFonts w:ascii="Arial" w:hAnsi="Arial" w:cs="Arial"/>
          <w:b/>
          <w:bCs/>
          <w:sz w:val="28"/>
          <w:szCs w:val="24"/>
        </w:rPr>
        <w:t>1</w:t>
      </w:r>
      <w:r>
        <w:rPr>
          <w:rFonts w:ascii="Arial" w:hAnsi="Arial" w:cs="Arial"/>
          <w:b/>
          <w:bCs/>
          <w:sz w:val="28"/>
          <w:szCs w:val="24"/>
        </w:rPr>
        <w:t>4</w:t>
      </w:r>
      <w:r w:rsidRPr="00940757">
        <w:rPr>
          <w:rFonts w:ascii="Arial" w:hAnsi="Arial" w:cs="Arial"/>
          <w:b/>
          <w:bCs/>
          <w:sz w:val="28"/>
          <w:szCs w:val="24"/>
        </w:rPr>
        <w:t>/2007</w:t>
      </w:r>
      <w:r w:rsidR="000F5E73">
        <w:rPr>
          <w:rStyle w:val="Refdenotaderodap"/>
          <w:rFonts w:ascii="Arial" w:hAnsi="Arial" w:cs="Arial"/>
          <w:b/>
          <w:bCs/>
          <w:sz w:val="28"/>
          <w:szCs w:val="24"/>
        </w:rPr>
        <w:footnoteReference w:id="1"/>
      </w:r>
    </w:p>
    <w:p w14:paraId="23FCAD83" w14:textId="77777777" w:rsidR="00571EDC" w:rsidRPr="008E0B20" w:rsidRDefault="00CA2E26" w:rsidP="00995C64">
      <w:pPr>
        <w:spacing w:before="360" w:after="360"/>
        <w:ind w:left="4536"/>
        <w:jc w:val="both"/>
        <w:rPr>
          <w:rFonts w:ascii="Arial" w:hAnsi="Arial" w:cs="Arial"/>
          <w:i/>
        </w:rPr>
      </w:pPr>
      <w:r w:rsidRPr="008E0B20">
        <w:rPr>
          <w:rFonts w:ascii="Arial" w:hAnsi="Arial" w:cs="Arial"/>
          <w:i/>
        </w:rPr>
        <w:t>Regulamenta o art. 226, § 2º, do Regimento Interno do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Tribunal de Contas, relativamente à prestação de contas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anual,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respectiva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ao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exercício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financeiro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de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2006,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dos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Consórcios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intermunicipais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do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Estado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do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Paraná</w:t>
      </w:r>
      <w:r w:rsidRPr="008E0B20">
        <w:rPr>
          <w:rFonts w:ascii="Arial" w:hAnsi="Arial" w:cs="Arial"/>
          <w:i/>
          <w:spacing w:val="69"/>
        </w:rPr>
        <w:t xml:space="preserve"> </w:t>
      </w:r>
      <w:r w:rsidRPr="008E0B20">
        <w:rPr>
          <w:rFonts w:ascii="Arial" w:hAnsi="Arial" w:cs="Arial"/>
          <w:i/>
        </w:rPr>
        <w:t>e</w:t>
      </w:r>
      <w:r w:rsidRPr="008E0B20">
        <w:rPr>
          <w:rFonts w:ascii="Arial" w:hAnsi="Arial" w:cs="Arial"/>
          <w:i/>
          <w:spacing w:val="1"/>
        </w:rPr>
        <w:t xml:space="preserve"> </w:t>
      </w:r>
      <w:r w:rsidRPr="008E0B20">
        <w:rPr>
          <w:rFonts w:ascii="Arial" w:hAnsi="Arial" w:cs="Arial"/>
          <w:i/>
        </w:rPr>
        <w:t>entidades</w:t>
      </w:r>
      <w:r w:rsidRPr="008E0B20">
        <w:rPr>
          <w:rFonts w:ascii="Arial" w:hAnsi="Arial" w:cs="Arial"/>
          <w:i/>
          <w:spacing w:val="-3"/>
        </w:rPr>
        <w:t xml:space="preserve"> </w:t>
      </w:r>
      <w:r w:rsidRPr="008E0B20">
        <w:rPr>
          <w:rFonts w:ascii="Arial" w:hAnsi="Arial" w:cs="Arial"/>
          <w:i/>
        </w:rPr>
        <w:t>congêneres.</w:t>
      </w:r>
    </w:p>
    <w:p w14:paraId="7755E937" w14:textId="1A1058FB" w:rsidR="00571EDC" w:rsidRPr="00E07E23" w:rsidRDefault="00087FA8" w:rsidP="00995C64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I_–_APLICABILIDADE_"/>
      <w:bookmarkEnd w:id="0"/>
      <w:r w:rsidRPr="00E07E23">
        <w:rPr>
          <w:rFonts w:ascii="Arial" w:hAnsi="Arial" w:cs="Arial"/>
          <w:b/>
          <w:bCs/>
          <w:sz w:val="24"/>
          <w:szCs w:val="24"/>
        </w:rPr>
        <w:t xml:space="preserve">I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–</w:t>
      </w:r>
      <w:r w:rsidR="00CA2E26" w:rsidRPr="00E07E23">
        <w:rPr>
          <w:rFonts w:ascii="Arial" w:hAnsi="Arial" w:cs="Arial"/>
          <w:b/>
          <w:bCs/>
          <w:spacing w:val="-12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APLICABILIDADE</w:t>
      </w:r>
    </w:p>
    <w:p w14:paraId="0DF1656A" w14:textId="76691CEE" w:rsidR="00571EDC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1º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 normas desta Instrução aplicam-se aos Consórcios intermunicipais 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entidades congêneres formadas por Municípios do Estado do Paraná, para a realização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dos serviços e obras de interesse comum, dispostos no § 1° do art. 225, do Regimento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Interno do Tribunal de Contas do Estado do Paraná, aprovado pela Resolução TCE/PR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nº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01/2006.</w:t>
      </w:r>
    </w:p>
    <w:p w14:paraId="368731D5" w14:textId="27279C23" w:rsidR="00571EDC" w:rsidRPr="00B876C7" w:rsidRDefault="00087FA8" w:rsidP="00926632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II_-_PRAZO_"/>
      <w:bookmarkEnd w:id="1"/>
      <w:r w:rsidRPr="00B876C7">
        <w:rPr>
          <w:rFonts w:ascii="Arial" w:hAnsi="Arial" w:cs="Arial"/>
          <w:b/>
          <w:bCs/>
          <w:sz w:val="24"/>
          <w:szCs w:val="24"/>
        </w:rPr>
        <w:t>II</w:t>
      </w:r>
      <w:r w:rsidR="00CA2E26" w:rsidRPr="00B876C7">
        <w:rPr>
          <w:rFonts w:ascii="Arial" w:hAnsi="Arial" w:cs="Arial"/>
          <w:b/>
          <w:bCs/>
          <w:sz w:val="24"/>
          <w:szCs w:val="24"/>
        </w:rPr>
        <w:t>-</w:t>
      </w:r>
      <w:r w:rsidR="00CA2E26" w:rsidRPr="00B876C7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CA2E26" w:rsidRPr="00B876C7">
        <w:rPr>
          <w:rFonts w:ascii="Arial" w:hAnsi="Arial" w:cs="Arial"/>
          <w:b/>
          <w:bCs/>
          <w:sz w:val="24"/>
          <w:szCs w:val="24"/>
        </w:rPr>
        <w:t>PRAZO</w:t>
      </w:r>
    </w:p>
    <w:p w14:paraId="4EA42313" w14:textId="7C72AD7D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</w:t>
      </w:r>
      <w:r w:rsidRPr="009C1F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C1FBD">
        <w:rPr>
          <w:rFonts w:ascii="Arial" w:hAnsi="Arial" w:cs="Arial"/>
          <w:b/>
          <w:bCs/>
          <w:sz w:val="24"/>
          <w:szCs w:val="24"/>
        </w:rPr>
        <w:t>2º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prestações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entidades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sujeitas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à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presente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Instrução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Normativa,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relativas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exercício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financeiro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2006,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protocoladas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junto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à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Diretoria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 Protocolo do Tribunal de Contas, até as 18:00 horas do dia 30 de abril 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2007.</w:t>
      </w:r>
    </w:p>
    <w:p w14:paraId="4CD47D25" w14:textId="70313F6E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3º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 encaminhamento da prestação de contas poderá ser realizado através do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Serviço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Correios,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mediante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remessa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registrada,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caso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em</w:t>
      </w:r>
      <w:r w:rsidRPr="00EF28C2">
        <w:rPr>
          <w:rFonts w:ascii="Arial" w:hAnsi="Arial" w:cs="Arial"/>
          <w:spacing w:val="57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que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será</w:t>
      </w:r>
      <w:r w:rsidRPr="00EF28C2">
        <w:rPr>
          <w:rFonts w:ascii="Arial" w:hAnsi="Arial" w:cs="Arial"/>
          <w:spacing w:val="5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considerada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como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data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 entrega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 postagem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Agência respectiva.</w:t>
      </w:r>
    </w:p>
    <w:p w14:paraId="22CF273A" w14:textId="0F22C2A5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4º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 transferência dos dados eletrônicos da prestação de contas, via internet,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será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realizada até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 24:00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horas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dia 30/04/2007.</w:t>
      </w:r>
    </w:p>
    <w:p w14:paraId="7FA7CCE5" w14:textId="77777777" w:rsidR="00803575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8C2">
        <w:rPr>
          <w:rFonts w:ascii="Arial" w:hAnsi="Arial" w:cs="Arial"/>
          <w:sz w:val="24"/>
          <w:szCs w:val="24"/>
        </w:rPr>
        <w:t>§ 1º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 recepção dos dados eletrônicos ficará sujeita à confirmação da respectiva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consistência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em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relação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às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informações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enviadas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através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Sistema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Acompanhamento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Mensal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– SIM/AM.</w:t>
      </w:r>
    </w:p>
    <w:p w14:paraId="10230110" w14:textId="25CF109C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8C2">
        <w:rPr>
          <w:rFonts w:ascii="Arial" w:hAnsi="Arial" w:cs="Arial"/>
          <w:sz w:val="24"/>
          <w:szCs w:val="24"/>
        </w:rPr>
        <w:t>§ 2º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 verificação de consistências será realizada de forma automática pelo sistema,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cabendo</w:t>
      </w:r>
      <w:r w:rsidRPr="00EF28C2">
        <w:rPr>
          <w:rFonts w:ascii="Arial" w:hAnsi="Arial" w:cs="Arial"/>
          <w:spacing w:val="25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às</w:t>
      </w:r>
      <w:r w:rsidRPr="00EF28C2">
        <w:rPr>
          <w:rFonts w:ascii="Arial" w:hAnsi="Arial" w:cs="Arial"/>
          <w:spacing w:val="25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entidades</w:t>
      </w:r>
      <w:r w:rsidRPr="00EF28C2">
        <w:rPr>
          <w:rFonts w:ascii="Arial" w:hAnsi="Arial" w:cs="Arial"/>
          <w:spacing w:val="25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que</w:t>
      </w:r>
      <w:r w:rsidRPr="00EF28C2">
        <w:rPr>
          <w:rFonts w:ascii="Arial" w:hAnsi="Arial" w:cs="Arial"/>
          <w:spacing w:val="2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enviaram</w:t>
      </w:r>
      <w:r w:rsidRPr="00EF28C2">
        <w:rPr>
          <w:rFonts w:ascii="Arial" w:hAnsi="Arial" w:cs="Arial"/>
          <w:spacing w:val="2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</w:t>
      </w:r>
      <w:r w:rsidRPr="00EF28C2">
        <w:rPr>
          <w:rFonts w:ascii="Arial" w:hAnsi="Arial" w:cs="Arial"/>
          <w:spacing w:val="25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prestação</w:t>
      </w:r>
      <w:r w:rsidRPr="00EF28C2">
        <w:rPr>
          <w:rFonts w:ascii="Arial" w:hAnsi="Arial" w:cs="Arial"/>
          <w:spacing w:val="2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2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25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eletrônica</w:t>
      </w:r>
      <w:r w:rsidRPr="00EF28C2">
        <w:rPr>
          <w:rFonts w:ascii="Arial" w:hAnsi="Arial" w:cs="Arial"/>
          <w:spacing w:val="2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certificarem-se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que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esta foi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aceita, junto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ao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sítio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Tribunal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internet.</w:t>
      </w:r>
    </w:p>
    <w:p w14:paraId="6DA2BC26" w14:textId="5E2C8B59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8C2">
        <w:rPr>
          <w:rFonts w:ascii="Arial" w:hAnsi="Arial" w:cs="Arial"/>
          <w:sz w:val="24"/>
          <w:szCs w:val="24"/>
        </w:rPr>
        <w:t>§ 3º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 Tribunal de Contas disponibilizará em seu sítio na internet, recibo de entrega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 xml:space="preserve">da prestação de contas eletrônica, ou a relação dos erros constatados, </w:t>
      </w:r>
      <w:r w:rsidRPr="00EF28C2">
        <w:rPr>
          <w:rFonts w:ascii="Arial" w:hAnsi="Arial" w:cs="Arial"/>
          <w:sz w:val="24"/>
          <w:szCs w:val="24"/>
        </w:rPr>
        <w:lastRenderedPageBreak/>
        <w:t>no caso de esta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não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aceita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por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falhas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constatadas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na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consistência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dados.</w:t>
      </w:r>
    </w:p>
    <w:p w14:paraId="346B0956" w14:textId="1F1809C8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8C2">
        <w:rPr>
          <w:rFonts w:ascii="Arial" w:hAnsi="Arial" w:cs="Arial"/>
          <w:sz w:val="24"/>
          <w:szCs w:val="24"/>
        </w:rPr>
        <w:t>§</w:t>
      </w:r>
      <w:r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4º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</w:t>
      </w:r>
      <w:r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prestação</w:t>
      </w:r>
      <w:r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eletrônica</w:t>
      </w:r>
      <w:r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somente</w:t>
      </w:r>
      <w:r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será</w:t>
      </w:r>
      <w:r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considerada</w:t>
      </w:r>
      <w:r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entregue,</w:t>
      </w:r>
      <w:r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</w:t>
      </w:r>
      <w:r w:rsidRPr="00EF28C2">
        <w:rPr>
          <w:rFonts w:ascii="Arial" w:hAnsi="Arial" w:cs="Arial"/>
          <w:spacing w:val="5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emitido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 respectivo recibo de entrega, quando os dados forem validados pelo sistema sem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apresentação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 falhas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 consistência.</w:t>
      </w:r>
    </w:p>
    <w:p w14:paraId="2646FDEC" w14:textId="3B6B2F41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C66E18">
        <w:rPr>
          <w:rFonts w:ascii="Arial" w:hAnsi="Arial" w:cs="Arial"/>
          <w:b/>
          <w:bCs/>
          <w:sz w:val="24"/>
          <w:szCs w:val="24"/>
        </w:rPr>
        <w:t>Art. 5º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 atualização cadastral da entidade junto ao Sistema de Cadastro do Tribunal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constitui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pré-condição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para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recebimento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70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eletrônica.</w:t>
      </w:r>
    </w:p>
    <w:p w14:paraId="57DE980E" w14:textId="3F05CC2D" w:rsidR="00571EDC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6º</w:t>
      </w:r>
      <w:r w:rsidR="00803575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 prestações de contas das entidades municipais referidas no título I desta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Instrução, serão compostas de documentos originais ou de cópias autenticadas pela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autoridade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competente,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mantendo-se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na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origem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cópias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integralidade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destes.</w:t>
      </w:r>
    </w:p>
    <w:p w14:paraId="654523B9" w14:textId="4D29EDB3" w:rsidR="00571EDC" w:rsidRPr="00E07E23" w:rsidRDefault="00087FA8" w:rsidP="00915E41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III_–_COMPOSIÇÃO_DA_PRESTAÇÃO_DE_CONTAS_"/>
      <w:bookmarkEnd w:id="2"/>
      <w:r w:rsidRPr="00E07E23">
        <w:rPr>
          <w:rFonts w:ascii="Arial" w:hAnsi="Arial" w:cs="Arial"/>
          <w:b/>
          <w:bCs/>
          <w:sz w:val="24"/>
          <w:szCs w:val="24"/>
        </w:rPr>
        <w:t xml:space="preserve">III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–</w:t>
      </w:r>
      <w:r w:rsidR="00CA2E26" w:rsidRPr="00E07E23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COMPOSIÇÃO</w:t>
      </w:r>
      <w:r w:rsidR="00CA2E26" w:rsidRPr="00E07E2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DA</w:t>
      </w:r>
      <w:r w:rsidR="00CA2E26" w:rsidRPr="00E07E2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PRESTAÇÃO</w:t>
      </w:r>
      <w:r w:rsidR="00CA2E26" w:rsidRPr="00E07E2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DE</w:t>
      </w:r>
      <w:r w:rsidR="00CA2E26" w:rsidRPr="00E07E23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CONTAS</w:t>
      </w:r>
    </w:p>
    <w:p w14:paraId="2BAEC9A9" w14:textId="6D832AED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7º</w:t>
      </w:r>
      <w:r w:rsidR="00831E1A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 composição das prestações de contas das entidades intermunicipais está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determinada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Anexo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desta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Instrução,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constituindo-se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documentos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comprobatórios,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demonstrativos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padronizados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pelo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Tribunal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Dados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Informatizados do Sistema SIM-Acompanhamento Mensal e Dados Informatizados do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Sistema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Prestação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Anual,</w:t>
      </w:r>
      <w:r w:rsidRPr="00EF28C2">
        <w:rPr>
          <w:rFonts w:ascii="Arial" w:hAnsi="Arial" w:cs="Arial"/>
          <w:spacing w:val="-6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nos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termos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desta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Instrução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Normativa.</w:t>
      </w:r>
    </w:p>
    <w:p w14:paraId="6CD640E9" w14:textId="5BA02909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</w:t>
      </w:r>
      <w:r w:rsidRPr="009C1F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C1FBD">
        <w:rPr>
          <w:rFonts w:ascii="Arial" w:hAnsi="Arial" w:cs="Arial"/>
          <w:b/>
          <w:bCs/>
          <w:sz w:val="24"/>
          <w:szCs w:val="24"/>
        </w:rPr>
        <w:t>8º</w:t>
      </w:r>
      <w:r w:rsidR="00831E1A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elementos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constitutivos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prestações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deverão</w:t>
      </w:r>
      <w:r w:rsidRPr="00EF28C2">
        <w:rPr>
          <w:rFonts w:ascii="Arial" w:hAnsi="Arial" w:cs="Arial"/>
          <w:spacing w:val="70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compor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volumes cuja autuação deverá ser realizada em estrita observância às regras contidas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título 2,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 Anexo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desta Instrução.</w:t>
      </w:r>
    </w:p>
    <w:p w14:paraId="01553268" w14:textId="7C08CA5D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9º</w:t>
      </w:r>
      <w:r w:rsidR="00831E1A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 Diretoria de Protocolo, do Tribunal de Contas, não recepcionará Prestações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sem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Ofício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Encaminhamento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Índice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onde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sejam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indicadas</w:t>
      </w:r>
      <w:r w:rsidRPr="00EF28C2">
        <w:rPr>
          <w:rFonts w:ascii="Arial" w:hAnsi="Arial" w:cs="Arial"/>
          <w:spacing w:val="3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</w:t>
      </w:r>
      <w:r w:rsidR="00D33AA9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numerações das folhas de cada item da Relação de Documentos, contida no Anexo I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desta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Instrução.</w:t>
      </w:r>
    </w:p>
    <w:p w14:paraId="68C4C858" w14:textId="236BFB4F" w:rsidR="00571EDC" w:rsidRPr="00EF28C2" w:rsidRDefault="00180BE7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8C2">
        <w:rPr>
          <w:rFonts w:ascii="Arial" w:hAnsi="Arial" w:cs="Arial"/>
          <w:sz w:val="24"/>
          <w:szCs w:val="24"/>
        </w:rPr>
        <w:t xml:space="preserve">Parágrafo único. </w:t>
      </w:r>
      <w:r w:rsidR="00CA2E26" w:rsidRPr="00EF28C2">
        <w:rPr>
          <w:rFonts w:ascii="Arial" w:hAnsi="Arial" w:cs="Arial"/>
          <w:sz w:val="24"/>
          <w:szCs w:val="24"/>
        </w:rPr>
        <w:t>Não se aplicando o documento ao caso específico da entidade, este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fato deverá ser declarado na folha de Índice, de acordo com o modelo constante do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Anexo II desta Instrução, mediante indicação da expressão “N/A” em substituição ao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número</w:t>
      </w:r>
      <w:r w:rsidR="00CA2E26"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de</w:t>
      </w:r>
      <w:r w:rsidR="00CA2E26"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folhas do documento.</w:t>
      </w:r>
    </w:p>
    <w:p w14:paraId="158D07F1" w14:textId="67331162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10</w:t>
      </w:r>
      <w:r w:rsidR="00831E1A" w:rsidRPr="009C1FBD">
        <w:rPr>
          <w:rFonts w:ascii="Arial" w:hAnsi="Arial" w:cs="Arial"/>
          <w:b/>
          <w:bCs/>
          <w:sz w:val="24"/>
          <w:szCs w:val="24"/>
        </w:rPr>
        <w:t>.</w:t>
      </w:r>
      <w:r w:rsidR="00D83174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 xml:space="preserve">As definições de conteúdo, instruções de preenchimento e o </w:t>
      </w:r>
      <w:r w:rsidRPr="00EF28C2">
        <w:rPr>
          <w:rFonts w:ascii="Arial" w:hAnsi="Arial" w:cs="Arial"/>
          <w:i/>
          <w:sz w:val="24"/>
          <w:szCs w:val="24"/>
        </w:rPr>
        <w:t xml:space="preserve">layout </w:t>
      </w:r>
      <w:r w:rsidRPr="00EF28C2">
        <w:rPr>
          <w:rFonts w:ascii="Arial" w:hAnsi="Arial" w:cs="Arial"/>
          <w:sz w:val="24"/>
          <w:szCs w:val="24"/>
        </w:rPr>
        <w:t>dos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Relatórios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Demonstrativos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padronizados,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estão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descritos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Anexo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II,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desta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Instrução,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quais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serão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divulgados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também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em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forma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planilhas.</w:t>
      </w:r>
    </w:p>
    <w:p w14:paraId="7C791870" w14:textId="311C3A14" w:rsidR="00571EDC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</w:t>
      </w:r>
      <w:r w:rsidRPr="009C1FBD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9C1FBD">
        <w:rPr>
          <w:rFonts w:ascii="Arial" w:hAnsi="Arial" w:cs="Arial"/>
          <w:b/>
          <w:bCs/>
          <w:sz w:val="24"/>
          <w:szCs w:val="24"/>
        </w:rPr>
        <w:t>11</w:t>
      </w:r>
      <w:r w:rsidR="00D83174" w:rsidRPr="009C1FBD">
        <w:rPr>
          <w:rFonts w:ascii="Arial" w:hAnsi="Arial" w:cs="Arial"/>
          <w:b/>
          <w:bCs/>
          <w:sz w:val="24"/>
          <w:szCs w:val="24"/>
        </w:rPr>
        <w:t>.</w:t>
      </w:r>
      <w:r w:rsidR="00D83174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Relatórios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Padronizados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deverão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impressos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assinados</w:t>
      </w:r>
      <w:r w:rsidRPr="00EF28C2">
        <w:rPr>
          <w:rFonts w:ascii="Arial" w:hAnsi="Arial" w:cs="Arial"/>
          <w:spacing w:val="70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pelo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Ordenador da Despesa, além do Contador e/ou responsável pelo Setor Administrativo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pertinente, e anexados ao volume documental de acordo com a ordem estabelecida no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Anexo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I.</w:t>
      </w:r>
    </w:p>
    <w:p w14:paraId="28DEAD69" w14:textId="77777777" w:rsidR="00C66E18" w:rsidRDefault="00C66E18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695D0981" w14:textId="35B897DF" w:rsidR="00571EDC" w:rsidRDefault="00087FA8" w:rsidP="00915E41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3" w:name="IV_–_DOS_RESPONSÁVEIS_"/>
      <w:bookmarkEnd w:id="3"/>
      <w:r w:rsidRPr="00E07E23">
        <w:rPr>
          <w:rFonts w:ascii="Arial" w:hAnsi="Arial" w:cs="Arial"/>
          <w:b/>
          <w:bCs/>
          <w:sz w:val="24"/>
          <w:szCs w:val="24"/>
        </w:rPr>
        <w:lastRenderedPageBreak/>
        <w:t xml:space="preserve">IV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–</w:t>
      </w:r>
      <w:r w:rsidR="00CA2E26" w:rsidRPr="00E07E23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DOS</w:t>
      </w:r>
      <w:r w:rsidR="00CA2E26" w:rsidRPr="00E07E23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CA2E26" w:rsidRPr="00E07E23">
        <w:rPr>
          <w:rFonts w:ascii="Arial" w:hAnsi="Arial" w:cs="Arial"/>
          <w:b/>
          <w:bCs/>
          <w:sz w:val="24"/>
          <w:szCs w:val="24"/>
        </w:rPr>
        <w:t>RESPONSÁVEIS</w:t>
      </w:r>
    </w:p>
    <w:p w14:paraId="629BF5AA" w14:textId="236ADE8B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12</w:t>
      </w:r>
      <w:r w:rsidR="00D83174" w:rsidRPr="009C1FBD">
        <w:rPr>
          <w:rFonts w:ascii="Arial" w:hAnsi="Arial" w:cs="Arial"/>
          <w:b/>
          <w:bCs/>
          <w:sz w:val="24"/>
          <w:szCs w:val="24"/>
        </w:rPr>
        <w:t>.</w:t>
      </w:r>
      <w:r w:rsidRPr="00EF28C2">
        <w:rPr>
          <w:rFonts w:ascii="Arial" w:hAnsi="Arial" w:cs="Arial"/>
          <w:sz w:val="24"/>
          <w:szCs w:val="24"/>
        </w:rPr>
        <w:t xml:space="preserve"> Constitui pré-requisito para o recebimento da prestação de contas anual, 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identificação dos responsáveis pela gestão e pela contabilidade da entidade, indicando-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datas</w:t>
      </w:r>
      <w:r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início e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fim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dos períodos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 responsabilidade.</w:t>
      </w:r>
    </w:p>
    <w:p w14:paraId="08706CD0" w14:textId="44D2E0C6" w:rsidR="00571EDC" w:rsidRDefault="00180BE7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8C2">
        <w:rPr>
          <w:rFonts w:ascii="Arial" w:hAnsi="Arial" w:cs="Arial"/>
          <w:sz w:val="24"/>
          <w:szCs w:val="24"/>
        </w:rPr>
        <w:t xml:space="preserve">Parágrafo único. </w:t>
      </w:r>
      <w:r w:rsidR="00CA2E26" w:rsidRPr="00EF28C2">
        <w:rPr>
          <w:rFonts w:ascii="Arial" w:hAnsi="Arial" w:cs="Arial"/>
          <w:sz w:val="24"/>
          <w:szCs w:val="24"/>
        </w:rPr>
        <w:t>As informações estabelecidas neste artigo deverão estar previamente</w:t>
      </w:r>
      <w:r w:rsidR="00CA2E26"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cadastradas no Sistema de Cadastro do Tribunal de Contas, compreendendo dados de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todos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os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gestores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que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responderam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pela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entidade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durante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exercício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de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2006,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incluindo-se</w:t>
      </w:r>
      <w:r w:rsidR="00CA2E26"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os</w:t>
      </w:r>
      <w:r w:rsidR="00CA2E26"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responsáveis</w:t>
      </w:r>
      <w:r w:rsidR="00CA2E26"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técnicos</w:t>
      </w:r>
      <w:r w:rsidR="00CA2E26"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pela</w:t>
      </w:r>
      <w:r w:rsidR="00CA2E26"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contabilidade</w:t>
      </w:r>
      <w:r w:rsidR="00CA2E26"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no</w:t>
      </w:r>
      <w:r w:rsidR="00CA2E26" w:rsidRPr="00EF28C2">
        <w:rPr>
          <w:rFonts w:ascii="Arial" w:hAnsi="Arial" w:cs="Arial"/>
          <w:spacing w:val="-2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mesmo</w:t>
      </w:r>
      <w:r w:rsidR="00CA2E26"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período.</w:t>
      </w:r>
    </w:p>
    <w:p w14:paraId="2FBD4FF4" w14:textId="08FDBE11" w:rsidR="00571EDC" w:rsidRPr="009C1FBD" w:rsidRDefault="00087FA8" w:rsidP="00915E41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bookmarkStart w:id="4" w:name="V_–_DISPOSIÇÕES_GERAIS_"/>
      <w:bookmarkEnd w:id="4"/>
      <w:r w:rsidRPr="009C1FBD">
        <w:rPr>
          <w:rFonts w:ascii="Arial" w:hAnsi="Arial" w:cs="Arial"/>
          <w:b/>
          <w:bCs/>
          <w:sz w:val="24"/>
          <w:szCs w:val="24"/>
        </w:rPr>
        <w:t>V</w:t>
      </w:r>
      <w:r w:rsidR="00915E41">
        <w:rPr>
          <w:rFonts w:ascii="Arial" w:hAnsi="Arial" w:cs="Arial"/>
          <w:b/>
          <w:bCs/>
          <w:sz w:val="24"/>
          <w:szCs w:val="24"/>
        </w:rPr>
        <w:t xml:space="preserve"> </w:t>
      </w:r>
      <w:r w:rsidR="00CA2E26" w:rsidRPr="009C1FBD">
        <w:rPr>
          <w:rFonts w:ascii="Arial" w:hAnsi="Arial" w:cs="Arial"/>
          <w:b/>
          <w:bCs/>
          <w:sz w:val="24"/>
          <w:szCs w:val="24"/>
        </w:rPr>
        <w:t>–</w:t>
      </w:r>
      <w:r w:rsidR="00CA2E26" w:rsidRPr="009C1FBD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="00CA2E26" w:rsidRPr="009C1FBD">
        <w:rPr>
          <w:rFonts w:ascii="Arial" w:hAnsi="Arial" w:cs="Arial"/>
          <w:b/>
          <w:bCs/>
          <w:sz w:val="24"/>
          <w:szCs w:val="24"/>
        </w:rPr>
        <w:t>DISPOSIÇÕES</w:t>
      </w:r>
      <w:r w:rsidR="00CA2E26" w:rsidRPr="009C1FBD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="00CA2E26" w:rsidRPr="009C1FBD">
        <w:rPr>
          <w:rFonts w:ascii="Arial" w:hAnsi="Arial" w:cs="Arial"/>
          <w:b/>
          <w:bCs/>
          <w:sz w:val="24"/>
          <w:szCs w:val="24"/>
        </w:rPr>
        <w:t>GERAIS</w:t>
      </w:r>
    </w:p>
    <w:p w14:paraId="01B0AA44" w14:textId="19989281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13</w:t>
      </w:r>
      <w:r w:rsidR="00D83174" w:rsidRPr="009C1FBD">
        <w:rPr>
          <w:rFonts w:ascii="Arial" w:hAnsi="Arial" w:cs="Arial"/>
          <w:b/>
          <w:bCs/>
          <w:sz w:val="24"/>
          <w:szCs w:val="24"/>
        </w:rPr>
        <w:t xml:space="preserve">. </w:t>
      </w:r>
      <w:r w:rsidRPr="00EF28C2">
        <w:rPr>
          <w:rFonts w:ascii="Arial" w:hAnsi="Arial" w:cs="Arial"/>
          <w:sz w:val="24"/>
          <w:szCs w:val="24"/>
        </w:rPr>
        <w:t>A ausência de qualquer dos elementos exigidos nos termos do Anexo I desta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Instrução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Normativa,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constitui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fator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determinante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irregularidade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formal</w:t>
      </w:r>
      <w:r w:rsidRPr="00EF28C2">
        <w:rPr>
          <w:rFonts w:ascii="Arial" w:hAnsi="Arial" w:cs="Arial"/>
          <w:spacing w:val="70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salvo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quando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expressamente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declarada,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no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índice,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sua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inexistência ou inaplicabilidade.</w:t>
      </w:r>
    </w:p>
    <w:p w14:paraId="7C3B37E6" w14:textId="3624CF14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14</w:t>
      </w:r>
      <w:r w:rsidR="00D83174" w:rsidRPr="009C1FBD">
        <w:rPr>
          <w:rFonts w:ascii="Arial" w:hAnsi="Arial" w:cs="Arial"/>
          <w:b/>
          <w:bCs/>
          <w:sz w:val="24"/>
          <w:szCs w:val="24"/>
        </w:rPr>
        <w:t>.</w:t>
      </w:r>
      <w:r w:rsidR="00D83174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As entidades intermunicipais ficam obrigadas à manutenção de arquivos em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boa ordem, dos documentos comprobatórios que dão suporte às transações contábeis,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bem como do Livro Diário da Contabilidade onde serão individualizados os movimentos</w:t>
      </w:r>
      <w:r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 transcritos, ao final do exercício, o Balancete Analítico de Verificação e os Anexos de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balanço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previstos na</w:t>
      </w:r>
      <w:r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Lei 4.320/64.</w:t>
      </w:r>
    </w:p>
    <w:p w14:paraId="526D6B53" w14:textId="77E0D26A" w:rsidR="00571EDC" w:rsidRPr="00EF28C2" w:rsidRDefault="00CA2E26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C1FBD">
        <w:rPr>
          <w:rFonts w:ascii="Arial" w:hAnsi="Arial" w:cs="Arial"/>
          <w:b/>
          <w:bCs/>
          <w:sz w:val="24"/>
          <w:szCs w:val="24"/>
        </w:rPr>
        <w:t>Art. 15</w:t>
      </w:r>
      <w:r w:rsidR="00D83174" w:rsidRPr="009C1FBD">
        <w:rPr>
          <w:rFonts w:ascii="Arial" w:hAnsi="Arial" w:cs="Arial"/>
          <w:b/>
          <w:bCs/>
          <w:sz w:val="24"/>
          <w:szCs w:val="24"/>
        </w:rPr>
        <w:t>.</w:t>
      </w:r>
      <w:r w:rsidR="00D83174" w:rsidRPr="00EF28C2">
        <w:rPr>
          <w:rFonts w:ascii="Arial" w:hAnsi="Arial" w:cs="Arial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 Tribunal de Contas poderá determinar a realização de auditorias, tendo em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vista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dados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documentos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apresentados,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cujos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relatórios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serão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apensados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à</w:t>
      </w:r>
      <w:r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prestação</w:t>
      </w:r>
      <w:r w:rsidRPr="00EF28C2">
        <w:rPr>
          <w:rFonts w:ascii="Arial" w:hAnsi="Arial" w:cs="Arial"/>
          <w:spacing w:val="-4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de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contas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anual,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servindo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como</w:t>
      </w:r>
      <w:r w:rsidRPr="00EF28C2">
        <w:rPr>
          <w:rFonts w:ascii="Arial" w:hAnsi="Arial" w:cs="Arial"/>
          <w:spacing w:val="-4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subsídio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à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respectiva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análise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técnica</w:t>
      </w:r>
      <w:r w:rsidRPr="00EF28C2">
        <w:rPr>
          <w:rFonts w:ascii="Arial" w:hAnsi="Arial" w:cs="Arial"/>
          <w:spacing w:val="-3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e</w:t>
      </w:r>
      <w:r w:rsidRPr="00EF28C2">
        <w:rPr>
          <w:rFonts w:ascii="Arial" w:hAnsi="Arial" w:cs="Arial"/>
          <w:spacing w:val="-4"/>
          <w:sz w:val="24"/>
          <w:szCs w:val="24"/>
        </w:rPr>
        <w:t xml:space="preserve"> </w:t>
      </w:r>
      <w:r w:rsidRPr="00EF28C2">
        <w:rPr>
          <w:rFonts w:ascii="Arial" w:hAnsi="Arial" w:cs="Arial"/>
          <w:sz w:val="24"/>
          <w:szCs w:val="24"/>
        </w:rPr>
        <w:t>legal.</w:t>
      </w:r>
    </w:p>
    <w:p w14:paraId="087111D6" w14:textId="1CBB5155" w:rsidR="00571EDC" w:rsidRPr="00EF28C2" w:rsidRDefault="00180BE7" w:rsidP="009C1FB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EF28C2">
        <w:rPr>
          <w:rFonts w:ascii="Arial" w:hAnsi="Arial" w:cs="Arial"/>
          <w:sz w:val="24"/>
          <w:szCs w:val="24"/>
        </w:rPr>
        <w:t xml:space="preserve">Parágrafo único. </w:t>
      </w:r>
      <w:r w:rsidR="00CA2E26" w:rsidRPr="00EF28C2">
        <w:rPr>
          <w:rFonts w:ascii="Arial" w:hAnsi="Arial" w:cs="Arial"/>
          <w:sz w:val="24"/>
          <w:szCs w:val="24"/>
        </w:rPr>
        <w:t>Caberá</w:t>
      </w:r>
      <w:r w:rsidR="00CA2E26" w:rsidRPr="00EF28C2">
        <w:rPr>
          <w:rFonts w:ascii="Arial" w:hAnsi="Arial" w:cs="Arial"/>
          <w:spacing w:val="5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representação</w:t>
      </w:r>
      <w:r w:rsidR="00CA2E26" w:rsidRPr="00EF28C2">
        <w:rPr>
          <w:rFonts w:ascii="Arial" w:hAnsi="Arial" w:cs="Arial"/>
          <w:spacing w:val="5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ao</w:t>
      </w:r>
      <w:r w:rsidR="00CA2E26" w:rsidRPr="00EF28C2">
        <w:rPr>
          <w:rFonts w:ascii="Arial" w:hAnsi="Arial" w:cs="Arial"/>
          <w:spacing w:val="49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Ministério</w:t>
      </w:r>
      <w:r w:rsidR="00CA2E26" w:rsidRPr="00EF28C2">
        <w:rPr>
          <w:rFonts w:ascii="Arial" w:hAnsi="Arial" w:cs="Arial"/>
          <w:spacing w:val="52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Público</w:t>
      </w:r>
      <w:r w:rsidR="00CA2E26" w:rsidRPr="00EF28C2">
        <w:rPr>
          <w:rFonts w:ascii="Arial" w:hAnsi="Arial" w:cs="Arial"/>
          <w:spacing w:val="5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Estadual</w:t>
      </w:r>
      <w:r w:rsidR="00CA2E26" w:rsidRPr="00EF28C2">
        <w:rPr>
          <w:rFonts w:ascii="Arial" w:hAnsi="Arial" w:cs="Arial"/>
          <w:spacing w:val="5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quando</w:t>
      </w:r>
      <w:r w:rsidR="00CA2E26" w:rsidRPr="00EF28C2">
        <w:rPr>
          <w:rFonts w:ascii="Arial" w:hAnsi="Arial" w:cs="Arial"/>
          <w:spacing w:val="5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for</w:t>
      </w:r>
      <w:r w:rsidR="00CA2E26" w:rsidRPr="00EF28C2">
        <w:rPr>
          <w:rFonts w:ascii="Arial" w:hAnsi="Arial" w:cs="Arial"/>
          <w:spacing w:val="-6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constatada</w:t>
      </w:r>
      <w:r w:rsidR="00CA2E26" w:rsidRPr="00EF28C2">
        <w:rPr>
          <w:rFonts w:ascii="Arial" w:hAnsi="Arial" w:cs="Arial"/>
          <w:spacing w:val="4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</w:t>
      </w:r>
      <w:r w:rsidR="00CA2E26"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ocorrência</w:t>
      </w:r>
      <w:r w:rsidR="00CA2E26"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do</w:t>
      </w:r>
      <w:r w:rsidR="00CA2E26"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crime</w:t>
      </w:r>
      <w:r w:rsidR="00CA2E26" w:rsidRPr="00EF28C2">
        <w:rPr>
          <w:rFonts w:ascii="Arial" w:hAnsi="Arial" w:cs="Arial"/>
          <w:spacing w:val="8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tipificado</w:t>
      </w:r>
      <w:r w:rsidR="00CA2E26"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no</w:t>
      </w:r>
      <w:r w:rsidR="00CA2E26"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art.</w:t>
      </w:r>
      <w:r w:rsidR="00CA2E26"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313-A,</w:t>
      </w:r>
      <w:r w:rsidR="00CA2E26"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do</w:t>
      </w:r>
      <w:r w:rsidR="00CA2E26"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Código</w:t>
      </w:r>
      <w:r w:rsidR="00CA2E26" w:rsidRPr="00EF28C2">
        <w:rPr>
          <w:rFonts w:ascii="Arial" w:hAnsi="Arial" w:cs="Arial"/>
          <w:spacing w:val="6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Penal,</w:t>
      </w:r>
      <w:r w:rsidR="00CA2E26" w:rsidRPr="00EF28C2">
        <w:rPr>
          <w:rFonts w:ascii="Arial" w:hAnsi="Arial" w:cs="Arial"/>
          <w:spacing w:val="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no</w:t>
      </w:r>
      <w:r w:rsidR="00CA2E26" w:rsidRPr="00EF28C2">
        <w:rPr>
          <w:rFonts w:ascii="Arial" w:hAnsi="Arial" w:cs="Arial"/>
          <w:spacing w:val="8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sentido</w:t>
      </w:r>
      <w:r w:rsidR="00CA2E26" w:rsidRPr="00EF28C2">
        <w:rPr>
          <w:rFonts w:ascii="Arial" w:hAnsi="Arial" w:cs="Arial"/>
          <w:spacing w:val="-68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de</w:t>
      </w:r>
      <w:r w:rsidR="00CA2E26" w:rsidRPr="00EF28C2">
        <w:rPr>
          <w:rFonts w:ascii="Arial" w:hAnsi="Arial" w:cs="Arial"/>
          <w:spacing w:val="10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“inserir</w:t>
      </w:r>
      <w:r w:rsidR="00CA2E26" w:rsidRPr="00EF28C2">
        <w:rPr>
          <w:rFonts w:ascii="Arial" w:hAnsi="Arial" w:cs="Arial"/>
          <w:spacing w:val="1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ou</w:t>
      </w:r>
      <w:r w:rsidR="00CA2E26" w:rsidRPr="00EF28C2">
        <w:rPr>
          <w:rFonts w:ascii="Arial" w:hAnsi="Arial" w:cs="Arial"/>
          <w:spacing w:val="1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facilitar,</w:t>
      </w:r>
      <w:r w:rsidR="00CA2E26" w:rsidRPr="00EF28C2">
        <w:rPr>
          <w:rFonts w:ascii="Arial" w:hAnsi="Arial" w:cs="Arial"/>
          <w:spacing w:val="13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</w:t>
      </w:r>
      <w:r w:rsidR="00CA2E26" w:rsidRPr="00EF28C2">
        <w:rPr>
          <w:rFonts w:ascii="Arial" w:hAnsi="Arial" w:cs="Arial"/>
          <w:spacing w:val="10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funcionário</w:t>
      </w:r>
      <w:r w:rsidR="00CA2E26" w:rsidRPr="00EF28C2">
        <w:rPr>
          <w:rFonts w:ascii="Arial" w:hAnsi="Arial" w:cs="Arial"/>
          <w:spacing w:val="10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autorizado,</w:t>
      </w:r>
      <w:r w:rsidR="00CA2E26" w:rsidRPr="00EF28C2">
        <w:rPr>
          <w:rFonts w:ascii="Arial" w:hAnsi="Arial" w:cs="Arial"/>
          <w:spacing w:val="1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</w:t>
      </w:r>
      <w:r w:rsidR="00CA2E26" w:rsidRPr="00EF28C2">
        <w:rPr>
          <w:rFonts w:ascii="Arial" w:hAnsi="Arial" w:cs="Arial"/>
          <w:spacing w:val="1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inserção</w:t>
      </w:r>
      <w:r w:rsidR="00CA2E26" w:rsidRPr="00EF28C2">
        <w:rPr>
          <w:rFonts w:ascii="Arial" w:hAnsi="Arial" w:cs="Arial"/>
          <w:spacing w:val="10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de</w:t>
      </w:r>
      <w:r w:rsidR="00CA2E26" w:rsidRPr="00EF28C2">
        <w:rPr>
          <w:rFonts w:ascii="Arial" w:hAnsi="Arial" w:cs="Arial"/>
          <w:spacing w:val="10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dados</w:t>
      </w:r>
      <w:r w:rsidR="00CA2E26" w:rsidRPr="00EF28C2">
        <w:rPr>
          <w:rFonts w:ascii="Arial" w:hAnsi="Arial" w:cs="Arial"/>
          <w:spacing w:val="10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falsos,</w:t>
      </w:r>
      <w:r w:rsidR="00CA2E26" w:rsidRPr="00EF28C2">
        <w:rPr>
          <w:rFonts w:ascii="Arial" w:hAnsi="Arial" w:cs="Arial"/>
          <w:spacing w:val="1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alterar</w:t>
      </w:r>
      <w:r w:rsidR="00CA2E26" w:rsidRPr="00EF28C2">
        <w:rPr>
          <w:rFonts w:ascii="Arial" w:hAnsi="Arial" w:cs="Arial"/>
          <w:spacing w:val="10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ou</w:t>
      </w:r>
      <w:r w:rsidR="00CA2E26" w:rsidRPr="00EF28C2">
        <w:rPr>
          <w:rFonts w:ascii="Arial" w:hAnsi="Arial" w:cs="Arial"/>
          <w:spacing w:val="-6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excluir indevidamente dados corretos nos sistemas informatizados ou bancos de dados</w:t>
      </w:r>
      <w:r w:rsidR="00CA2E26" w:rsidRPr="00EF28C2">
        <w:rPr>
          <w:rFonts w:ascii="Arial" w:hAnsi="Arial" w:cs="Arial"/>
          <w:spacing w:val="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da</w:t>
      </w:r>
      <w:r w:rsidR="00CA2E26" w:rsidRPr="00EF28C2">
        <w:rPr>
          <w:rFonts w:ascii="Arial" w:hAnsi="Arial" w:cs="Arial"/>
          <w:spacing w:val="54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Administração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Pública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com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</w:t>
      </w:r>
      <w:r w:rsidR="00CA2E26" w:rsidRPr="00EF28C2">
        <w:rPr>
          <w:rFonts w:ascii="Arial" w:hAnsi="Arial" w:cs="Arial"/>
          <w:spacing w:val="5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fim</w:t>
      </w:r>
      <w:r w:rsidR="00CA2E26" w:rsidRPr="00EF28C2">
        <w:rPr>
          <w:rFonts w:ascii="Arial" w:hAnsi="Arial" w:cs="Arial"/>
          <w:spacing w:val="54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de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obter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vantagem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indevida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para</w:t>
      </w:r>
      <w:r w:rsidR="00CA2E26" w:rsidRPr="00EF28C2">
        <w:rPr>
          <w:rFonts w:ascii="Arial" w:hAnsi="Arial" w:cs="Arial"/>
          <w:spacing w:val="54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si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ou</w:t>
      </w:r>
      <w:r w:rsidR="00CA2E26" w:rsidRPr="00EF28C2">
        <w:rPr>
          <w:rFonts w:ascii="Arial" w:hAnsi="Arial" w:cs="Arial"/>
          <w:spacing w:val="55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para</w:t>
      </w:r>
      <w:r w:rsidR="00CA2E26" w:rsidRPr="00EF28C2">
        <w:rPr>
          <w:rFonts w:ascii="Arial" w:hAnsi="Arial" w:cs="Arial"/>
          <w:spacing w:val="-67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outrem</w:t>
      </w:r>
      <w:r w:rsidR="00CA2E26"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ou</w:t>
      </w:r>
      <w:r w:rsidR="00CA2E26"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para causar</w:t>
      </w:r>
      <w:r w:rsidR="00CA2E26" w:rsidRPr="00EF28C2">
        <w:rPr>
          <w:rFonts w:ascii="Arial" w:hAnsi="Arial" w:cs="Arial"/>
          <w:spacing w:val="-1"/>
          <w:sz w:val="24"/>
          <w:szCs w:val="24"/>
        </w:rPr>
        <w:t xml:space="preserve"> </w:t>
      </w:r>
      <w:r w:rsidR="00CA2E26" w:rsidRPr="00EF28C2">
        <w:rPr>
          <w:rFonts w:ascii="Arial" w:hAnsi="Arial" w:cs="Arial"/>
          <w:sz w:val="24"/>
          <w:szCs w:val="24"/>
        </w:rPr>
        <w:t>dano.”</w:t>
      </w:r>
    </w:p>
    <w:p w14:paraId="76297493" w14:textId="011F2C41" w:rsidR="00087FA8" w:rsidRDefault="00CA2E26" w:rsidP="00F101A7">
      <w:pPr>
        <w:spacing w:before="120"/>
        <w:ind w:right="101"/>
        <w:jc w:val="center"/>
        <w:rPr>
          <w:rFonts w:ascii="Arial" w:hAnsi="Arial" w:cs="Arial"/>
          <w:iCs/>
          <w:sz w:val="24"/>
          <w:szCs w:val="24"/>
        </w:rPr>
      </w:pPr>
      <w:r w:rsidRPr="00B876C7">
        <w:rPr>
          <w:rFonts w:ascii="Arial" w:hAnsi="Arial" w:cs="Arial"/>
          <w:iCs/>
          <w:sz w:val="24"/>
          <w:szCs w:val="24"/>
        </w:rPr>
        <w:t>Cumpra-se.</w:t>
      </w:r>
    </w:p>
    <w:p w14:paraId="4B0BA6A1" w14:textId="4E24D5C3" w:rsidR="00571EDC" w:rsidRDefault="00CA2E26" w:rsidP="00BC2724">
      <w:pPr>
        <w:spacing w:before="360"/>
        <w:jc w:val="center"/>
        <w:rPr>
          <w:rFonts w:ascii="Arial" w:hAnsi="Arial" w:cs="Arial"/>
          <w:iCs/>
          <w:sz w:val="24"/>
          <w:szCs w:val="24"/>
        </w:rPr>
      </w:pPr>
      <w:r w:rsidRPr="00B876C7">
        <w:rPr>
          <w:rFonts w:ascii="Arial" w:hAnsi="Arial" w:cs="Arial"/>
          <w:iCs/>
          <w:sz w:val="24"/>
          <w:szCs w:val="24"/>
        </w:rPr>
        <w:t>Curitiba,</w:t>
      </w:r>
      <w:r w:rsidRPr="00B876C7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B876C7">
        <w:rPr>
          <w:rFonts w:ascii="Arial" w:hAnsi="Arial" w:cs="Arial"/>
          <w:iCs/>
          <w:sz w:val="24"/>
          <w:szCs w:val="24"/>
        </w:rPr>
        <w:t>15</w:t>
      </w:r>
      <w:r w:rsidRPr="00B876C7">
        <w:rPr>
          <w:rFonts w:ascii="Arial" w:hAnsi="Arial" w:cs="Arial"/>
          <w:iCs/>
          <w:spacing w:val="-5"/>
          <w:sz w:val="24"/>
          <w:szCs w:val="24"/>
        </w:rPr>
        <w:t xml:space="preserve"> </w:t>
      </w:r>
      <w:r w:rsidRPr="00B876C7">
        <w:rPr>
          <w:rFonts w:ascii="Arial" w:hAnsi="Arial" w:cs="Arial"/>
          <w:iCs/>
          <w:sz w:val="24"/>
          <w:szCs w:val="24"/>
        </w:rPr>
        <w:t>de</w:t>
      </w:r>
      <w:r w:rsidRPr="00B876C7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B876C7">
        <w:rPr>
          <w:rFonts w:ascii="Arial" w:hAnsi="Arial" w:cs="Arial"/>
          <w:iCs/>
          <w:sz w:val="24"/>
          <w:szCs w:val="24"/>
        </w:rPr>
        <w:t>fevereiro</w:t>
      </w:r>
      <w:r w:rsidRPr="00B876C7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B876C7">
        <w:rPr>
          <w:rFonts w:ascii="Arial" w:hAnsi="Arial" w:cs="Arial"/>
          <w:iCs/>
          <w:sz w:val="24"/>
          <w:szCs w:val="24"/>
        </w:rPr>
        <w:t>de</w:t>
      </w:r>
      <w:r w:rsidRPr="00B876C7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B876C7">
        <w:rPr>
          <w:rFonts w:ascii="Arial" w:hAnsi="Arial" w:cs="Arial"/>
          <w:iCs/>
          <w:sz w:val="24"/>
          <w:szCs w:val="24"/>
        </w:rPr>
        <w:t>2007.</w:t>
      </w:r>
    </w:p>
    <w:p w14:paraId="0ECDF883" w14:textId="77777777" w:rsidR="00714A21" w:rsidRPr="00B876C7" w:rsidRDefault="00714A21" w:rsidP="00BC2724">
      <w:pPr>
        <w:spacing w:before="360"/>
        <w:jc w:val="center"/>
        <w:rPr>
          <w:rFonts w:ascii="Arial" w:hAnsi="Arial" w:cs="Arial"/>
          <w:iCs/>
          <w:sz w:val="24"/>
          <w:szCs w:val="24"/>
        </w:rPr>
      </w:pPr>
    </w:p>
    <w:p w14:paraId="57B5E963" w14:textId="77777777" w:rsidR="00571EDC" w:rsidRPr="00714A21" w:rsidRDefault="00CA2E26" w:rsidP="00F101A7">
      <w:pPr>
        <w:spacing w:before="1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714A21">
        <w:rPr>
          <w:rFonts w:ascii="Arial" w:hAnsi="Arial" w:cs="Arial"/>
          <w:b/>
          <w:bCs/>
          <w:iCs/>
          <w:sz w:val="24"/>
          <w:szCs w:val="24"/>
        </w:rPr>
        <w:t>NESTOR</w:t>
      </w:r>
      <w:r w:rsidRPr="00714A21">
        <w:rPr>
          <w:rFonts w:ascii="Arial" w:hAnsi="Arial" w:cs="Arial"/>
          <w:b/>
          <w:bCs/>
          <w:iCs/>
          <w:spacing w:val="-6"/>
          <w:sz w:val="24"/>
          <w:szCs w:val="24"/>
        </w:rPr>
        <w:t xml:space="preserve"> </w:t>
      </w:r>
      <w:r w:rsidRPr="00714A21">
        <w:rPr>
          <w:rFonts w:ascii="Arial" w:hAnsi="Arial" w:cs="Arial"/>
          <w:b/>
          <w:bCs/>
          <w:iCs/>
          <w:sz w:val="24"/>
          <w:szCs w:val="24"/>
        </w:rPr>
        <w:t>BAPTISTA</w:t>
      </w:r>
    </w:p>
    <w:p w14:paraId="78C77206" w14:textId="77777777" w:rsidR="00571EDC" w:rsidRPr="00B876C7" w:rsidRDefault="00CA2E26" w:rsidP="00F101A7">
      <w:pPr>
        <w:jc w:val="center"/>
        <w:rPr>
          <w:rFonts w:ascii="Arial" w:hAnsi="Arial" w:cs="Arial"/>
          <w:bCs/>
          <w:iCs/>
          <w:sz w:val="24"/>
          <w:szCs w:val="24"/>
        </w:rPr>
      </w:pPr>
      <w:r w:rsidRPr="00B876C7">
        <w:rPr>
          <w:rFonts w:ascii="Arial" w:hAnsi="Arial" w:cs="Arial"/>
          <w:bCs/>
          <w:iCs/>
          <w:sz w:val="24"/>
          <w:szCs w:val="24"/>
        </w:rPr>
        <w:t>Presidente</w:t>
      </w:r>
    </w:p>
    <w:sectPr w:rsidR="00571EDC" w:rsidRPr="00B876C7" w:rsidSect="00C66E18">
      <w:headerReference w:type="default" r:id="rId8"/>
      <w:footerReference w:type="default" r:id="rId9"/>
      <w:footnotePr>
        <w:numFmt w:val="chicago"/>
      </w:footnotePr>
      <w:pgSz w:w="12240" w:h="15840"/>
      <w:pgMar w:top="1418" w:right="1701" w:bottom="1418" w:left="1701" w:header="1418" w:footer="14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2CAB" w14:textId="77777777" w:rsidR="00233AF2" w:rsidRDefault="00233AF2">
      <w:r>
        <w:separator/>
      </w:r>
    </w:p>
  </w:endnote>
  <w:endnote w:type="continuationSeparator" w:id="0">
    <w:p w14:paraId="220ABC21" w14:textId="77777777" w:rsidR="00233AF2" w:rsidRDefault="0023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52D5" w14:textId="2F30BE59" w:rsidR="00571EDC" w:rsidRDefault="00571EDC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9F83" w14:textId="77777777" w:rsidR="00233AF2" w:rsidRDefault="00233AF2">
      <w:r>
        <w:separator/>
      </w:r>
    </w:p>
  </w:footnote>
  <w:footnote w:type="continuationSeparator" w:id="0">
    <w:p w14:paraId="79AFF6CE" w14:textId="77777777" w:rsidR="00233AF2" w:rsidRDefault="00233AF2">
      <w:r>
        <w:continuationSeparator/>
      </w:r>
    </w:p>
  </w:footnote>
  <w:footnote w:id="1">
    <w:p w14:paraId="37CB7CBE" w14:textId="77777777" w:rsidR="00C87B4E" w:rsidRPr="002C6041" w:rsidRDefault="000F5E73" w:rsidP="00C87B4E">
      <w:pPr>
        <w:pStyle w:val="Textodenotaderodap"/>
        <w:rPr>
          <w:rFonts w:ascii="Arial" w:hAnsi="Arial" w:cs="Arial"/>
        </w:rPr>
      </w:pPr>
      <w:r w:rsidRPr="00A30DDF">
        <w:rPr>
          <w:rStyle w:val="TextodenotaderodapChar"/>
          <w:rFonts w:ascii="Arial" w:hAnsi="Arial" w:cs="Arial"/>
        </w:rPr>
        <w:footnoteRef/>
      </w:r>
      <w:r>
        <w:t xml:space="preserve"> </w:t>
      </w:r>
      <w:r w:rsidR="00C87B4E" w:rsidRPr="002C6041">
        <w:rPr>
          <w:rFonts w:ascii="Arial" w:hAnsi="Arial" w:cs="Arial"/>
          <w:b/>
        </w:rPr>
        <w:t>Notas da Biblioteca:</w:t>
      </w:r>
    </w:p>
    <w:p w14:paraId="5B744FAD" w14:textId="64F541C6" w:rsidR="005A10C7" w:rsidRPr="002C6041" w:rsidRDefault="00C87B4E" w:rsidP="002C6041">
      <w:pPr>
        <w:pStyle w:val="PargrafodaLista"/>
        <w:numPr>
          <w:ilvl w:val="0"/>
          <w:numId w:val="3"/>
        </w:numPr>
        <w:ind w:left="426" w:hanging="284"/>
        <w:rPr>
          <w:rFonts w:ascii="Arial" w:hAnsi="Arial" w:cs="Arial"/>
          <w:color w:val="0000FF"/>
          <w:sz w:val="20"/>
          <w:szCs w:val="20"/>
        </w:rPr>
      </w:pPr>
      <w:r w:rsidRPr="002C6041">
        <w:rPr>
          <w:rFonts w:ascii="Arial" w:hAnsi="Arial" w:cs="Arial"/>
          <w:sz w:val="20"/>
          <w:szCs w:val="20"/>
        </w:rPr>
        <w:t>Este texto não substitui o publicado no periódico</w:t>
      </w:r>
      <w:r w:rsidR="004E2D18">
        <w:rPr>
          <w:rFonts w:ascii="Arial" w:hAnsi="Arial" w:cs="Arial"/>
          <w:sz w:val="20"/>
          <w:szCs w:val="20"/>
        </w:rPr>
        <w:t>:</w:t>
      </w:r>
      <w:r w:rsidRPr="002C6041">
        <w:rPr>
          <w:rFonts w:ascii="Arial" w:hAnsi="Arial" w:cs="Arial"/>
          <w:sz w:val="20"/>
          <w:szCs w:val="20"/>
        </w:rPr>
        <w:t xml:space="preserve"> </w:t>
      </w:r>
      <w:hyperlink r:id="rId1" w:history="1">
        <w:r w:rsidR="005A10C7" w:rsidRPr="004E2D18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Atos Oficiais do Tribunal de Contas do Estado do Paraná,</w:t>
        </w:r>
        <w:r w:rsidR="005A10C7" w:rsidRPr="002C6041">
          <w:rPr>
            <w:rStyle w:val="Hyperlink"/>
            <w:rFonts w:ascii="Arial" w:hAnsi="Arial" w:cs="Arial"/>
            <w:color w:val="0000FF"/>
            <w:sz w:val="20"/>
            <w:szCs w:val="20"/>
          </w:rPr>
          <w:t xml:space="preserve"> Curitiba, PR, n. 89, 9 mar. 2007, p. 58-59</w:t>
        </w:r>
      </w:hyperlink>
      <w:r w:rsidR="005A10C7" w:rsidRPr="002C6041">
        <w:rPr>
          <w:rFonts w:ascii="Arial" w:hAnsi="Arial" w:cs="Arial"/>
          <w:color w:val="0000FF"/>
          <w:sz w:val="20"/>
          <w:szCs w:val="20"/>
        </w:rPr>
        <w:t>.</w:t>
      </w:r>
    </w:p>
    <w:p w14:paraId="60BE856F" w14:textId="3E6EB872" w:rsidR="000F5E73" w:rsidRPr="002C6041" w:rsidRDefault="00C87B4E" w:rsidP="002C6041">
      <w:pPr>
        <w:pStyle w:val="PargrafodaLista"/>
        <w:numPr>
          <w:ilvl w:val="0"/>
          <w:numId w:val="3"/>
        </w:numPr>
        <w:ind w:left="426" w:hanging="284"/>
        <w:rPr>
          <w:lang w:val="pt-BR"/>
        </w:rPr>
      </w:pPr>
      <w:r w:rsidRPr="002C6041">
        <w:rPr>
          <w:rFonts w:ascii="Arial" w:hAnsi="Arial" w:cs="Arial"/>
          <w:sz w:val="20"/>
          <w:szCs w:val="20"/>
        </w:rPr>
        <w:t xml:space="preserve">Origem: </w:t>
      </w:r>
      <w:r w:rsidR="00421B25" w:rsidRPr="002C6041">
        <w:rPr>
          <w:rFonts w:ascii="Arial" w:hAnsi="Arial" w:cs="Arial"/>
          <w:sz w:val="20"/>
          <w:szCs w:val="20"/>
        </w:rPr>
        <w:t xml:space="preserve">Processo n. 5000-3/07 – </w:t>
      </w:r>
      <w:hyperlink r:id="rId2" w:history="1">
        <w:r w:rsidR="00421B25" w:rsidRPr="002C6041">
          <w:rPr>
            <w:rStyle w:val="Hyperlink"/>
            <w:rFonts w:ascii="Arial" w:hAnsi="Arial" w:cs="Arial"/>
            <w:sz w:val="20"/>
            <w:szCs w:val="20"/>
          </w:rPr>
          <w:t>Acórdão n. 151/2007 – Tribunal</w:t>
        </w:r>
      </w:hyperlink>
      <w:r w:rsidR="00421B25" w:rsidRPr="002C6041">
        <w:rPr>
          <w:rStyle w:val="Hyperlink"/>
          <w:rFonts w:ascii="Arial" w:hAnsi="Arial" w:cs="Arial"/>
          <w:sz w:val="20"/>
          <w:szCs w:val="20"/>
        </w:rPr>
        <w:t xml:space="preserve"> Pleno.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0EE6" w14:textId="48921C23" w:rsidR="00571EDC" w:rsidRDefault="00EF28C2" w:rsidP="00EF28C2">
    <w:pPr>
      <w:pStyle w:val="Cabealho"/>
      <w:spacing w:before="240"/>
      <w:ind w:left="1134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D3E9C" wp14:editId="52A7E36D">
          <wp:simplePos x="0" y="0"/>
          <wp:positionH relativeFrom="column">
            <wp:posOffset>359410</wp:posOffset>
          </wp:positionH>
          <wp:positionV relativeFrom="paragraph">
            <wp:posOffset>-144145</wp:posOffset>
          </wp:positionV>
          <wp:extent cx="605790" cy="712470"/>
          <wp:effectExtent l="0" t="0" r="3810" b="0"/>
          <wp:wrapSquare wrapText="bothSides"/>
          <wp:docPr id="18" name="Imagem 18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284E34BF" w14:textId="77777777" w:rsidR="00EF28C2" w:rsidRPr="00D83174" w:rsidRDefault="00EF28C2" w:rsidP="00EF28C2">
    <w:pPr>
      <w:pStyle w:val="Cabealho"/>
      <w:spacing w:before="240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3D1"/>
    <w:multiLevelType w:val="hybridMultilevel"/>
    <w:tmpl w:val="A574C778"/>
    <w:lvl w:ilvl="0" w:tplc="BAB65E00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72761DA"/>
    <w:multiLevelType w:val="hybridMultilevel"/>
    <w:tmpl w:val="72662514"/>
    <w:lvl w:ilvl="0" w:tplc="F84292DA">
      <w:start w:val="1"/>
      <w:numFmt w:val="upperRoman"/>
      <w:lvlText w:val="%1"/>
      <w:lvlJc w:val="left"/>
      <w:pPr>
        <w:ind w:left="279" w:hanging="178"/>
        <w:jc w:val="left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626E7E44">
      <w:numFmt w:val="bullet"/>
      <w:lvlText w:val="•"/>
      <w:lvlJc w:val="left"/>
      <w:pPr>
        <w:ind w:left="1158" w:hanging="178"/>
      </w:pPr>
      <w:rPr>
        <w:rFonts w:hint="default"/>
        <w:lang w:val="pt-PT" w:eastAsia="en-US" w:bidi="ar-SA"/>
      </w:rPr>
    </w:lvl>
    <w:lvl w:ilvl="2" w:tplc="8F10F138">
      <w:numFmt w:val="bullet"/>
      <w:lvlText w:val="•"/>
      <w:lvlJc w:val="left"/>
      <w:pPr>
        <w:ind w:left="2036" w:hanging="178"/>
      </w:pPr>
      <w:rPr>
        <w:rFonts w:hint="default"/>
        <w:lang w:val="pt-PT" w:eastAsia="en-US" w:bidi="ar-SA"/>
      </w:rPr>
    </w:lvl>
    <w:lvl w:ilvl="3" w:tplc="B22A84FA">
      <w:numFmt w:val="bullet"/>
      <w:lvlText w:val="•"/>
      <w:lvlJc w:val="left"/>
      <w:pPr>
        <w:ind w:left="2914" w:hanging="178"/>
      </w:pPr>
      <w:rPr>
        <w:rFonts w:hint="default"/>
        <w:lang w:val="pt-PT" w:eastAsia="en-US" w:bidi="ar-SA"/>
      </w:rPr>
    </w:lvl>
    <w:lvl w:ilvl="4" w:tplc="E026D1DA">
      <w:numFmt w:val="bullet"/>
      <w:lvlText w:val="•"/>
      <w:lvlJc w:val="left"/>
      <w:pPr>
        <w:ind w:left="3792" w:hanging="178"/>
      </w:pPr>
      <w:rPr>
        <w:rFonts w:hint="default"/>
        <w:lang w:val="pt-PT" w:eastAsia="en-US" w:bidi="ar-SA"/>
      </w:rPr>
    </w:lvl>
    <w:lvl w:ilvl="5" w:tplc="26DE9344">
      <w:numFmt w:val="bullet"/>
      <w:lvlText w:val="•"/>
      <w:lvlJc w:val="left"/>
      <w:pPr>
        <w:ind w:left="4670" w:hanging="178"/>
      </w:pPr>
      <w:rPr>
        <w:rFonts w:hint="default"/>
        <w:lang w:val="pt-PT" w:eastAsia="en-US" w:bidi="ar-SA"/>
      </w:rPr>
    </w:lvl>
    <w:lvl w:ilvl="6" w:tplc="207A4B48">
      <w:numFmt w:val="bullet"/>
      <w:lvlText w:val="•"/>
      <w:lvlJc w:val="left"/>
      <w:pPr>
        <w:ind w:left="5548" w:hanging="178"/>
      </w:pPr>
      <w:rPr>
        <w:rFonts w:hint="default"/>
        <w:lang w:val="pt-PT" w:eastAsia="en-US" w:bidi="ar-SA"/>
      </w:rPr>
    </w:lvl>
    <w:lvl w:ilvl="7" w:tplc="6EEA89E0">
      <w:numFmt w:val="bullet"/>
      <w:lvlText w:val="•"/>
      <w:lvlJc w:val="left"/>
      <w:pPr>
        <w:ind w:left="6426" w:hanging="178"/>
      </w:pPr>
      <w:rPr>
        <w:rFonts w:hint="default"/>
        <w:lang w:val="pt-PT" w:eastAsia="en-US" w:bidi="ar-SA"/>
      </w:rPr>
    </w:lvl>
    <w:lvl w:ilvl="8" w:tplc="B7C8ED8A">
      <w:numFmt w:val="bullet"/>
      <w:lvlText w:val="•"/>
      <w:lvlJc w:val="left"/>
      <w:pPr>
        <w:ind w:left="7304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48080CA7"/>
    <w:multiLevelType w:val="multilevel"/>
    <w:tmpl w:val="0416001F"/>
    <w:styleLink w:val="Estilo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0415961">
    <w:abstractNumId w:val="1"/>
  </w:num>
  <w:num w:numId="2" w16cid:durableId="1517504097">
    <w:abstractNumId w:val="2"/>
  </w:num>
  <w:num w:numId="3" w16cid:durableId="1223905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DC"/>
    <w:rsid w:val="00066BB0"/>
    <w:rsid w:val="00087FA8"/>
    <w:rsid w:val="000F5E73"/>
    <w:rsid w:val="00180BE7"/>
    <w:rsid w:val="00233AF2"/>
    <w:rsid w:val="00263491"/>
    <w:rsid w:val="002C6041"/>
    <w:rsid w:val="00421B25"/>
    <w:rsid w:val="004E2D18"/>
    <w:rsid w:val="00571EDC"/>
    <w:rsid w:val="005A10C7"/>
    <w:rsid w:val="00621DEF"/>
    <w:rsid w:val="00714A21"/>
    <w:rsid w:val="00762EB2"/>
    <w:rsid w:val="00803575"/>
    <w:rsid w:val="00831E1A"/>
    <w:rsid w:val="00884F2B"/>
    <w:rsid w:val="008B2F46"/>
    <w:rsid w:val="008E0B20"/>
    <w:rsid w:val="00915E41"/>
    <w:rsid w:val="00926632"/>
    <w:rsid w:val="00995C64"/>
    <w:rsid w:val="009C1FBD"/>
    <w:rsid w:val="00A30DDF"/>
    <w:rsid w:val="00A5284E"/>
    <w:rsid w:val="00A62AFF"/>
    <w:rsid w:val="00B876C7"/>
    <w:rsid w:val="00B96553"/>
    <w:rsid w:val="00BC2724"/>
    <w:rsid w:val="00C66E18"/>
    <w:rsid w:val="00C87B4E"/>
    <w:rsid w:val="00CA2E26"/>
    <w:rsid w:val="00D33AA9"/>
    <w:rsid w:val="00D83174"/>
    <w:rsid w:val="00DC5D0F"/>
    <w:rsid w:val="00E07E23"/>
    <w:rsid w:val="00EA13D1"/>
    <w:rsid w:val="00EB08F4"/>
    <w:rsid w:val="00EF28C2"/>
    <w:rsid w:val="00F1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56E6A"/>
  <w15:docId w15:val="{B8F55E44-FA42-4588-97CD-1FB52AB1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19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658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2"/>
      <w:ind w:left="237" w:right="25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279" w:hanging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62A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2AFF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2A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2AFF"/>
    <w:rPr>
      <w:rFonts w:ascii="Verdana" w:eastAsia="Verdana" w:hAnsi="Verdana" w:cs="Verdana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F5E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F5E73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0F5E73"/>
    <w:rPr>
      <w:vertAlign w:val="superscript"/>
    </w:rPr>
  </w:style>
  <w:style w:type="numbering" w:customStyle="1" w:styleId="Estilo1">
    <w:name w:val="Estilo1"/>
    <w:uiPriority w:val="99"/>
    <w:rsid w:val="00C87B4E"/>
    <w:pPr>
      <w:numPr>
        <w:numId w:val="2"/>
      </w:numPr>
    </w:pPr>
  </w:style>
  <w:style w:type="character" w:styleId="Hyperlink">
    <w:name w:val="Hyperlink"/>
    <w:basedOn w:val="Fontepargpadro"/>
    <w:uiPriority w:val="99"/>
    <w:unhideWhenUsed/>
    <w:rsid w:val="00C87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07/3/pdf/00033602.pdf" TargetMode="External"/><Relationship Id="rId1" Type="http://schemas.openxmlformats.org/officeDocument/2006/relationships/hyperlink" Target="https://www1.tce.pr.gov.br/multimidia/2007/3/pdf/000005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2BE94-F06D-4DB7-B5A6-E7B73DAF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962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</cp:lastModifiedBy>
  <cp:revision>17</cp:revision>
  <dcterms:created xsi:type="dcterms:W3CDTF">2022-04-19T21:22:00Z</dcterms:created>
  <dcterms:modified xsi:type="dcterms:W3CDTF">2022-06-29T12:43:00Z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