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A344" w14:textId="6CDC0588" w:rsidR="00777043" w:rsidRDefault="00777043" w:rsidP="00777043">
      <w:pPr>
        <w:pStyle w:val="Texto"/>
        <w:spacing w:before="240" w:after="120"/>
        <w:jc w:val="center"/>
        <w:rPr>
          <w:rFonts w:cs="Arial"/>
          <w:b/>
          <w:sz w:val="28"/>
          <w:szCs w:val="28"/>
        </w:rPr>
      </w:pPr>
      <w:r w:rsidRPr="00F60A39">
        <w:rPr>
          <w:rFonts w:cs="Arial"/>
          <w:b/>
          <w:sz w:val="28"/>
          <w:szCs w:val="28"/>
        </w:rPr>
        <w:t xml:space="preserve">INSTRUÇÃO </w:t>
      </w:r>
      <w:r>
        <w:rPr>
          <w:rFonts w:cs="Arial"/>
          <w:b/>
          <w:sz w:val="28"/>
          <w:szCs w:val="28"/>
        </w:rPr>
        <w:t>NORMATIVA</w:t>
      </w:r>
      <w:r w:rsidR="005F1EC6">
        <w:rPr>
          <w:rFonts w:cs="Arial"/>
          <w:b/>
          <w:sz w:val="28"/>
          <w:szCs w:val="28"/>
        </w:rPr>
        <w:t xml:space="preserve"> Nº 158/2021</w:t>
      </w:r>
      <w:r w:rsidR="00500EEE">
        <w:rPr>
          <w:rStyle w:val="Refdenotaderodap"/>
          <w:rFonts w:cs="Arial"/>
          <w:b/>
          <w:sz w:val="28"/>
          <w:szCs w:val="28"/>
        </w:rPr>
        <w:footnoteReference w:id="2"/>
      </w:r>
    </w:p>
    <w:p w14:paraId="4C5C47D6" w14:textId="77777777" w:rsidR="00E4321D" w:rsidRPr="00AF060F" w:rsidRDefault="00E4321D" w:rsidP="00E4321D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AF060F">
        <w:rPr>
          <w:rFonts w:ascii="Arial" w:hAnsi="Arial" w:cs="Arial"/>
          <w:bCs/>
          <w:i/>
          <w:sz w:val="22"/>
          <w:szCs w:val="22"/>
        </w:rPr>
        <w:t>Dispõe sobre o encaminhamento</w:t>
      </w:r>
      <w:r w:rsidRPr="00AF060F">
        <w:rPr>
          <w:sz w:val="22"/>
          <w:szCs w:val="22"/>
        </w:rPr>
        <w:t xml:space="preserve"> </w:t>
      </w:r>
      <w:r w:rsidRPr="00AF060F">
        <w:rPr>
          <w:rFonts w:ascii="Arial" w:hAnsi="Arial" w:cs="Arial"/>
          <w:bCs/>
          <w:i/>
          <w:sz w:val="22"/>
          <w:szCs w:val="22"/>
        </w:rPr>
        <w:t>e estabelece o escopo de análise das Prestações de Contas das Entidades Estaduais dos Poderes Executivo, Legislativo e Judiciário, do Ministério Público e da Defensoria Pública, relativas ao exercício de 2020, nos termos dos arts. 220 a 223 do Regimento Interno do Tribunal de Contas, e dá outras providências.</w:t>
      </w:r>
    </w:p>
    <w:p w14:paraId="0B3CB84F" w14:textId="1670EB81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AF060F">
        <w:rPr>
          <w:rFonts w:ascii="Arial" w:hAnsi="Arial" w:cs="Arial"/>
          <w:bCs/>
        </w:rPr>
        <w:t>O</w:t>
      </w:r>
      <w:r w:rsidRPr="00D34A93">
        <w:rPr>
          <w:rFonts w:ascii="Arial" w:hAnsi="Arial" w:cs="Arial"/>
          <w:b/>
        </w:rPr>
        <w:t xml:space="preserve"> TRIBUNAL DE CONTAS DO ESTADO DO PARANÁ</w:t>
      </w:r>
      <w:r w:rsidRPr="00D34A93">
        <w:rPr>
          <w:rFonts w:ascii="Arial" w:hAnsi="Arial" w:cs="Arial"/>
        </w:rPr>
        <w:t xml:space="preserve">, </w:t>
      </w:r>
      <w:r w:rsidRPr="00D34A93">
        <w:rPr>
          <w:rFonts w:ascii="Arial" w:hAnsi="Arial"/>
        </w:rPr>
        <w:t xml:space="preserve">no uso das atribuições contidas no art. 2º, I, da Lei Complementar nº 113, de 15 de dezembro de 2005, e no art. 5º, XIII, do Regimento Interno, e com base no art. 223, § 2º, c/c os arts. 193 a 196, também do Regimento Interno, e considerando o </w:t>
      </w:r>
      <w:hyperlink r:id="rId11" w:history="1">
        <w:r w:rsidRPr="007C4E84">
          <w:rPr>
            <w:rStyle w:val="Hyperlink"/>
            <w:rFonts w:ascii="Arial" w:hAnsi="Arial"/>
          </w:rPr>
          <w:t xml:space="preserve">Acórdão nº </w:t>
        </w:r>
        <w:r w:rsidR="005F1EC6" w:rsidRPr="007C4E84">
          <w:rPr>
            <w:rStyle w:val="Hyperlink"/>
            <w:rFonts w:ascii="Arial" w:hAnsi="Arial"/>
          </w:rPr>
          <w:t>70</w:t>
        </w:r>
        <w:r w:rsidRPr="007C4E84">
          <w:rPr>
            <w:rStyle w:val="Hyperlink"/>
            <w:rFonts w:ascii="Arial" w:hAnsi="Arial"/>
          </w:rPr>
          <w:t>/20</w:t>
        </w:r>
        <w:r w:rsidR="005F1EC6" w:rsidRPr="007C4E84">
          <w:rPr>
            <w:rStyle w:val="Hyperlink"/>
            <w:rFonts w:ascii="Arial" w:hAnsi="Arial"/>
          </w:rPr>
          <w:t>21</w:t>
        </w:r>
        <w:r w:rsidRPr="007C4E84">
          <w:rPr>
            <w:rStyle w:val="Hyperlink"/>
            <w:rFonts w:ascii="Arial" w:hAnsi="Arial"/>
          </w:rPr>
          <w:t xml:space="preserve"> – Tribunal Pleno</w:t>
        </w:r>
      </w:hyperlink>
      <w:r w:rsidRPr="00D34A93">
        <w:rPr>
          <w:rFonts w:ascii="Arial" w:hAnsi="Arial"/>
        </w:rPr>
        <w:t xml:space="preserve">, Processo nº </w:t>
      </w:r>
      <w:r w:rsidR="005F1EC6">
        <w:rPr>
          <w:rFonts w:ascii="Arial" w:hAnsi="Arial"/>
        </w:rPr>
        <w:t>692838</w:t>
      </w:r>
      <w:r w:rsidRPr="00D34A93">
        <w:rPr>
          <w:rFonts w:ascii="Arial" w:hAnsi="Arial"/>
        </w:rPr>
        <w:t>/20,</w:t>
      </w:r>
    </w:p>
    <w:p w14:paraId="337760D4" w14:textId="77777777" w:rsidR="00E4321D" w:rsidRPr="00D251E5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/>
        <w:ind w:firstLine="1134"/>
        <w:rPr>
          <w:rFonts w:ascii="Arial" w:hAnsi="Arial" w:cs="Arial"/>
          <w:b/>
          <w:bCs/>
        </w:rPr>
      </w:pPr>
      <w:r w:rsidRPr="00D251E5">
        <w:rPr>
          <w:rFonts w:ascii="Arial" w:hAnsi="Arial" w:cs="Arial"/>
          <w:b/>
          <w:bCs/>
        </w:rPr>
        <w:t>RESOLVE</w:t>
      </w:r>
      <w:r w:rsidR="005F1EC6">
        <w:rPr>
          <w:rFonts w:ascii="Arial" w:hAnsi="Arial" w:cs="Arial"/>
          <w:b/>
          <w:bCs/>
        </w:rPr>
        <w:t>:</w:t>
      </w:r>
    </w:p>
    <w:p w14:paraId="05CA6C5A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</w:t>
      </w:r>
    </w:p>
    <w:p w14:paraId="41AB692D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DA APLICABILIDADE</w:t>
      </w:r>
    </w:p>
    <w:p w14:paraId="67EEAAD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1º </w:t>
      </w:r>
      <w:r w:rsidRPr="00D34A93">
        <w:rPr>
          <w:rFonts w:ascii="Arial" w:hAnsi="Arial" w:cs="Arial"/>
          <w:bCs/>
        </w:rPr>
        <w:t>As normas desta Instrução aplicam-se às entidades da Administração Direta e Indireta do Poder Executivo Estadual, dos Poderes Legislativo e Judiciário, ao Ministério Público e à Defensoria Pública</w:t>
      </w:r>
      <w:r>
        <w:rPr>
          <w:rFonts w:ascii="Arial" w:hAnsi="Arial" w:cs="Arial"/>
          <w:bCs/>
        </w:rPr>
        <w:t>.</w:t>
      </w:r>
    </w:p>
    <w:p w14:paraId="4A1C6BCB" w14:textId="77777777" w:rsidR="00E4321D" w:rsidRPr="003E66FF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Sujeitam-se também às normas desta Instrução as entidades que, </w:t>
      </w:r>
      <w:r w:rsidRPr="00B77F93">
        <w:rPr>
          <w:rFonts w:ascii="Arial" w:hAnsi="Arial" w:cs="Arial"/>
          <w:bCs/>
        </w:rPr>
        <w:t>embora instituídas ou autorizadas por lei, não foram regulamentadas ou não apresentaram movimentação orçamentária e financeira no exercício de 20</w:t>
      </w:r>
      <w:r>
        <w:rPr>
          <w:rFonts w:ascii="Arial" w:hAnsi="Arial" w:cs="Arial"/>
          <w:bCs/>
        </w:rPr>
        <w:t>20.</w:t>
      </w:r>
    </w:p>
    <w:p w14:paraId="3F603059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2º </w:t>
      </w:r>
      <w:r w:rsidRPr="00D34A93">
        <w:rPr>
          <w:rFonts w:ascii="Arial" w:hAnsi="Arial" w:cs="Arial"/>
          <w:bCs/>
        </w:rPr>
        <w:t>Consideram-se entidades:</w:t>
      </w:r>
    </w:p>
    <w:p w14:paraId="682BABD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D34A93">
        <w:rPr>
          <w:rFonts w:ascii="Arial" w:hAnsi="Arial" w:cs="Arial"/>
          <w:color w:val="000000"/>
        </w:rPr>
        <w:t xml:space="preserve">I </w:t>
      </w:r>
      <w:r w:rsidRPr="002B361C">
        <w:rPr>
          <w:rFonts w:ascii="Arial" w:hAnsi="Arial" w:cs="Arial"/>
        </w:rPr>
        <w:t xml:space="preserve">- </w:t>
      </w:r>
      <w:r w:rsidRPr="002B361C">
        <w:rPr>
          <w:rFonts w:ascii="Arial" w:hAnsi="Arial" w:cs="Arial"/>
          <w:color w:val="000000"/>
        </w:rPr>
        <w:t xml:space="preserve">na Administração Direta: Governadoria, Casa Civil, Casa Militar, Superintendências Gerais, Procuradoria-Geral do Estado, Controladoria-Geral </w:t>
      </w:r>
      <w:r w:rsidRPr="002B361C">
        <w:rPr>
          <w:rFonts w:ascii="Arial" w:hAnsi="Arial" w:cs="Arial"/>
          <w:color w:val="000000"/>
        </w:rPr>
        <w:lastRenderedPageBreak/>
        <w:t>do Estado, Coordena</w:t>
      </w:r>
      <w:r w:rsidR="00266345">
        <w:rPr>
          <w:rFonts w:ascii="Arial" w:hAnsi="Arial" w:cs="Arial"/>
          <w:color w:val="000000"/>
        </w:rPr>
        <w:t>do</w:t>
      </w:r>
      <w:r w:rsidRPr="002B361C">
        <w:rPr>
          <w:rFonts w:ascii="Arial" w:hAnsi="Arial" w:cs="Arial"/>
          <w:color w:val="000000"/>
        </w:rPr>
        <w:t xml:space="preserve">ria Estadual, Vice-Governadoria, </w:t>
      </w:r>
      <w:r w:rsidRPr="002B361C">
        <w:rPr>
          <w:rFonts w:ascii="Arial" w:hAnsi="Arial" w:cs="Arial"/>
        </w:rPr>
        <w:t>Órgãos de Regime Especial</w:t>
      </w:r>
      <w:r w:rsidRPr="002B361C">
        <w:rPr>
          <w:rFonts w:ascii="Arial" w:hAnsi="Arial" w:cs="Arial"/>
          <w:color w:val="000000"/>
        </w:rPr>
        <w:t xml:space="preserve"> e as Secretarias de Estado;</w:t>
      </w:r>
    </w:p>
    <w:p w14:paraId="6E6CF57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color w:val="000000"/>
        </w:rPr>
        <w:t xml:space="preserve">II </w:t>
      </w:r>
      <w:r w:rsidRPr="00D34A93">
        <w:rPr>
          <w:rFonts w:ascii="Arial" w:hAnsi="Arial" w:cs="Arial"/>
        </w:rPr>
        <w:t xml:space="preserve">- </w:t>
      </w:r>
      <w:r w:rsidRPr="00D34A93">
        <w:rPr>
          <w:rFonts w:ascii="Arial" w:hAnsi="Arial" w:cs="Arial"/>
          <w:color w:val="000000"/>
        </w:rPr>
        <w:t xml:space="preserve">na Administração Indireta: as </w:t>
      </w:r>
      <w:r w:rsidRPr="00D34A93">
        <w:rPr>
          <w:rFonts w:ascii="Arial" w:hAnsi="Arial" w:cs="Arial"/>
        </w:rPr>
        <w:t>Autarquias, Fundos Especiais (inclusive de natureza previdenciária), Fundações e Sociedades instituídas e mantidas pelo Poder Público Estadual, Empresas Públicas, Sociedades de Economia Mista e suas subsidiárias e controladas e Serviços Sociais Autônomos;</w:t>
      </w:r>
    </w:p>
    <w:p w14:paraId="6512525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no Poder Legislativo: a Assembleia Legislativa, o Tribunal de Contas e Fundos Especiais a eles vinculados;</w:t>
      </w:r>
    </w:p>
    <w:p w14:paraId="0AEE9C2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IV - no Poder Judiciário: o Tribunal de Justiça e Fundos Especiais a ele vinculados;</w:t>
      </w:r>
    </w:p>
    <w:p w14:paraId="7EE9E40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o Ministério Público e Fundos Especiais a ele vinculados;</w:t>
      </w:r>
    </w:p>
    <w:p w14:paraId="6DDEBD08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a Defensoria Pública e Fundos Especiais a ela vinculados.</w:t>
      </w:r>
    </w:p>
    <w:p w14:paraId="19D3366A" w14:textId="77777777" w:rsidR="00457A5F" w:rsidRPr="00D34A93" w:rsidRDefault="00457A5F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1506D4EB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II</w:t>
      </w:r>
    </w:p>
    <w:p w14:paraId="4222FC56" w14:textId="77777777" w:rsidR="00E4321D" w:rsidRPr="00D34A93" w:rsidRDefault="00E4321D" w:rsidP="00457A5F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DOS RESPONSÁVEIS</w:t>
      </w:r>
    </w:p>
    <w:p w14:paraId="53373539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3º </w:t>
      </w:r>
      <w:r w:rsidRPr="00D34A93">
        <w:rPr>
          <w:rFonts w:ascii="Arial" w:hAnsi="Arial" w:cs="Arial"/>
          <w:bCs/>
        </w:rPr>
        <w:t>Nos processos de Prestação de Contas Estadual, consideram-se:</w:t>
      </w:r>
    </w:p>
    <w:p w14:paraId="0801BE93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gestor das contas: o(s) representante(s) legal(is) da entidade, responsável(eis), à época, pela realização das despesas;</w:t>
      </w:r>
    </w:p>
    <w:p w14:paraId="45F8D25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gestor atual: o representante legal da entidade, responsável pela apresentação da prestação de contas.</w:t>
      </w:r>
    </w:p>
    <w:p w14:paraId="75AA0B46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4º </w:t>
      </w:r>
      <w:r w:rsidRPr="00D34A93">
        <w:rPr>
          <w:rFonts w:ascii="Arial" w:hAnsi="Arial" w:cs="Arial"/>
          <w:bCs/>
        </w:rPr>
        <w:t>Observando o artigo anterior quanto ao período de responsabilidade, designam-se gestor das contas e gestor atual:</w:t>
      </w:r>
    </w:p>
    <w:p w14:paraId="177F7B10" w14:textId="77777777" w:rsidR="00E4321D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nas entidades integrantes da Administração Direta Estadual: o(s) representante(s) legal(is)</w:t>
      </w:r>
      <w:r>
        <w:rPr>
          <w:rFonts w:ascii="Arial" w:hAnsi="Arial" w:cs="Arial"/>
          <w:bCs/>
        </w:rPr>
        <w:t>:</w:t>
      </w:r>
      <w:r w:rsidRPr="00D34A93">
        <w:rPr>
          <w:rFonts w:ascii="Arial" w:hAnsi="Arial" w:cs="Arial"/>
          <w:bCs/>
        </w:rPr>
        <w:t xml:space="preserve"> </w:t>
      </w:r>
      <w:r w:rsidRPr="00887F94">
        <w:rPr>
          <w:rFonts w:ascii="Arial" w:hAnsi="Arial" w:cs="Arial"/>
          <w:bCs/>
        </w:rPr>
        <w:t>Assessores, Chefes, Secretário de Estado</w:t>
      </w:r>
      <w:r>
        <w:rPr>
          <w:rFonts w:ascii="Arial" w:hAnsi="Arial" w:cs="Arial"/>
          <w:bCs/>
        </w:rPr>
        <w:t>,</w:t>
      </w:r>
      <w:r w:rsidRPr="00887F94">
        <w:rPr>
          <w:rFonts w:ascii="Arial" w:hAnsi="Arial" w:cs="Arial"/>
          <w:bCs/>
        </w:rPr>
        <w:t xml:space="preserve"> Procurador-Geral do Estado, Controlador-Geral, Diretores ou quem a lei indicar;</w:t>
      </w:r>
    </w:p>
    <w:p w14:paraId="10A0C76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D34A93">
        <w:rPr>
          <w:rFonts w:ascii="Arial" w:hAnsi="Arial" w:cs="Arial"/>
          <w:bCs/>
        </w:rPr>
        <w:t xml:space="preserve">II - nas entidades integrantes da Administração Indireta Estadual: </w:t>
      </w:r>
      <w:r w:rsidRPr="00D34A93">
        <w:rPr>
          <w:rFonts w:ascii="Arial" w:hAnsi="Arial" w:cs="Arial"/>
          <w:bCs/>
          <w:color w:val="000000"/>
        </w:rPr>
        <w:t>o(s) dirigente(s) máximo(s), na pessoa do Presidente, Diretor Presidente, Superintendente ou quem a lei indicar;</w:t>
      </w:r>
    </w:p>
    <w:p w14:paraId="030E121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III - no Poder Legislativo: o Presidente e o 1º Secretário da Assembleia Legislativa e o Presidente do Tribunal de Contas;</w:t>
      </w:r>
    </w:p>
    <w:p w14:paraId="4DD97A4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Cs/>
        </w:rPr>
        <w:t>IV - no Poder Judiciário: o Presidente do Tribunal de Justiça;</w:t>
      </w:r>
    </w:p>
    <w:p w14:paraId="2B35329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 - no Ministério Público: o Procurador-Geral de Justiça;</w:t>
      </w:r>
    </w:p>
    <w:p w14:paraId="32E397B0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 - na Defensoria Pública: o Defensor Público-Geral.</w:t>
      </w:r>
    </w:p>
    <w:p w14:paraId="603F0EE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Art. 5º</w:t>
      </w:r>
      <w:r w:rsidRPr="00D34A93">
        <w:rPr>
          <w:rFonts w:ascii="Arial" w:hAnsi="Arial" w:cs="Arial"/>
          <w:bCs/>
        </w:rPr>
        <w:t xml:space="preserve"> Deverão estar previamente cadastrados no Sistema de Cadastro do Tribunal de Contas todos os gestores que responderam pela entidade durante o exercício.</w:t>
      </w:r>
    </w:p>
    <w:p w14:paraId="6E2CB20D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lastRenderedPageBreak/>
        <w:t>§ 1º A ausência de cadastro ou a falta de atualização poderá acarretar a responsabilização do agente, nos termos da Lei Complementar nº 113/05, do Regimento Interno e demais atos normativos do Tribunal.</w:t>
      </w:r>
    </w:p>
    <w:p w14:paraId="43B784A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Cs/>
        </w:rPr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7268ABBE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III</w:t>
      </w:r>
    </w:p>
    <w:p w14:paraId="34919741" w14:textId="77777777" w:rsidR="00E4321D" w:rsidRPr="00D34A93" w:rsidRDefault="00E4321D" w:rsidP="00457A5F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DOS PRAZOS</w:t>
      </w:r>
    </w:p>
    <w:p w14:paraId="50645C9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6º</w:t>
      </w:r>
      <w:r w:rsidRPr="00D34A93">
        <w:rPr>
          <w:rFonts w:ascii="Arial" w:hAnsi="Arial" w:cs="Arial"/>
        </w:rPr>
        <w:t xml:space="preserve"> A prestação de contas anual, relativa ao exercício financeiro de 20</w:t>
      </w:r>
      <w:r>
        <w:rPr>
          <w:rFonts w:ascii="Arial" w:hAnsi="Arial" w:cs="Arial"/>
        </w:rPr>
        <w:t>20</w:t>
      </w:r>
      <w:r w:rsidRPr="00D34A93">
        <w:rPr>
          <w:rFonts w:ascii="Arial" w:hAnsi="Arial" w:cs="Arial"/>
        </w:rPr>
        <w:t xml:space="preserve"> das entidades abrangidas por esta Instrução Normativa, deverá ser encaminhada dentro dos seguintes prazos:</w:t>
      </w:r>
    </w:p>
    <w:p w14:paraId="3540439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 xml:space="preserve">I - até o dia </w:t>
      </w:r>
      <w:r>
        <w:rPr>
          <w:rFonts w:ascii="Arial" w:hAnsi="Arial" w:cs="Arial"/>
          <w:bCs/>
        </w:rPr>
        <w:t>31</w:t>
      </w:r>
      <w:r w:rsidRPr="00D34A93">
        <w:rPr>
          <w:rFonts w:ascii="Arial" w:hAnsi="Arial" w:cs="Arial"/>
          <w:bCs/>
        </w:rPr>
        <w:t xml:space="preserve"> de março de 20</w:t>
      </w:r>
      <w:r>
        <w:rPr>
          <w:rFonts w:ascii="Arial" w:hAnsi="Arial" w:cs="Arial"/>
          <w:bCs/>
        </w:rPr>
        <w:t>21</w:t>
      </w:r>
      <w:r w:rsidRPr="00D34A93">
        <w:rPr>
          <w:rFonts w:ascii="Arial" w:hAnsi="Arial" w:cs="Arial"/>
          <w:bCs/>
        </w:rPr>
        <w:t>, para as entidades integrantes da Administração Direta do Poder Executivo, Legislativo e Judiciário, e para o Ministério Público e Defensoria Pública;</w:t>
      </w:r>
    </w:p>
    <w:p w14:paraId="7D6D45E0" w14:textId="77777777" w:rsidR="00E4321D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até o dia 30 de abril de 20</w:t>
      </w:r>
      <w:r>
        <w:rPr>
          <w:rFonts w:ascii="Arial" w:hAnsi="Arial" w:cs="Arial"/>
          <w:bCs/>
        </w:rPr>
        <w:t>21</w:t>
      </w:r>
      <w:r w:rsidRPr="00D34A93">
        <w:rPr>
          <w:rFonts w:ascii="Arial" w:hAnsi="Arial" w:cs="Arial"/>
          <w:bCs/>
        </w:rPr>
        <w:t>, para os Fundos Especiais do Poder Legislativo, Judiciário, do Ministério Público e da Defensoria Pública, e para as entidades integrantes da Administração Indireta do Poder Executivo, incluídas as Autarquias</w:t>
      </w:r>
      <w:r>
        <w:rPr>
          <w:rFonts w:ascii="Arial" w:hAnsi="Arial" w:cs="Arial"/>
          <w:bCs/>
        </w:rPr>
        <w:t>,</w:t>
      </w:r>
      <w:r w:rsidRPr="00D34A93">
        <w:rPr>
          <w:rFonts w:ascii="Arial" w:hAnsi="Arial" w:cs="Arial"/>
          <w:bCs/>
        </w:rPr>
        <w:t xml:space="preserve"> Fundos Especiais, Sociedades de Economia Mista e suas subsidiárias e controladas, Empresas Públicas, Serviços Sociais Autônomos, Fundações e Sociedades instituídas e mantidas pelo Poder Público.</w:t>
      </w:r>
    </w:p>
    <w:p w14:paraId="53AB4D8D" w14:textId="77777777" w:rsidR="00457A5F" w:rsidRPr="00D34A93" w:rsidRDefault="00457A5F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</w:p>
    <w:p w14:paraId="641E9CA8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CAPÍTULO IV</w:t>
      </w:r>
    </w:p>
    <w:p w14:paraId="056CC3A8" w14:textId="77777777" w:rsidR="00E4321D" w:rsidRPr="00D34A93" w:rsidRDefault="00E4321D" w:rsidP="00457A5F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>DA FORMA E COMPOSIÇÃO DA PRESTAÇÃO DE CONTAS</w:t>
      </w:r>
    </w:p>
    <w:p w14:paraId="389AC9B7" w14:textId="6FE0ECAC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7º </w:t>
      </w:r>
      <w:r w:rsidRPr="00D34A93">
        <w:rPr>
          <w:rFonts w:ascii="Arial" w:hAnsi="Arial" w:cs="Arial"/>
          <w:bCs/>
        </w:rPr>
        <w:t>Os processos de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Prestação de Contas deverão ser encaminhados a este Tribunal nos termos definidos pela </w:t>
      </w:r>
      <w:hyperlink r:id="rId12" w:history="1">
        <w:r w:rsidRPr="00FE76E1">
          <w:rPr>
            <w:rStyle w:val="Hyperlink"/>
            <w:rFonts w:ascii="Arial" w:hAnsi="Arial" w:cs="Arial"/>
            <w:bCs/>
          </w:rPr>
          <w:t>Instrução Normativa nº 62/11</w:t>
        </w:r>
      </w:hyperlink>
      <w:r w:rsidRPr="00D34A93">
        <w:rPr>
          <w:rFonts w:ascii="Arial" w:hAnsi="Arial" w:cs="Arial"/>
          <w:bCs/>
        </w:rPr>
        <w:t xml:space="preserve">, que trata da implantação do peticionamento eletrônico, e pela </w:t>
      </w:r>
      <w:hyperlink r:id="rId13" w:history="1">
        <w:r w:rsidRPr="000F520B">
          <w:rPr>
            <w:rStyle w:val="Hyperlink"/>
            <w:rFonts w:ascii="Arial" w:hAnsi="Arial" w:cs="Arial"/>
            <w:bCs/>
          </w:rPr>
          <w:t>Instrução de Serviço nº 27/11</w:t>
        </w:r>
      </w:hyperlink>
      <w:r w:rsidRPr="00D34A93">
        <w:rPr>
          <w:rFonts w:ascii="Arial" w:hAnsi="Arial" w:cs="Arial"/>
          <w:bCs/>
        </w:rPr>
        <w:t>, da Presidência deste Tribunal, que dispõe sobre as mídias, o tamanho e formatos dos documentos, e se constituirão, também, das informações encaminhadas por meio do sistema SEI-CED.</w:t>
      </w:r>
    </w:p>
    <w:p w14:paraId="2539487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D34A93">
        <w:rPr>
          <w:rFonts w:ascii="Arial" w:hAnsi="Arial" w:cs="Arial"/>
          <w:bCs/>
        </w:rPr>
        <w:t xml:space="preserve">As instruções e procedimentos para o peticionamento em meio eletrônico estão disponíveis no </w:t>
      </w:r>
      <w:r w:rsidRPr="00D34A93">
        <w:rPr>
          <w:rFonts w:ascii="Arial" w:hAnsi="Arial" w:cs="Arial"/>
          <w:bCs/>
          <w:i/>
        </w:rPr>
        <w:t>site</w:t>
      </w:r>
      <w:r w:rsidRPr="00D34A93">
        <w:rPr>
          <w:rFonts w:ascii="Arial" w:hAnsi="Arial" w:cs="Arial"/>
          <w:bCs/>
        </w:rPr>
        <w:t xml:space="preserve"> deste Tribunal (</w:t>
      </w:r>
      <w:hyperlink r:id="rId14" w:history="1">
        <w:r w:rsidRPr="00D34A93">
          <w:rPr>
            <w:rStyle w:val="Hyperlink"/>
            <w:rFonts w:ascii="Arial" w:hAnsi="Arial" w:cs="Arial"/>
            <w:bCs/>
          </w:rPr>
          <w:t>www.tce.pr.gov.br</w:t>
        </w:r>
      </w:hyperlink>
      <w:r w:rsidRPr="00D34A93">
        <w:rPr>
          <w:rFonts w:ascii="Arial" w:hAnsi="Arial" w:cs="Arial"/>
          <w:bCs/>
        </w:rPr>
        <w:t xml:space="preserve">), no </w:t>
      </w:r>
      <w:r w:rsidRPr="00D34A93">
        <w:rPr>
          <w:rFonts w:ascii="Arial" w:hAnsi="Arial" w:cs="Arial"/>
          <w:bCs/>
          <w:i/>
        </w:rPr>
        <w:t>Portal e-Contas Paraná</w:t>
      </w:r>
      <w:r w:rsidRPr="00D34A93">
        <w:rPr>
          <w:rFonts w:ascii="Arial" w:hAnsi="Arial" w:cs="Arial"/>
          <w:bCs/>
        </w:rPr>
        <w:t>.</w:t>
      </w:r>
    </w:p>
    <w:p w14:paraId="219E1F61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>Art. 8º</w:t>
      </w:r>
      <w:r w:rsidRPr="00D34A93">
        <w:rPr>
          <w:rFonts w:ascii="Arial" w:hAnsi="Arial" w:cs="Arial"/>
          <w:bCs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exercício.</w:t>
      </w:r>
    </w:p>
    <w:p w14:paraId="4A268269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9º </w:t>
      </w:r>
      <w:r w:rsidRPr="00D34A93">
        <w:rPr>
          <w:rFonts w:ascii="Arial" w:hAnsi="Arial" w:cs="Arial"/>
          <w:bCs/>
        </w:rPr>
        <w:t xml:space="preserve">A prestação de contas </w:t>
      </w:r>
      <w:r w:rsidRPr="00887F94">
        <w:rPr>
          <w:rFonts w:ascii="Arial" w:hAnsi="Arial" w:cs="Arial"/>
          <w:bCs/>
        </w:rPr>
        <w:t>anual das Secretarias de Estado, das Superintendências-Gerais, da Procuradoria-Geral do Estado, Controladoria-Geral, da Casa Civil e da Casa Militar conterá os seguintes documentos</w:t>
      </w:r>
      <w:r w:rsidRPr="00D34A93">
        <w:rPr>
          <w:rFonts w:ascii="Arial" w:hAnsi="Arial" w:cs="Arial"/>
          <w:bCs/>
        </w:rPr>
        <w:t>:</w:t>
      </w:r>
    </w:p>
    <w:p w14:paraId="4265DC7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 xml:space="preserve">Formulário de dados </w:t>
      </w:r>
      <w:r w:rsidRPr="0061514E">
        <w:rPr>
          <w:rFonts w:ascii="Arial" w:hAnsi="Arial" w:cs="Arial"/>
        </w:rPr>
        <w:t>conforme Anexo I desta</w:t>
      </w:r>
      <w:r w:rsidRPr="00D34A93">
        <w:rPr>
          <w:rFonts w:ascii="Arial" w:hAnsi="Arial" w:cs="Arial"/>
        </w:rPr>
        <w:t xml:space="preserve"> Instrução Normativa;</w:t>
      </w:r>
    </w:p>
    <w:p w14:paraId="58C8D29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 xml:space="preserve">II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Relatório circunstanciado</w:t>
      </w:r>
      <w:r w:rsidRPr="00D34A93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2B44F97A" w14:textId="77777777" w:rsidR="00E4321D" w:rsidRPr="00344DB8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344DB8">
        <w:rPr>
          <w:rFonts w:ascii="Arial" w:hAnsi="Arial" w:cs="Arial"/>
          <w:iCs/>
          <w:snapToGrid w:val="0"/>
        </w:rPr>
        <w:t>a) observância da legislação pertinente, em especial quanto ao plano plurianual, às diretrizes orçamentárias e ao orçamento anual;</w:t>
      </w:r>
    </w:p>
    <w:p w14:paraId="10237D63" w14:textId="77777777" w:rsidR="00E4321D" w:rsidRPr="00344DB8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344DB8">
        <w:rPr>
          <w:rFonts w:ascii="Arial" w:hAnsi="Arial" w:cs="Arial"/>
          <w:iCs/>
          <w:snapToGrid w:val="0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3C8DFE0E" w14:textId="77777777" w:rsidR="00E4321D" w:rsidRPr="00344DB8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344DB8">
        <w:rPr>
          <w:rFonts w:ascii="Arial" w:hAnsi="Arial" w:cs="Arial"/>
          <w:iCs/>
          <w:snapToGrid w:val="0"/>
        </w:rPr>
        <w:t xml:space="preserve">c) </w:t>
      </w:r>
      <w:r w:rsidRPr="00344DB8">
        <w:rPr>
          <w:rFonts w:ascii="Arial" w:hAnsi="Arial" w:cs="Arial"/>
          <w:iCs/>
        </w:rPr>
        <w:t xml:space="preserve">comparativo das metas previstas e realizadas </w:t>
      </w:r>
      <w:r w:rsidRPr="00344DB8">
        <w:rPr>
          <w:rFonts w:ascii="Arial" w:hAnsi="Arial" w:cs="Arial"/>
          <w:iCs/>
          <w:snapToGrid w:val="0"/>
        </w:rPr>
        <w:t>(Demonstrativo de Metas Físicas), com esclarecimentos, se for o caso, sobre as causas que inviabilizaram o pleno cumprimento;</w:t>
      </w:r>
    </w:p>
    <w:p w14:paraId="2E5836A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344DB8">
        <w:rPr>
          <w:rFonts w:ascii="Arial" w:hAnsi="Arial" w:cs="Arial"/>
          <w:iCs/>
          <w:snapToGrid w:val="0"/>
        </w:rPr>
        <w:t>d) fatos</w:t>
      </w:r>
      <w:r w:rsidRPr="00D34A93">
        <w:rPr>
          <w:rFonts w:ascii="Arial" w:hAnsi="Arial" w:cs="Arial"/>
          <w:snapToGrid w:val="0"/>
        </w:rPr>
        <w:t xml:space="preserve"> relevantes ocorridos no exercício que tenham impactado, positiva ou negativamente, a gestão da entidade.</w:t>
      </w:r>
    </w:p>
    <w:p w14:paraId="093671A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do Controle Interno, elaborado e assinado pelo(s) agente(s) de controle interno designado(s) pela entidade, contendo, dentre outras informações:</w:t>
      </w:r>
    </w:p>
    <w:p w14:paraId="08B2CF3D" w14:textId="77777777" w:rsidR="00E4321D" w:rsidRPr="00344DB8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344DB8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4EC51A2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344DB8">
        <w:rPr>
          <w:rFonts w:ascii="Arial" w:hAnsi="Arial" w:cs="Arial"/>
          <w:iCs/>
        </w:rPr>
        <w:t xml:space="preserve">b) </w:t>
      </w:r>
      <w:r w:rsidRPr="00D34A93">
        <w:rPr>
          <w:rFonts w:ascii="Arial" w:hAnsi="Arial" w:cs="Arial"/>
        </w:rPr>
        <w:t>as recomendações encaminhadas ao gestor da entidade, se houver, com ciência do gestor e medidas implementadas.</w:t>
      </w:r>
    </w:p>
    <w:p w14:paraId="7A88E61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 xml:space="preserve">do fiel cumprimento das exigências contidas no art. 74 da Constituição Federal, conforme modelo </w:t>
      </w:r>
      <w:r w:rsidRPr="0061514E">
        <w:rPr>
          <w:rFonts w:ascii="Arial" w:hAnsi="Arial" w:cs="Arial"/>
          <w:snapToGrid w:val="0"/>
        </w:rPr>
        <w:t>do Anexo III;</w:t>
      </w:r>
    </w:p>
    <w:p w14:paraId="70F0DD3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Relatório da Controladoria Geral do Estado, contendo as avaliações pelas Coordenadorias de Controle Interno, de Ouvidoria, de Transparência e Controle Social e de Corregedoria;</w:t>
      </w:r>
    </w:p>
    <w:p w14:paraId="6363A2C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VI - Demonstrativo da Despesa Segundo a Natureza – Anexo 2 da Lei nº 4.320/64;</w:t>
      </w:r>
    </w:p>
    <w:p w14:paraId="0067B83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VII - Comparativo da Despesa Autorizada com a Realizada – Anexo 11 da Lei nº 4.320/64;</w:t>
      </w:r>
    </w:p>
    <w:p w14:paraId="26137B6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Comparativo da Despesa Autorizada com a Realizada, segundo os Desdobramentos por Espécie – Anexo 11-A da Lei nº 4.320/64;</w:t>
      </w:r>
    </w:p>
    <w:p w14:paraId="54724C0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Demonstração da Dívida Pública – Anexo 17 da Lei nº 4.320/64;</w:t>
      </w:r>
    </w:p>
    <w:p w14:paraId="3FDB8B7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 - Relação de Restos a Pagar;</w:t>
      </w:r>
    </w:p>
    <w:p w14:paraId="64818BA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 - Balancete do mês de dezembro, sem encerramento;</w:t>
      </w:r>
    </w:p>
    <w:p w14:paraId="58D65297" w14:textId="77777777" w:rsidR="00E4321D" w:rsidRPr="0061514E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XII - Declaração expressa do Chefe do Grupo de Recursos Humanos Setorial, de que o(s) Gestor(es) das Contas indicados </w:t>
      </w:r>
      <w:r w:rsidRPr="0061514E">
        <w:rPr>
          <w:rFonts w:ascii="Arial" w:hAnsi="Arial" w:cs="Arial"/>
        </w:rPr>
        <w:t>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312B400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61514E">
        <w:rPr>
          <w:rFonts w:ascii="Arial" w:hAnsi="Arial" w:cs="Arial"/>
        </w:rPr>
        <w:lastRenderedPageBreak/>
        <w:t>XIII - Demonstrações Contábeis Aplicadas ao Setor</w:t>
      </w:r>
      <w:r w:rsidRPr="00D34A93">
        <w:rPr>
          <w:rFonts w:ascii="Arial" w:hAnsi="Arial" w:cs="Arial"/>
        </w:rPr>
        <w:t xml:space="preserve"> Público (DCASP):</w:t>
      </w:r>
    </w:p>
    <w:p w14:paraId="6344FA5A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a) Balanço Orçamentário;</w:t>
      </w:r>
    </w:p>
    <w:p w14:paraId="68454169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b) Balanço Financeiro;</w:t>
      </w:r>
    </w:p>
    <w:p w14:paraId="43EB3681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c) Balanço Patrimonial;</w:t>
      </w:r>
    </w:p>
    <w:p w14:paraId="3196D924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d) Demonstração das Variações Patrimoniais;</w:t>
      </w:r>
    </w:p>
    <w:p w14:paraId="03151199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e) Demonstração dos Fluxos de Caixa;</w:t>
      </w:r>
    </w:p>
    <w:p w14:paraId="5A50D40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0A0755">
        <w:rPr>
          <w:rFonts w:ascii="Arial" w:hAnsi="Arial" w:cs="Arial"/>
          <w:iCs/>
        </w:rPr>
        <w:t xml:space="preserve">f) </w:t>
      </w:r>
      <w:r w:rsidRPr="00D34A93">
        <w:rPr>
          <w:rFonts w:ascii="Arial" w:hAnsi="Arial" w:cs="Arial"/>
        </w:rPr>
        <w:t>Notas Explicativas às DCASP.</w:t>
      </w:r>
    </w:p>
    <w:p w14:paraId="69E3DCC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 xml:space="preserve">§ 1º As unidades orçamentárias Administração Geral do Estado – Recursos sob Supervisão da SEFA deverão encaminhar os documentos elencados neste artigo, juntamente com a Prestação de Contas da Entidade. </w:t>
      </w:r>
    </w:p>
    <w:p w14:paraId="659997E8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 xml:space="preserve">§ 2º A Prestação de Contas do Fundo de Manutenção e Desenvolvimento da Educação Básica e de Valorização dos Profissionais da Educação – FUNDEB deverá ser encaminhada juntamente com a da Secretaria de Estado da </w:t>
      </w:r>
      <w:r w:rsidRPr="00D40329">
        <w:rPr>
          <w:rFonts w:ascii="Arial" w:hAnsi="Arial" w:cs="Arial"/>
          <w:bCs/>
        </w:rPr>
        <w:t>Educação e do Esporte – SEED, composta pelos seguintes documentos:</w:t>
      </w:r>
    </w:p>
    <w:p w14:paraId="5065826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Relatório da Execução dos Recursos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6148DBE5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Balancete Financeiro do FUNDEB;</w:t>
      </w:r>
    </w:p>
    <w:p w14:paraId="4328D3A8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III - Demonstrativo dos recursos recolhidos ao FUNDEB;</w:t>
      </w:r>
    </w:p>
    <w:p w14:paraId="104CAA5A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IV - Demonstrativo dos pagamentos de despesas inscritas em restos a pagar do FUNDEB;</w:t>
      </w:r>
    </w:p>
    <w:p w14:paraId="682FFBC2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 - Demonstrativo das receitas destinadas ao FUNDEB;</w:t>
      </w:r>
    </w:p>
    <w:p w14:paraId="13DA431B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 - Demonstrativo dos valores devidos, repassados e a repassar ao FUNDEB;</w:t>
      </w:r>
    </w:p>
    <w:p w14:paraId="374D1F6D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VII - Demonstrativo das despesas realizadas com recursos do FUNDEB;</w:t>
      </w:r>
    </w:p>
    <w:p w14:paraId="24BB706A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VIII - Parecer do Conselho de Acompanhamento e Controle Social do FUNDEB.</w:t>
      </w:r>
    </w:p>
    <w:p w14:paraId="45D467DA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/>
          <w:bCs/>
        </w:rPr>
      </w:pPr>
      <w:r w:rsidRPr="00D34A93">
        <w:rPr>
          <w:rFonts w:ascii="Arial" w:hAnsi="Arial" w:cs="Arial"/>
          <w:b/>
          <w:bCs/>
        </w:rPr>
        <w:t xml:space="preserve">Art. 10. </w:t>
      </w:r>
      <w:r w:rsidRPr="00D34A93">
        <w:rPr>
          <w:rFonts w:ascii="Arial" w:hAnsi="Arial" w:cs="Arial"/>
          <w:bCs/>
        </w:rPr>
        <w:t>A Prestação de Contas Anual dos Fundos Especiais e Serviços Sociais Autônomos que registram sua contabilidade na forma da Lei nº 4.320/64, das Autarquias</w:t>
      </w:r>
      <w:r w:rsidRPr="00887F94">
        <w:rPr>
          <w:rFonts w:ascii="Arial" w:hAnsi="Arial" w:cs="Arial"/>
          <w:bCs/>
        </w:rPr>
        <w:t>, Órgãos de Regime Especial, Ministério</w:t>
      </w:r>
      <w:r w:rsidRPr="00D34A93">
        <w:rPr>
          <w:rFonts w:ascii="Arial" w:hAnsi="Arial" w:cs="Arial"/>
          <w:bCs/>
        </w:rPr>
        <w:t xml:space="preserve"> Público, Defensoria Pública, Assembleia Legislativa, Tribunal de Contas e Tribunal de Justiça conterá os seguintes documentos:</w:t>
      </w:r>
    </w:p>
    <w:p w14:paraId="00A0EBC5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Formulário de dados conforme Anexo I desta Instrução Normativa;</w:t>
      </w:r>
    </w:p>
    <w:p w14:paraId="3881825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 xml:space="preserve">II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Relatório circunstanciado</w:t>
      </w:r>
      <w:r w:rsidRPr="00D34A93">
        <w:rPr>
          <w:rFonts w:ascii="Arial" w:hAnsi="Arial" w:cs="Arial"/>
          <w:snapToGrid w:val="0"/>
          <w:color w:val="000000"/>
        </w:rPr>
        <w:t xml:space="preserve"> da gestão, destacando, no mínimo, os seguintes elementos obrigatórios:</w:t>
      </w:r>
    </w:p>
    <w:p w14:paraId="5B71152C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>a) observância da legislação pertinente, em especial quanto ao plano plurianual, às diretrizes orçamentárias e ao orçamento anual;</w:t>
      </w:r>
    </w:p>
    <w:p w14:paraId="1C4623AF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49D3BD3A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 xml:space="preserve">c) </w:t>
      </w:r>
      <w:r w:rsidRPr="000A0755">
        <w:rPr>
          <w:rFonts w:ascii="Arial" w:hAnsi="Arial" w:cs="Arial"/>
          <w:iCs/>
        </w:rPr>
        <w:t>Plano Anual de Aplicação dos Recursos ou equivalente – Inicial e Complementares e/ou Reformulações, para os Fundos Especiais;</w:t>
      </w:r>
    </w:p>
    <w:p w14:paraId="5B0F2CF1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 xml:space="preserve">d) </w:t>
      </w:r>
      <w:r w:rsidRPr="000A0755">
        <w:rPr>
          <w:rFonts w:ascii="Arial" w:hAnsi="Arial" w:cs="Arial"/>
          <w:iCs/>
        </w:rPr>
        <w:t xml:space="preserve">comparativo das metas previstas e realizadas </w:t>
      </w:r>
      <w:r w:rsidRPr="000A0755">
        <w:rPr>
          <w:rFonts w:ascii="Arial" w:hAnsi="Arial" w:cs="Arial"/>
          <w:iCs/>
          <w:snapToGrid w:val="0"/>
        </w:rPr>
        <w:t>(Demonstrativo de Metas Físicas), com esclarecimentos, se for o caso, sobre as causas que inviabilizaram o pleno cumprimento;</w:t>
      </w:r>
    </w:p>
    <w:p w14:paraId="703BEF5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0A0755">
        <w:rPr>
          <w:rFonts w:ascii="Arial" w:hAnsi="Arial" w:cs="Arial"/>
          <w:iCs/>
          <w:snapToGrid w:val="0"/>
        </w:rPr>
        <w:t>e) fatos relevantes ocorridos no exercício que tenham impactado, positiva ou negativamente</w:t>
      </w:r>
      <w:r w:rsidRPr="00D34A93">
        <w:rPr>
          <w:rFonts w:ascii="Arial" w:hAnsi="Arial" w:cs="Arial"/>
          <w:snapToGrid w:val="0"/>
        </w:rPr>
        <w:t>, a gestão da entidade;</w:t>
      </w:r>
    </w:p>
    <w:p w14:paraId="4659DBF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do Controle Interno, elaborado e assinado pelo(s) agente(s) de controle interno designado(s) pela entidade, contendo, dentre outras informações:</w:t>
      </w:r>
    </w:p>
    <w:p w14:paraId="0059244C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76D2319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0A0755">
        <w:rPr>
          <w:rFonts w:ascii="Arial" w:hAnsi="Arial" w:cs="Arial"/>
          <w:iCs/>
          <w:snapToGrid w:val="0"/>
        </w:rPr>
        <w:t>b)</w:t>
      </w:r>
      <w:r w:rsidRPr="00D34A93">
        <w:rPr>
          <w:rFonts w:ascii="Arial" w:hAnsi="Arial" w:cs="Arial"/>
          <w:i/>
          <w:snapToGrid w:val="0"/>
        </w:rPr>
        <w:t xml:space="preserve"> </w:t>
      </w:r>
      <w:r w:rsidRPr="00D34A93">
        <w:rPr>
          <w:rFonts w:ascii="Arial" w:hAnsi="Arial" w:cs="Arial"/>
          <w:snapToGrid w:val="0"/>
        </w:rPr>
        <w:t>as recomendações encaminhadas ao gestor da entidade, se houver, com ciência do gestor e medidas implementadas;</w:t>
      </w:r>
    </w:p>
    <w:p w14:paraId="78C5D169" w14:textId="77777777" w:rsidR="00E4321D" w:rsidRPr="0061514E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 xml:space="preserve">do fiel cumprimento das exigências contidas no art. 74 da Constituição Federal, conforme modelo do </w:t>
      </w:r>
      <w:r w:rsidRPr="0061514E">
        <w:rPr>
          <w:rFonts w:ascii="Arial" w:hAnsi="Arial" w:cs="Arial"/>
          <w:snapToGrid w:val="0"/>
        </w:rPr>
        <w:t>Anexo III;</w:t>
      </w:r>
    </w:p>
    <w:p w14:paraId="57FFAA1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61514E">
        <w:rPr>
          <w:rFonts w:ascii="Arial" w:hAnsi="Arial" w:cs="Arial"/>
        </w:rPr>
        <w:t>V - Relatório</w:t>
      </w:r>
      <w:r w:rsidRPr="00D34A93">
        <w:rPr>
          <w:rFonts w:ascii="Arial" w:hAnsi="Arial" w:cs="Arial"/>
        </w:rPr>
        <w:t xml:space="preserve"> da Controladoria Geral do Estado, contendo as ações desenvolvidas pelas Coordenadorias de Controle Interno, de Ouvidoria, de Transparência e Controle Social e de Corregedoria;</w:t>
      </w:r>
    </w:p>
    <w:p w14:paraId="062D4BC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 - Demonstrativo da Receita Segundo as Categorias Econômicas – Anexo 2 da Lei nº 4.320/64;</w:t>
      </w:r>
    </w:p>
    <w:p w14:paraId="12C13B88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VII - Demonstrativo da Despesa Segundo a Natureza – Anexo 2 da Lei nº 4.320/64;</w:t>
      </w:r>
    </w:p>
    <w:p w14:paraId="1A159E4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VIII - Comparativo da Receita Orçada com a Arrecadada – Anexo 10 da Lei nº 4.320/64</w:t>
      </w:r>
      <w:r w:rsidRPr="00D34A93">
        <w:rPr>
          <w:rFonts w:ascii="Arial" w:hAnsi="Arial" w:cs="Arial"/>
          <w:strike/>
        </w:rPr>
        <w:t>;</w:t>
      </w:r>
    </w:p>
    <w:p w14:paraId="4A65194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IX - Comparativo da Despesa Autorizada com a Realizada – Anexo 11 da Lei nº 4.320/64;</w:t>
      </w:r>
    </w:p>
    <w:p w14:paraId="23868CD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X - Comparativo da Despesa Autorizada com a Realizada, segundo os Desdobramentos por Espécie – Anexo 11-A da Lei nº 4.320/64;</w:t>
      </w:r>
    </w:p>
    <w:p w14:paraId="7BD5A66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XI - Demonstração da Dívida Pública – Anexo 17 da Lei nº 4.320/64;</w:t>
      </w:r>
    </w:p>
    <w:p w14:paraId="4E5D0A1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  <w:highlight w:val="yellow"/>
        </w:rPr>
      </w:pPr>
      <w:r w:rsidRPr="00D34A93">
        <w:rPr>
          <w:rFonts w:ascii="Arial" w:hAnsi="Arial" w:cs="Arial"/>
        </w:rPr>
        <w:t>XII - Relação de Restos a Pagar;</w:t>
      </w:r>
    </w:p>
    <w:p w14:paraId="6259045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>XIII - Balancete do mês de dezembro, sem encerramento;</w:t>
      </w:r>
    </w:p>
    <w:p w14:paraId="0C099F8F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XIV - Parecer do Conselho Diretor, Conselho Estadual ou equivalente que apreciou as contas, para os Fundos Especiais;</w:t>
      </w:r>
    </w:p>
    <w:p w14:paraId="683AEBC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 - Declaração expressa da unidade de pessoal de que o(s) Gestor(es) das Contas indicado(s) no Anexo I está(ão)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3773AE9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XVI - Demonstrações Contábeis Aplicadas ao Setor Público (DCASP):</w:t>
      </w:r>
    </w:p>
    <w:p w14:paraId="6BFDE8BD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a) Balanço Orçamentário;</w:t>
      </w:r>
    </w:p>
    <w:p w14:paraId="06D68D9B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b) Balanço Financeiro;</w:t>
      </w:r>
    </w:p>
    <w:p w14:paraId="700318FF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c) Balanço Patrimonial;</w:t>
      </w:r>
    </w:p>
    <w:p w14:paraId="41E2D67D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d) Demonstração das Variações Patrimoniais;</w:t>
      </w:r>
    </w:p>
    <w:p w14:paraId="364B49F6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e) Demonstração dos Fluxos de Caixa;</w:t>
      </w:r>
    </w:p>
    <w:p w14:paraId="01611FF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0A0755">
        <w:rPr>
          <w:rFonts w:ascii="Arial" w:hAnsi="Arial" w:cs="Arial"/>
          <w:iCs/>
        </w:rPr>
        <w:t>f) Notas</w:t>
      </w:r>
      <w:r w:rsidRPr="00D34A93">
        <w:rPr>
          <w:rFonts w:ascii="Arial" w:hAnsi="Arial" w:cs="Arial"/>
        </w:rPr>
        <w:t xml:space="preserve"> Explicativas às DCASP.</w:t>
      </w:r>
    </w:p>
    <w:p w14:paraId="0613DFAF" w14:textId="77777777" w:rsidR="00E4321D" w:rsidRPr="00D34A93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§ 1º O Tribunal de Justiça, além dos documentos exigidos nos incisos I a XVI deste artigo, deverá encaminhar, ainda, Relatório da Gestão dos precatórios, parte Estadual, que deverá conter, dentre outras informações, demonstrativos com:</w:t>
      </w:r>
    </w:p>
    <w:p w14:paraId="437902B5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 - transferências recebidas, mensalmente, pela Secretaria de Estado da Fazenda para pagamento de precatórios, especificando depósitos referentes a diferenças que eventualmente tenham existido</w:t>
      </w:r>
      <w:r>
        <w:rPr>
          <w:rFonts w:ascii="Arial" w:hAnsi="Arial" w:cs="Arial"/>
          <w:bCs/>
        </w:rPr>
        <w:t xml:space="preserve">, bem como o total de recursos recebidos </w:t>
      </w:r>
      <w:r w:rsidRPr="00910E41">
        <w:rPr>
          <w:rFonts w:ascii="Arial" w:hAnsi="Arial" w:cs="Arial"/>
          <w:bCs/>
        </w:rPr>
        <w:t>para pagamento dos Precatórios Requisitórios em cumprimento a Emenda Constitucional</w:t>
      </w:r>
      <w:r>
        <w:rPr>
          <w:rFonts w:ascii="Arial" w:hAnsi="Arial" w:cs="Arial"/>
          <w:bCs/>
        </w:rPr>
        <w:t xml:space="preserve"> </w:t>
      </w:r>
      <w:r w:rsidRPr="00910E41">
        <w:rPr>
          <w:rFonts w:ascii="Arial" w:hAnsi="Arial" w:cs="Arial"/>
          <w:bCs/>
        </w:rPr>
        <w:t>nº 62/2009</w:t>
      </w:r>
      <w:r>
        <w:rPr>
          <w:rFonts w:ascii="Arial" w:hAnsi="Arial" w:cs="Arial"/>
          <w:bCs/>
        </w:rPr>
        <w:t xml:space="preserve"> e nº </w:t>
      </w:r>
      <w:r w:rsidRPr="00910E41">
        <w:rPr>
          <w:rFonts w:ascii="Arial" w:hAnsi="Arial" w:cs="Arial"/>
          <w:bCs/>
        </w:rPr>
        <w:t>99/2017</w:t>
      </w:r>
      <w:r w:rsidRPr="00D34A93">
        <w:rPr>
          <w:rFonts w:ascii="Arial" w:hAnsi="Arial" w:cs="Arial"/>
          <w:bCs/>
        </w:rPr>
        <w:t>;</w:t>
      </w:r>
    </w:p>
    <w:p w14:paraId="1469BFB1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 - recursos destinados às contas especiais Executivo e à conta cronológica Judiciário, demonstrado por meio de razão das contas, com parâmetro de 01/01/20</w:t>
      </w:r>
      <w:r w:rsidR="00266345">
        <w:rPr>
          <w:rFonts w:ascii="Arial" w:hAnsi="Arial" w:cs="Arial"/>
          <w:bCs/>
        </w:rPr>
        <w:t>20</w:t>
      </w:r>
      <w:r w:rsidRPr="00D34A93">
        <w:rPr>
          <w:rFonts w:ascii="Arial" w:hAnsi="Arial" w:cs="Arial"/>
          <w:bCs/>
        </w:rPr>
        <w:t xml:space="preserve"> a 31/12/20</w:t>
      </w:r>
      <w:r w:rsidR="00266345">
        <w:rPr>
          <w:rFonts w:ascii="Arial" w:hAnsi="Arial" w:cs="Arial"/>
          <w:bCs/>
        </w:rPr>
        <w:t>20</w:t>
      </w:r>
      <w:r w:rsidRPr="00D34A93">
        <w:rPr>
          <w:rFonts w:ascii="Arial" w:hAnsi="Arial" w:cs="Arial"/>
          <w:bCs/>
        </w:rPr>
        <w:t xml:space="preserve"> e total por tipo de lançamento, bem como por meio de extratos bancários e o resultado das aplicações financeiras;</w:t>
      </w:r>
    </w:p>
    <w:p w14:paraId="37EBAD09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III - data e valores dos repasses de liberação para a vara de origem e, se houver, data e valores dos retornos;</w:t>
      </w:r>
    </w:p>
    <w:p w14:paraId="675A13E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IV - especificação dos pagamentos dos precatórios, por mês, segregando-os por origem alimentar e não alimentar;</w:t>
      </w:r>
    </w:p>
    <w:p w14:paraId="05BA5266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 - identificação das inscrições, por órgão e tipo, valor inicial e com a atualização dos requisitórios;</w:t>
      </w:r>
    </w:p>
    <w:p w14:paraId="57F7BF7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 - controle do estoque dos precatórios, discriminando quantidade, tipo e valores existentes totalizados, por ano</w:t>
      </w:r>
      <w:r>
        <w:rPr>
          <w:rFonts w:ascii="Arial" w:hAnsi="Arial" w:cs="Arial"/>
          <w:bCs/>
        </w:rPr>
        <w:t>, bem como apresentar a lista dos devedores por ordem cronológica unificada dos precatórios devidos pelo Estado</w:t>
      </w:r>
      <w:r w:rsidRPr="00D34A93">
        <w:rPr>
          <w:rFonts w:ascii="Arial" w:hAnsi="Arial" w:cs="Arial"/>
          <w:bCs/>
        </w:rPr>
        <w:t>;</w:t>
      </w:r>
    </w:p>
    <w:p w14:paraId="5679ED3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VII - baixas por tipo, apresentando quantitativo e valores;</w:t>
      </w:r>
    </w:p>
    <w:p w14:paraId="1E8EF3EF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lastRenderedPageBreak/>
        <w:t>VIII - notas explicativas sobre a gestão no exercício, esclarecendo o não esgotamento dos recursos, se for o caso, e, os cálculos quanto ao montante incontroverso da dívida;</w:t>
      </w:r>
    </w:p>
    <w:p w14:paraId="6D30E932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IX - informações apresentadas à SEFA quanto à execução financeira;</w:t>
      </w:r>
    </w:p>
    <w:p w14:paraId="086F070C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X - provisão para precatórios que embora já constem do Sistema de Gestão de Precatórios, ainda não foram emitidas as respectivas requisições de pagamento pelo juízo de origem;</w:t>
      </w:r>
    </w:p>
    <w:p w14:paraId="266E0FC8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XI - precatórios quitados pela Câmara de Conciliação de Precatórios;</w:t>
      </w:r>
    </w:p>
    <w:p w14:paraId="67603CE0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Cs/>
        </w:rPr>
        <w:t>XII - plano de pagamento, demonstrativos</w:t>
      </w:r>
      <w:r>
        <w:rPr>
          <w:rFonts w:ascii="Arial" w:hAnsi="Arial" w:cs="Arial"/>
          <w:bCs/>
        </w:rPr>
        <w:t xml:space="preserve">, conciliações, utilização de numerário proveniente de depósitos judiciais e administrativos, identificando as contas receptoras desses recursos, valores transferidos, saldos </w:t>
      </w:r>
      <w:r w:rsidRPr="00D34A93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demais</w:t>
      </w:r>
      <w:r w:rsidRPr="00D34A93">
        <w:rPr>
          <w:rFonts w:ascii="Arial" w:hAnsi="Arial" w:cs="Arial"/>
          <w:bCs/>
        </w:rPr>
        <w:t xml:space="preserve"> ações referentes a execução do novo regime especia</w:t>
      </w:r>
      <w:r w:rsidR="008F1F31">
        <w:rPr>
          <w:rFonts w:ascii="Arial" w:hAnsi="Arial" w:cs="Arial"/>
          <w:bCs/>
        </w:rPr>
        <w:t>l</w:t>
      </w:r>
      <w:r w:rsidRPr="00D34A93">
        <w:rPr>
          <w:rFonts w:ascii="Arial" w:hAnsi="Arial" w:cs="Arial"/>
          <w:bCs/>
        </w:rPr>
        <w:t xml:space="preserve"> de pagamento de precatórios estabelecido pela Emenda Constitucional 99/2017.</w:t>
      </w:r>
    </w:p>
    <w:p w14:paraId="720C59AE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t xml:space="preserve">Art. 11. </w:t>
      </w:r>
      <w:r w:rsidRPr="00D34A93">
        <w:rPr>
          <w:rFonts w:ascii="Arial" w:hAnsi="Arial" w:cs="Arial"/>
          <w:bCs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5ED94F2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 </w:t>
      </w:r>
      <w:r w:rsidRPr="00D34A93">
        <w:rPr>
          <w:rFonts w:ascii="Arial" w:hAnsi="Arial" w:cs="Arial"/>
          <w:color w:val="000000"/>
        </w:rPr>
        <w:t xml:space="preserve">- </w:t>
      </w:r>
      <w:r w:rsidRPr="00D34A93">
        <w:rPr>
          <w:rFonts w:ascii="Arial" w:hAnsi="Arial" w:cs="Arial"/>
        </w:rPr>
        <w:t>Formulário de dados conforme Anexo I desta Instrução Normativa;</w:t>
      </w:r>
    </w:p>
    <w:p w14:paraId="51BEC7E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da Administração;</w:t>
      </w:r>
    </w:p>
    <w:p w14:paraId="1F0824B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Balanço Patrimonial;</w:t>
      </w:r>
    </w:p>
    <w:p w14:paraId="1674551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IV - Demonstração do Resultado do Exercício – DRE;</w:t>
      </w:r>
    </w:p>
    <w:p w14:paraId="07F2504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Demonstração dos Fluxos de Caixa – DFC;</w:t>
      </w:r>
    </w:p>
    <w:p w14:paraId="75FF126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Demonstração das Mutações do Patrimônio Líquido – DMPL;</w:t>
      </w:r>
    </w:p>
    <w:p w14:paraId="5571EC5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 - Demonstrativo do Valor Adicionado – DVA, para as Companhias de capital aberto;</w:t>
      </w:r>
    </w:p>
    <w:p w14:paraId="0E85517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Notas Explicativas às Demonstrações Contábeis;</w:t>
      </w:r>
    </w:p>
    <w:p w14:paraId="2B9376C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Relatório do Controle Interno, elaborado e assinado pelo(s) agente(s) de controle interno designado(s) pela entidade, contendo, dentre outras informações:</w:t>
      </w:r>
    </w:p>
    <w:p w14:paraId="5341B399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1A93CA9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0A0755">
        <w:rPr>
          <w:rFonts w:ascii="Arial" w:hAnsi="Arial" w:cs="Arial"/>
          <w:iCs/>
          <w:snapToGrid w:val="0"/>
        </w:rPr>
        <w:t>b) as recomendações encaminhadas ao gestor da entidade, se houver, com</w:t>
      </w:r>
      <w:r w:rsidRPr="00D34A93">
        <w:rPr>
          <w:rFonts w:ascii="Arial" w:hAnsi="Arial" w:cs="Arial"/>
          <w:snapToGrid w:val="0"/>
        </w:rPr>
        <w:t xml:space="preserve"> ciência do gestor e medidas implementadas.</w:t>
      </w:r>
    </w:p>
    <w:p w14:paraId="32D03D8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X - Parecer do Controle Interno contendo opinativo acerca </w:t>
      </w:r>
      <w:r w:rsidRPr="00D34A93">
        <w:rPr>
          <w:rFonts w:ascii="Arial" w:hAnsi="Arial" w:cs="Arial"/>
          <w:snapToGrid w:val="0"/>
        </w:rPr>
        <w:t>do fiel cumprimento das exigências contidas no art. 74 da Constituição Federal, conforme modelo do Anexo III;</w:t>
      </w:r>
    </w:p>
    <w:p w14:paraId="79D4433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lastRenderedPageBreak/>
        <w:t>XI - Relatório da Controladoria Geral do Estado, contendo as avaliações pelas Coordenadorias de Controle Interno, de Ouvidoria, de Transparência e Controle Social e de Corregedoria;</w:t>
      </w:r>
    </w:p>
    <w:p w14:paraId="5F24A95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 - Publicação das Demonstrações Contábeis no Diário Oficial do Estado e/ou em outro jornal de circulação, quando a legislação exigir;</w:t>
      </w:r>
    </w:p>
    <w:p w14:paraId="1C82612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XIII - Parecer dos Auditores Independentes, quando a legislação exigir;</w:t>
      </w:r>
    </w:p>
    <w:p w14:paraId="50D4EAA1" w14:textId="77777777" w:rsidR="00E4321D" w:rsidRPr="00D40329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bookmarkStart w:id="0" w:name="_Hlk52961992"/>
      <w:r w:rsidRPr="00D34A93">
        <w:rPr>
          <w:rFonts w:ascii="Arial" w:hAnsi="Arial" w:cs="Arial"/>
        </w:rPr>
        <w:t>XIV - Parecer do Conselho Fiscal,</w:t>
      </w:r>
      <w:bookmarkEnd w:id="0"/>
      <w:r w:rsidRPr="00D34A93">
        <w:rPr>
          <w:rFonts w:ascii="Arial" w:hAnsi="Arial" w:cs="Arial"/>
        </w:rPr>
        <w:t xml:space="preserve"> que apreciou as contas,</w:t>
      </w:r>
      <w:r w:rsidRPr="006F7EA8">
        <w:rPr>
          <w:rFonts w:ascii="Arial" w:hAnsi="Arial" w:cs="Arial"/>
        </w:rPr>
        <w:t xml:space="preserve"> </w:t>
      </w:r>
      <w:r w:rsidRPr="00D40329">
        <w:rPr>
          <w:rFonts w:ascii="Arial" w:hAnsi="Arial" w:cs="Arial"/>
        </w:rPr>
        <w:t>ou a manifestação do Conselho de Administração, sobre o relatório da administração e as contas da diretoria (quando houver);</w:t>
      </w:r>
    </w:p>
    <w:p w14:paraId="133A12C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40329">
        <w:rPr>
          <w:rFonts w:ascii="Arial" w:hAnsi="Arial" w:cs="Arial"/>
        </w:rPr>
        <w:t>XV - Balancete do mês de dezembro – sem encerramento das Contas</w:t>
      </w:r>
      <w:r w:rsidRPr="00D34A93">
        <w:rPr>
          <w:rFonts w:ascii="Arial" w:hAnsi="Arial" w:cs="Arial"/>
        </w:rPr>
        <w:t xml:space="preserve"> de Resultado</w:t>
      </w:r>
      <w:r w:rsidRPr="00D34A93">
        <w:rPr>
          <w:rFonts w:ascii="Arial" w:hAnsi="Arial" w:cs="Arial"/>
          <w:strike/>
        </w:rPr>
        <w:t>;</w:t>
      </w:r>
    </w:p>
    <w:p w14:paraId="35F04D64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XVI - Declaração expressa da unidade de pessoal, de que o(s) Gestor(es) das Contas indicados no Anexo I está(ão) em dia com a exigência da apresentação da declaração de bens e rendas de que trata o art. 13 da Lei Federal nº 8.429, de 02 de junho de 1992, e Lei Estadual nº 13.047, de 16 de janeiro de 2001, conforme Anexo II;</w:t>
      </w:r>
    </w:p>
    <w:p w14:paraId="5ED5C606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Parágrafo único. Os Serviços Sociais Autônomos que registram sua contabilidade na forma da Lei nº 6.404/76 deverão encaminhar ainda os seguintes documentos, além dos exigidos nos incisos I a XVI deste artigo:</w:t>
      </w:r>
    </w:p>
    <w:p w14:paraId="4A1AC61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 - Plano Anual de Ação Estratégica;</w:t>
      </w:r>
    </w:p>
    <w:p w14:paraId="002D7DF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sobre a execução dos planos, programas, projetos, atividades, produtos e serviços;</w:t>
      </w:r>
    </w:p>
    <w:p w14:paraId="6C46A6B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de Avaliação de Desempenho do Contrato de Gestão, evidenciando o desempenho das suas atividades, segundo o contrato de gestão, detalhando as metas previstas e realizadas, e os respectivos custos e indicadores.</w:t>
      </w:r>
    </w:p>
    <w:p w14:paraId="6D761AC9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12.</w:t>
      </w:r>
      <w:r w:rsidRPr="00D34A93">
        <w:rPr>
          <w:rFonts w:ascii="Arial" w:hAnsi="Arial" w:cs="Arial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66EE7FB0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 - Formulário de dados conforme Anexo I desta Instrução Normativa;</w:t>
      </w:r>
    </w:p>
    <w:p w14:paraId="66A567B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 - Relatório circunstanciado da gestão, destacando:</w:t>
      </w:r>
    </w:p>
    <w:p w14:paraId="7288BD15" w14:textId="77777777" w:rsidR="00E4321D" w:rsidRPr="000A0755" w:rsidRDefault="00E4321D" w:rsidP="00E4321D">
      <w:pPr>
        <w:spacing w:before="120"/>
        <w:ind w:left="1434" w:hanging="300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a) a execução orçamentária e financeira do fundo;</w:t>
      </w:r>
    </w:p>
    <w:p w14:paraId="02CAB429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b) quantidade e valores pagos de benefícios concedidos (pensões e aposentadorias) por Poder;</w:t>
      </w:r>
    </w:p>
    <w:p w14:paraId="356E412B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c) o resultado da gestão;</w:t>
      </w:r>
    </w:p>
    <w:p w14:paraId="61C6D1E8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d) situação patrimonial;</w:t>
      </w:r>
    </w:p>
    <w:p w14:paraId="236FA679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e) resultado técnico;</w:t>
      </w:r>
    </w:p>
    <w:p w14:paraId="0D5226B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0A0755">
        <w:rPr>
          <w:rFonts w:ascii="Arial" w:hAnsi="Arial" w:cs="Arial"/>
          <w:iCs/>
        </w:rPr>
        <w:lastRenderedPageBreak/>
        <w:t>f)</w:t>
      </w:r>
      <w:r w:rsidRPr="00D34A93">
        <w:rPr>
          <w:rFonts w:ascii="Arial" w:hAnsi="Arial" w:cs="Arial"/>
        </w:rPr>
        <w:t xml:space="preserve"> demonstrativo dos valores repassados pelo Estado aos Fundos Previdenciários no exercício em análise,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23A4A54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III - Relatório do Controle Interno, elaborado e assinado pelo(s) agente(s) de controle interno designado(s) pela entidade, contendo, dentre outras informações:</w:t>
      </w:r>
    </w:p>
    <w:p w14:paraId="7E668536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  <w:snapToGrid w:val="0"/>
        </w:rPr>
      </w:pPr>
      <w:r w:rsidRPr="000A0755">
        <w:rPr>
          <w:rFonts w:ascii="Arial" w:hAnsi="Arial" w:cs="Arial"/>
          <w:iCs/>
          <w:snapToGrid w:val="0"/>
        </w:rPr>
        <w:t>a) os resultados das ações decorrentes da avaliação dos controles existentes, atendendo às orientações técnicas da Coordenação de Controle Interno, bem como ao seu Plano de Ação;</w:t>
      </w:r>
    </w:p>
    <w:p w14:paraId="3E116DB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napToGrid w:val="0"/>
        </w:rPr>
      </w:pPr>
      <w:r w:rsidRPr="000A0755">
        <w:rPr>
          <w:rFonts w:ascii="Arial" w:hAnsi="Arial" w:cs="Arial"/>
          <w:iCs/>
          <w:snapToGrid w:val="0"/>
        </w:rPr>
        <w:t>b) as recomendações encaminhadas ao gestor da entidade, se houver, com ciência</w:t>
      </w:r>
      <w:r w:rsidRPr="00D34A93">
        <w:rPr>
          <w:rFonts w:ascii="Arial" w:hAnsi="Arial" w:cs="Arial"/>
          <w:snapToGrid w:val="0"/>
        </w:rPr>
        <w:t xml:space="preserve"> do gestor e medidas implementadas.</w:t>
      </w:r>
    </w:p>
    <w:p w14:paraId="3DA9E98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 xml:space="preserve">IV - Parecer do Controle Interno contendo opinativo acerca </w:t>
      </w:r>
      <w:r w:rsidRPr="00D34A93">
        <w:rPr>
          <w:rFonts w:ascii="Arial" w:hAnsi="Arial" w:cs="Arial"/>
          <w:snapToGrid w:val="0"/>
        </w:rPr>
        <w:t>do fiel cumprimento das exigências contidas no art. 74 da Constituição Federal, conforme modelo do Anexo III;</w:t>
      </w:r>
    </w:p>
    <w:p w14:paraId="3A71C6A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 - Relatório da Controladoria Geral do Estado, contendo as avaliações pelas Coordenadorias de Controle Interno, de Ouvidoria, de Transparência e Controle Social e de Corregedoria;</w:t>
      </w:r>
    </w:p>
    <w:p w14:paraId="39DEB4E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 - Demonstrativo da Receita e Despesa segundo as Categorias Econômicas – Anexo 1 da Lei nº 4.320/64;</w:t>
      </w:r>
    </w:p>
    <w:p w14:paraId="2FCE0F21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 - Demonstrativo da Receita Segundo as Categorias Econômicas – Anexo 2 da Lei nº 4.320/64;</w:t>
      </w:r>
    </w:p>
    <w:p w14:paraId="0F27345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VIII - Demonstrativo da Despesa Segundo a Natureza – Anexo 2 da Lei nº 4.320/64;</w:t>
      </w:r>
    </w:p>
    <w:p w14:paraId="6E0FAEC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IX - Comparativo da Receita Orçada com a Arrecadada – Anexo 10 da Lei nº 4.320/64;</w:t>
      </w:r>
    </w:p>
    <w:p w14:paraId="6AB17CA2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 - Comparativo da Despesa Autorizada com a Realizada – Anexo 11 da Lei nº 4.320/64;</w:t>
      </w:r>
    </w:p>
    <w:p w14:paraId="3607396E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 - Documentos comprobatórios dos investimentos dos recursos previdenciários;</w:t>
      </w:r>
    </w:p>
    <w:p w14:paraId="4E32FDFD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 - Balancete do mês de dezembro, sem encerramento;</w:t>
      </w:r>
    </w:p>
    <w:p w14:paraId="1546A243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XIII – Parecer Técnico Atuarial;</w:t>
      </w:r>
    </w:p>
    <w:p w14:paraId="51CBA587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</w:rPr>
        <w:t>XIV - Declaração expressa da unidade de pessoal, de que o(s) Gestor(es) das Contas indicados no Anexo I está(ão)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0C9A06EF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  <w:strike/>
        </w:rPr>
      </w:pPr>
      <w:r w:rsidRPr="00D34A93">
        <w:rPr>
          <w:rFonts w:ascii="Arial" w:hAnsi="Arial" w:cs="Arial"/>
        </w:rPr>
        <w:t>XV - Demonstrações Contábeis Aplicadas ao Setor Público (DCASP):</w:t>
      </w:r>
    </w:p>
    <w:p w14:paraId="0C08BEF7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lastRenderedPageBreak/>
        <w:t>a) Balanço Orçamentário;</w:t>
      </w:r>
    </w:p>
    <w:p w14:paraId="4692CFCA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b) Balanço Financeiro;</w:t>
      </w:r>
    </w:p>
    <w:p w14:paraId="093A4BDB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c) Balanço Patrimonial;</w:t>
      </w:r>
    </w:p>
    <w:p w14:paraId="1C7CD160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d) Demonstração das Variações Patrimoniais;</w:t>
      </w:r>
    </w:p>
    <w:p w14:paraId="7B7907EB" w14:textId="77777777" w:rsidR="00E4321D" w:rsidRPr="000A0755" w:rsidRDefault="00E4321D" w:rsidP="00E4321D">
      <w:pPr>
        <w:spacing w:before="120"/>
        <w:ind w:firstLine="1134"/>
        <w:jc w:val="both"/>
        <w:rPr>
          <w:rFonts w:ascii="Arial" w:hAnsi="Arial" w:cs="Arial"/>
          <w:iCs/>
        </w:rPr>
      </w:pPr>
      <w:r w:rsidRPr="000A0755">
        <w:rPr>
          <w:rFonts w:ascii="Arial" w:hAnsi="Arial" w:cs="Arial"/>
          <w:iCs/>
        </w:rPr>
        <w:t>e) Demonstração dos Fluxos de Caixa;</w:t>
      </w:r>
    </w:p>
    <w:p w14:paraId="6D31BD7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0A0755">
        <w:rPr>
          <w:rFonts w:ascii="Arial" w:hAnsi="Arial" w:cs="Arial"/>
          <w:iCs/>
        </w:rPr>
        <w:t>f) Notas Explicativas</w:t>
      </w:r>
      <w:r w:rsidRPr="00D34A93">
        <w:rPr>
          <w:rFonts w:ascii="Arial" w:hAnsi="Arial" w:cs="Arial"/>
        </w:rPr>
        <w:t xml:space="preserve"> às DCASP.</w:t>
      </w:r>
    </w:p>
    <w:p w14:paraId="283EDBF2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13.</w:t>
      </w:r>
      <w:r w:rsidRPr="00D34A93">
        <w:rPr>
          <w:rFonts w:ascii="Arial" w:hAnsi="Arial" w:cs="Arial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0E8898AD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C2526D">
        <w:rPr>
          <w:rFonts w:ascii="Arial" w:hAnsi="Arial" w:cs="Arial"/>
          <w:b/>
          <w:bCs/>
        </w:rPr>
        <w:t xml:space="preserve">Art. </w:t>
      </w:r>
      <w:r w:rsidRPr="00856561">
        <w:rPr>
          <w:rFonts w:ascii="Arial" w:hAnsi="Arial" w:cs="Arial"/>
          <w:b/>
          <w:bCs/>
        </w:rPr>
        <w:t>14.</w:t>
      </w:r>
      <w:r w:rsidRPr="00856561">
        <w:rPr>
          <w:rFonts w:ascii="Arial" w:hAnsi="Arial" w:cs="Arial"/>
        </w:rPr>
        <w:t xml:space="preserve"> Na hipótese de qualquer entidade abrangida por esta Instrução Normativa sofrer, no exercício, processo de extinção, deve, além do contido neste documento, observar o estabelecido em Instrução Normativa própria, desta Corte de Contas, que regulamenta o tema.</w:t>
      </w:r>
    </w:p>
    <w:p w14:paraId="5DB1F737" w14:textId="77777777" w:rsidR="00457A5F" w:rsidRDefault="00457A5F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2955DC72" w14:textId="77777777" w:rsidR="00E4321D" w:rsidRPr="002507D5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CAPÍTULO V</w:t>
      </w:r>
    </w:p>
    <w:p w14:paraId="5DF6D2B6" w14:textId="77777777" w:rsidR="00E4321D" w:rsidRPr="002507D5" w:rsidRDefault="00E4321D" w:rsidP="00457A5F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DO ESCOPO DE ANÁLISE</w:t>
      </w:r>
    </w:p>
    <w:p w14:paraId="60FE6D07" w14:textId="77777777" w:rsidR="00E4321D" w:rsidRPr="002507D5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2507D5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5</w:t>
      </w:r>
      <w:r w:rsidRPr="002507D5">
        <w:rPr>
          <w:rFonts w:ascii="Arial" w:hAnsi="Arial" w:cs="Arial"/>
          <w:b/>
        </w:rPr>
        <w:t>.</w:t>
      </w:r>
      <w:r w:rsidRPr="002507D5">
        <w:rPr>
          <w:rFonts w:ascii="Arial" w:hAnsi="Arial" w:cs="Arial"/>
        </w:rPr>
        <w:t xml:space="preserve"> A análise das prestações de contas será realizada conforme escopo de análise definido no Anexo IV ou no Anexo V, desta Instrução Normativa, conforme sua aplicabilidade.</w:t>
      </w:r>
    </w:p>
    <w:p w14:paraId="1BA98860" w14:textId="77777777" w:rsidR="00E4321D" w:rsidRPr="002507D5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Cs/>
        </w:rPr>
        <w:t>Parágrafo único.</w:t>
      </w:r>
      <w:r w:rsidRPr="00D34A93">
        <w:rPr>
          <w:rFonts w:ascii="Arial" w:hAnsi="Arial" w:cs="Arial"/>
          <w:b/>
          <w:bCs/>
        </w:rPr>
        <w:t xml:space="preserve"> </w:t>
      </w:r>
      <w:r w:rsidRPr="002507D5">
        <w:rPr>
          <w:rFonts w:ascii="Arial" w:hAnsi="Arial" w:cs="Arial"/>
        </w:rPr>
        <w:t>Considera-se escopo de análise o conjunto de apontamentos para ordenação da análise das prestações de contas anuais, a ser efetuada pela Coordenadoria de Gestão Estadual, o qual possui natureza ordenatória da fiscalização, não obstando a análise de outras irregularidades que venham a ser apontadas no curso da instrução, nos próprios autos de Prestação de Contas, e possam interferir na análise da gestão.</w:t>
      </w:r>
    </w:p>
    <w:p w14:paraId="51E194C1" w14:textId="77777777" w:rsidR="00E4321D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2507D5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6</w:t>
      </w:r>
      <w:r w:rsidRPr="002507D5">
        <w:rPr>
          <w:rFonts w:ascii="Arial" w:hAnsi="Arial" w:cs="Arial"/>
        </w:rPr>
        <w:t xml:space="preserve"> As prestações de contas dos administradores, inclusive as dos Poderes Legislativo e Judiciário, do Ministério Público e da Defensoria Pública, serão objeto de julgamento pelo Tribunal, com base na análise balizada no escopo de análise. O julgamento não implicará na convalidação ou o saneamento de questões</w:t>
      </w:r>
      <w:r w:rsidRPr="00231382">
        <w:rPr>
          <w:rFonts w:ascii="Arial" w:hAnsi="Arial" w:cs="Arial"/>
        </w:rPr>
        <w:t xml:space="preserve"> nele não abordadas, que poderão ser objeto de fiscalização específica por este Tribunal.</w:t>
      </w:r>
    </w:p>
    <w:p w14:paraId="096AE53C" w14:textId="77777777" w:rsidR="00457A5F" w:rsidRPr="00231382" w:rsidRDefault="00457A5F" w:rsidP="00E4321D">
      <w:pPr>
        <w:spacing w:before="120"/>
        <w:ind w:firstLine="1134"/>
        <w:jc w:val="both"/>
        <w:rPr>
          <w:rFonts w:ascii="Arial" w:hAnsi="Arial" w:cs="Arial"/>
        </w:rPr>
      </w:pPr>
    </w:p>
    <w:p w14:paraId="56148DB3" w14:textId="77777777" w:rsidR="00E4321D" w:rsidRPr="002507D5" w:rsidRDefault="00E4321D" w:rsidP="00E4321D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CAPÍTULO VI</w:t>
      </w:r>
    </w:p>
    <w:p w14:paraId="6D8CE0D8" w14:textId="77777777" w:rsidR="00E4321D" w:rsidRPr="002507D5" w:rsidRDefault="00E4321D" w:rsidP="00457A5F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</w:rPr>
      </w:pPr>
      <w:r w:rsidRPr="002507D5">
        <w:rPr>
          <w:rFonts w:ascii="Arial" w:hAnsi="Arial" w:cs="Arial"/>
          <w:b/>
          <w:bCs/>
        </w:rPr>
        <w:t>DAS DISPOSIÇÕES GERAIS</w:t>
      </w:r>
    </w:p>
    <w:p w14:paraId="509AAFFC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7</w:t>
      </w:r>
      <w:r w:rsidRPr="00D34A93">
        <w:rPr>
          <w:rFonts w:ascii="Arial" w:hAnsi="Arial" w:cs="Arial"/>
          <w:b/>
        </w:rPr>
        <w:t>.</w:t>
      </w:r>
      <w:r w:rsidRPr="00D34A93">
        <w:rPr>
          <w:rFonts w:ascii="Arial" w:hAnsi="Arial" w:cs="Arial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113/2005, salvo quando expressamente declarada, pelo responsável, a sua inexistência ou inaplicabilidade.</w:t>
      </w:r>
    </w:p>
    <w:p w14:paraId="595E3794" w14:textId="77777777" w:rsidR="00E4321D" w:rsidRPr="00D34A93" w:rsidRDefault="00E4321D" w:rsidP="00E4321D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34A93">
        <w:rPr>
          <w:rFonts w:ascii="Arial" w:hAnsi="Arial" w:cs="Arial"/>
          <w:b/>
          <w:bCs/>
        </w:rPr>
        <w:lastRenderedPageBreak/>
        <w:t>Art. 1</w:t>
      </w:r>
      <w:r>
        <w:rPr>
          <w:rFonts w:ascii="Arial" w:hAnsi="Arial" w:cs="Arial"/>
          <w:b/>
          <w:bCs/>
        </w:rPr>
        <w:t>8</w:t>
      </w:r>
      <w:r w:rsidRPr="00D34A93">
        <w:rPr>
          <w:rFonts w:ascii="Arial" w:hAnsi="Arial" w:cs="Arial"/>
          <w:b/>
          <w:bCs/>
        </w:rPr>
        <w:t>.</w:t>
      </w:r>
      <w:r w:rsidRPr="00D34A93">
        <w:rPr>
          <w:rFonts w:ascii="Arial" w:hAnsi="Arial" w:cs="Arial"/>
          <w:bCs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0E870B3A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9</w:t>
      </w:r>
      <w:r w:rsidRPr="00D34A93">
        <w:rPr>
          <w:rFonts w:ascii="Arial" w:hAnsi="Arial" w:cs="Arial"/>
          <w:b/>
        </w:rPr>
        <w:t>.</w:t>
      </w:r>
      <w:r w:rsidRPr="00D34A93">
        <w:rPr>
          <w:rFonts w:ascii="Arial" w:hAnsi="Arial" w:cs="Arial"/>
        </w:rPr>
        <w:t xml:space="preserve"> As orientações técnicas sobre o contido nesta Instrução Normativa poderão ser obtidas junto à Coordenadoria de Gestão Estadual, pelos telefones (41)3350-1740 e (41)3350-1741, ou</w:t>
      </w:r>
      <w:r>
        <w:rPr>
          <w:rFonts w:ascii="Arial" w:hAnsi="Arial" w:cs="Arial"/>
        </w:rPr>
        <w:t>, preferencialmente,</w:t>
      </w:r>
      <w:r w:rsidRPr="00D34A93">
        <w:rPr>
          <w:rFonts w:ascii="Arial" w:hAnsi="Arial" w:cs="Arial"/>
        </w:rPr>
        <w:t xml:space="preserve"> acessando o Canal de Comunicação, disponível no </w:t>
      </w:r>
      <w:r w:rsidRPr="00D34A93">
        <w:rPr>
          <w:rFonts w:ascii="Arial" w:hAnsi="Arial" w:cs="Arial"/>
          <w:i/>
        </w:rPr>
        <w:t xml:space="preserve">site </w:t>
      </w:r>
      <w:r w:rsidRPr="00D34A93">
        <w:rPr>
          <w:rFonts w:ascii="Arial" w:hAnsi="Arial" w:cs="Arial"/>
        </w:rPr>
        <w:t>deste Tribunal (</w:t>
      </w:r>
      <w:hyperlink r:id="rId15" w:history="1">
        <w:r w:rsidRPr="00D34A93">
          <w:rPr>
            <w:rStyle w:val="Hyperlink"/>
            <w:rFonts w:ascii="Arial" w:hAnsi="Arial" w:cs="Arial"/>
          </w:rPr>
          <w:t>www.tce.pr.gov.br</w:t>
        </w:r>
      </w:hyperlink>
      <w:r w:rsidRPr="00D34A93">
        <w:rPr>
          <w:rFonts w:ascii="Arial" w:hAnsi="Arial" w:cs="Arial"/>
        </w:rPr>
        <w:t>), área Jurisdicionados – Canal de Comunicação</w:t>
      </w:r>
      <w:r>
        <w:rPr>
          <w:rFonts w:ascii="Arial" w:hAnsi="Arial" w:cs="Arial"/>
        </w:rPr>
        <w:t xml:space="preserve"> (CACO)</w:t>
      </w:r>
      <w:r w:rsidRPr="00D34A93">
        <w:rPr>
          <w:rFonts w:ascii="Arial" w:hAnsi="Arial" w:cs="Arial"/>
        </w:rPr>
        <w:t xml:space="preserve"> – Acessar Sistema – selecionando Prestação de Contas de Órgãos e Entidades do Governo Estadual – Esclarecimentos sobre a Prestação de Contas.</w:t>
      </w:r>
    </w:p>
    <w:p w14:paraId="6DC6571B" w14:textId="77777777" w:rsidR="00E4321D" w:rsidRPr="00D34A93" w:rsidRDefault="00E4321D" w:rsidP="00E4321D">
      <w:pPr>
        <w:spacing w:before="120"/>
        <w:ind w:firstLine="1134"/>
        <w:jc w:val="both"/>
        <w:rPr>
          <w:rFonts w:ascii="Arial" w:hAnsi="Arial" w:cs="Arial"/>
        </w:rPr>
      </w:pPr>
      <w:r w:rsidRPr="00D34A9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20</w:t>
      </w:r>
      <w:r w:rsidRPr="00D34A93">
        <w:rPr>
          <w:rFonts w:ascii="Arial" w:hAnsi="Arial" w:cs="Arial"/>
          <w:b/>
        </w:rPr>
        <w:t xml:space="preserve">. </w:t>
      </w:r>
      <w:r w:rsidRPr="00D34A93">
        <w:rPr>
          <w:rFonts w:ascii="Arial" w:hAnsi="Arial" w:cs="Arial"/>
        </w:rPr>
        <w:t>Esta Instrução Normativa entra em vigor na data de sua publicação.</w:t>
      </w:r>
    </w:p>
    <w:p w14:paraId="6D0898FF" w14:textId="77777777" w:rsidR="00E4321D" w:rsidRDefault="00E4321D" w:rsidP="003654B9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D34A93">
        <w:rPr>
          <w:rFonts w:ascii="Arial" w:hAnsi="Arial" w:cs="Arial"/>
          <w:szCs w:val="24"/>
        </w:rPr>
        <w:t xml:space="preserve">Curitiba, </w:t>
      </w:r>
      <w:r w:rsidR="003654B9">
        <w:rPr>
          <w:rFonts w:ascii="Arial" w:hAnsi="Arial" w:cs="Arial"/>
          <w:szCs w:val="24"/>
        </w:rPr>
        <w:t>1</w:t>
      </w:r>
      <w:r w:rsidR="001821BF">
        <w:rPr>
          <w:rFonts w:ascii="Arial" w:hAnsi="Arial" w:cs="Arial"/>
          <w:szCs w:val="24"/>
        </w:rPr>
        <w:t>9</w:t>
      </w:r>
      <w:r w:rsidRPr="00D34A93">
        <w:rPr>
          <w:rFonts w:ascii="Arial" w:hAnsi="Arial" w:cs="Arial"/>
          <w:szCs w:val="24"/>
        </w:rPr>
        <w:t xml:space="preserve"> de </w:t>
      </w:r>
      <w:r w:rsidR="003654B9">
        <w:rPr>
          <w:rFonts w:ascii="Arial" w:hAnsi="Arial" w:cs="Arial"/>
          <w:szCs w:val="24"/>
        </w:rPr>
        <w:t>fevereiro</w:t>
      </w:r>
      <w:r w:rsidRPr="00D34A93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3654B9">
        <w:rPr>
          <w:rFonts w:ascii="Arial" w:hAnsi="Arial" w:cs="Arial"/>
          <w:szCs w:val="24"/>
        </w:rPr>
        <w:t>1</w:t>
      </w:r>
      <w:r w:rsidRPr="00D34A93">
        <w:rPr>
          <w:rFonts w:ascii="Arial" w:hAnsi="Arial" w:cs="Arial"/>
          <w:szCs w:val="24"/>
        </w:rPr>
        <w:t>.</w:t>
      </w:r>
    </w:p>
    <w:p w14:paraId="22CD0E48" w14:textId="77777777" w:rsidR="00457A5F" w:rsidRPr="00D34A93" w:rsidRDefault="00457A5F" w:rsidP="00457A5F">
      <w:pPr>
        <w:pStyle w:val="Assina"/>
        <w:tabs>
          <w:tab w:val="left" w:pos="5600"/>
        </w:tabs>
        <w:spacing w:before="120" w:after="0" w:line="240" w:lineRule="auto"/>
        <w:rPr>
          <w:rFonts w:ascii="Arial" w:hAnsi="Arial" w:cs="Arial"/>
          <w:szCs w:val="24"/>
        </w:rPr>
      </w:pPr>
    </w:p>
    <w:p w14:paraId="7DE267F1" w14:textId="77777777" w:rsidR="003654B9" w:rsidRPr="003654B9" w:rsidRDefault="003654B9" w:rsidP="003654B9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3654B9">
        <w:rPr>
          <w:rFonts w:ascii="Arial" w:hAnsi="Arial" w:cs="Arial"/>
          <w:color w:val="808080"/>
          <w:szCs w:val="22"/>
        </w:rPr>
        <w:t>- assinatura digital -</w:t>
      </w:r>
    </w:p>
    <w:p w14:paraId="71BA8BBF" w14:textId="77777777" w:rsidR="003654B9" w:rsidRPr="003654B9" w:rsidRDefault="003654B9" w:rsidP="003654B9">
      <w:pPr>
        <w:spacing w:before="120"/>
        <w:jc w:val="center"/>
        <w:rPr>
          <w:rFonts w:ascii="Arial" w:hAnsi="Arial" w:cs="Arial"/>
          <w:b/>
          <w:szCs w:val="22"/>
        </w:rPr>
      </w:pPr>
      <w:bookmarkStart w:id="1" w:name="_Hlk536444639"/>
      <w:r w:rsidRPr="003654B9">
        <w:rPr>
          <w:rFonts w:ascii="Arial" w:hAnsi="Arial" w:cs="Arial"/>
          <w:szCs w:val="22"/>
        </w:rPr>
        <w:t>Conselheiro</w:t>
      </w:r>
      <w:r w:rsidRPr="003654B9">
        <w:rPr>
          <w:rFonts w:ascii="Arial" w:hAnsi="Arial" w:cs="Arial"/>
          <w:b/>
          <w:szCs w:val="22"/>
        </w:rPr>
        <w:t xml:space="preserve"> </w:t>
      </w:r>
      <w:bookmarkEnd w:id="1"/>
      <w:r w:rsidRPr="003654B9">
        <w:rPr>
          <w:rFonts w:ascii="Arial" w:hAnsi="Arial" w:cs="Arial"/>
          <w:b/>
          <w:szCs w:val="22"/>
        </w:rPr>
        <w:t>FABIO DE SOUZA CAMARGO</w:t>
      </w:r>
    </w:p>
    <w:p w14:paraId="1C9020B1" w14:textId="77777777" w:rsidR="00E4321D" w:rsidRDefault="003654B9" w:rsidP="003654B9">
      <w:pPr>
        <w:jc w:val="center"/>
        <w:rPr>
          <w:rFonts w:ascii="Arial" w:hAnsi="Arial" w:cs="Arial"/>
          <w:szCs w:val="22"/>
        </w:rPr>
      </w:pPr>
      <w:r w:rsidRPr="003654B9">
        <w:rPr>
          <w:rFonts w:ascii="Arial" w:hAnsi="Arial" w:cs="Arial"/>
          <w:szCs w:val="22"/>
        </w:rPr>
        <w:t>Presidente</w:t>
      </w:r>
    </w:p>
    <w:p w14:paraId="1B91AC8C" w14:textId="77777777" w:rsidR="00974061" w:rsidRDefault="00974061" w:rsidP="003654B9">
      <w:pPr>
        <w:jc w:val="center"/>
        <w:rPr>
          <w:rFonts w:ascii="Arial" w:hAnsi="Arial" w:cs="Arial"/>
          <w:szCs w:val="22"/>
        </w:rPr>
      </w:pPr>
    </w:p>
    <w:p w14:paraId="6EB8FF4E" w14:textId="77777777" w:rsidR="00217B71" w:rsidRDefault="00217B71" w:rsidP="003654B9">
      <w:pPr>
        <w:jc w:val="center"/>
        <w:rPr>
          <w:rFonts w:ascii="Arial" w:hAnsi="Arial" w:cs="Arial"/>
        </w:rPr>
        <w:sectPr w:rsidR="00217B71" w:rsidSect="00AF060F">
          <w:headerReference w:type="default" r:id="rId16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326"/>
        </w:sectPr>
      </w:pPr>
    </w:p>
    <w:p w14:paraId="6042D4FB" w14:textId="023DF8C7" w:rsidR="00E4321D" w:rsidRDefault="00E4321D" w:rsidP="00E4321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7EF1813D" w14:textId="77777777" w:rsidR="00E320E0" w:rsidRDefault="00E320E0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  <w:bookmarkStart w:id="2" w:name="_Toc55900050"/>
      <w:bookmarkStart w:id="3" w:name="_Toc55900413"/>
      <w:bookmarkStart w:id="4" w:name="_Toc139340980"/>
    </w:p>
    <w:p w14:paraId="11F7FC1F" w14:textId="77777777" w:rsidR="00E4321D" w:rsidRDefault="00E4321D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FORMULÁRIO</w:t>
      </w:r>
      <w:bookmarkEnd w:id="2"/>
      <w:bookmarkEnd w:id="3"/>
      <w:bookmarkEnd w:id="4"/>
      <w:r>
        <w:rPr>
          <w:rFonts w:ascii="Arial" w:hAnsi="Arial" w:cs="Arial"/>
          <w:b/>
          <w:bCs/>
          <w:smallCaps/>
        </w:rPr>
        <w:t xml:space="preserve"> DE DADOS DE PRESTAÇÃO DE CONTAS ESTADUAL</w:t>
      </w:r>
    </w:p>
    <w:p w14:paraId="718FE795" w14:textId="77777777" w:rsidR="00E320E0" w:rsidRDefault="00E320E0" w:rsidP="00E4321D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59CB42FF" w14:textId="77777777" w:rsidTr="00BD63A0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B4336B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425661C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</w:tr>
      <w:tr w:rsidR="00E4321D" w14:paraId="408C485B" w14:textId="77777777" w:rsidTr="00BD63A0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D6102B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373229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PRESTAÇÃO DE CONTAS ESTADUAL – EXERCÍCIO DE 20XX</w:t>
            </w:r>
          </w:p>
        </w:tc>
      </w:tr>
    </w:tbl>
    <w:p w14:paraId="60C08F64" w14:textId="77777777" w:rsidR="00E4321D" w:rsidRDefault="00E4321D" w:rsidP="00E4321D">
      <w:pPr>
        <w:tabs>
          <w:tab w:val="left" w:pos="708"/>
          <w:tab w:val="center" w:pos="4419"/>
          <w:tab w:val="right" w:pos="8838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39C839E6" w14:textId="77777777" w:rsidTr="00BD63A0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9E258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B7D1CD6" w14:textId="77777777" w:rsidR="00E4321D" w:rsidRDefault="00E4321D" w:rsidP="00BD63A0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</w:rPr>
              <w:t>ENTIDADE</w:t>
            </w:r>
          </w:p>
        </w:tc>
      </w:tr>
      <w:tr w:rsidR="00E4321D" w14:paraId="625A218B" w14:textId="77777777" w:rsidTr="00BD63A0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6205A5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7F63A8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0A1F0046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</w:tbl>
    <w:p w14:paraId="36C5C077" w14:textId="77777777" w:rsidR="00E4321D" w:rsidRDefault="00E4321D" w:rsidP="00E4321D">
      <w:pPr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E4321D" w14:paraId="529207F7" w14:textId="77777777" w:rsidTr="00BD63A0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756F71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43413690" w14:textId="77777777" w:rsidR="00E4321D" w:rsidRDefault="00E4321D" w:rsidP="00BD63A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GESTOR DAS CONTAS</w:t>
            </w:r>
          </w:p>
          <w:p w14:paraId="37D71D76" w14:textId="77777777" w:rsidR="00E4321D" w:rsidRDefault="00E4321D" w:rsidP="00BD63A0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E4321D" w14:paraId="5B35F603" w14:textId="77777777" w:rsidTr="00BD63A0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486F3D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E04F33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784B41C6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7A27387F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4DAF4BCF" w14:textId="77777777" w:rsidR="00E4321D" w:rsidRDefault="00E4321D" w:rsidP="00BD63A0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58FC1EC9" w14:textId="77777777" w:rsidR="00E4321D" w:rsidRDefault="00E4321D" w:rsidP="00BD63A0">
            <w:pPr>
              <w:tabs>
                <w:tab w:val="left" w:pos="4010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*Repetir o quadro conforme número de gestores das contas</w:t>
            </w:r>
          </w:p>
        </w:tc>
      </w:tr>
    </w:tbl>
    <w:p w14:paraId="402BA7A2" w14:textId="77777777" w:rsidR="00E4321D" w:rsidRDefault="00E4321D" w:rsidP="00E4321D">
      <w:pPr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E4321D" w14:paraId="2D9DB954" w14:textId="77777777" w:rsidTr="00BD63A0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CAC3D2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2EC7448E" w14:textId="77777777" w:rsidR="00E4321D" w:rsidRDefault="00E4321D" w:rsidP="00BD63A0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E4321D" w14:paraId="5198C22E" w14:textId="77777777" w:rsidTr="00BD63A0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DB98C5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807B76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390D12B1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592EC50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080A077" w14:textId="77777777" w:rsidR="00E4321D" w:rsidRDefault="00E4321D" w:rsidP="00BD63A0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6C5E4D74" w14:textId="77777777" w:rsidR="00E4321D" w:rsidRDefault="00E4321D" w:rsidP="00E4321D">
      <w:pPr>
        <w:tabs>
          <w:tab w:val="left" w:pos="790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E4321D" w14:paraId="6097C6DF" w14:textId="77777777" w:rsidTr="00BD63A0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CE46CF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1C7F7427" w14:textId="77777777" w:rsidR="00E4321D" w:rsidRPr="00110999" w:rsidRDefault="00E4321D" w:rsidP="00BD63A0">
            <w:pPr>
              <w:rPr>
                <w:rFonts w:ascii="Arial" w:hAnsi="Arial" w:cs="Arial"/>
                <w:b/>
                <w:bCs/>
                <w:iCs/>
              </w:rPr>
            </w:pPr>
            <w:r w:rsidRPr="00110999">
              <w:rPr>
                <w:rFonts w:ascii="Arial" w:hAnsi="Arial" w:cs="Arial"/>
                <w:b/>
                <w:bCs/>
                <w:iCs/>
              </w:rPr>
              <w:t>CONTROLADOR INTERNO</w:t>
            </w:r>
          </w:p>
        </w:tc>
      </w:tr>
      <w:tr w:rsidR="00E4321D" w14:paraId="7DBFC305" w14:textId="77777777" w:rsidTr="00BD63A0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53686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F98087" w14:textId="77777777" w:rsidR="00E4321D" w:rsidRDefault="00E4321D" w:rsidP="00BD63A0">
            <w:pPr>
              <w:tabs>
                <w:tab w:val="left" w:pos="4183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39C4B0AE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49BAE3F1" w14:textId="77777777" w:rsidR="00E4321D" w:rsidRDefault="00E4321D" w:rsidP="00BD63A0">
            <w:pPr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21C78180" w14:textId="77777777" w:rsidR="00E4321D" w:rsidRDefault="00E4321D" w:rsidP="00BD63A0">
            <w:pPr>
              <w:tabs>
                <w:tab w:val="left" w:pos="4032"/>
              </w:tabs>
              <w:spacing w:after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40A98782" w14:textId="77777777" w:rsidR="00E4321D" w:rsidRDefault="00E4321D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42C06742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6A46316E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21E33CBA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p w14:paraId="259D7766" w14:textId="77777777" w:rsidR="00E320E0" w:rsidRDefault="00E320E0" w:rsidP="00E4321D">
      <w:pPr>
        <w:tabs>
          <w:tab w:val="left" w:pos="790"/>
        </w:tabs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8070"/>
      </w:tblGrid>
      <w:tr w:rsidR="00E4321D" w14:paraId="1B4748BC" w14:textId="77777777" w:rsidTr="00BD63A0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FA5701" w14:textId="77777777" w:rsidR="00E4321D" w:rsidRDefault="00E4321D" w:rsidP="00BD63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2E877C3" w14:textId="77777777" w:rsidR="00E4321D" w:rsidRDefault="00E4321D" w:rsidP="00BD63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E4321D" w14:paraId="0CF3740C" w14:textId="77777777" w:rsidTr="00BD63A0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BE266C" w14:textId="77777777" w:rsidR="00E4321D" w:rsidRDefault="00E4321D" w:rsidP="00BD63A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D4B3B5" w14:textId="77777777" w:rsidR="00E4321D" w:rsidRDefault="00E4321D" w:rsidP="00BD63A0">
            <w:pPr>
              <w:tabs>
                <w:tab w:val="left" w:pos="1491"/>
              </w:tabs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Declaro, para os fins legais, que as informações constantes deste formulário são verdadeiras e estou ciente de que a falta de qualquer documento exigido na Instrução Normativa nº XX/20XX poderá ocasionar a irregularidade e demais responsabilidades previstas em lei e nos atos normativos do Tribunal de Contas do Estado do Paraná.</w:t>
            </w:r>
          </w:p>
          <w:p w14:paraId="67FF029D" w14:textId="77777777" w:rsidR="00E4321D" w:rsidRDefault="00E4321D" w:rsidP="00BD63A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3D143566" w14:textId="77777777" w:rsidR="00E4321D" w:rsidRDefault="00E4321D" w:rsidP="00BD63A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14:paraId="4B516744" w14:textId="77777777" w:rsidR="00E4321D" w:rsidRDefault="00E4321D" w:rsidP="00BD63A0">
            <w:pPr>
              <w:tabs>
                <w:tab w:val="left" w:pos="708"/>
                <w:tab w:val="center" w:pos="4419"/>
                <w:tab w:val="right" w:pos="8838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72B7A9C0" w14:textId="77777777" w:rsidR="00E4321D" w:rsidRDefault="00E4321D" w:rsidP="00E4321D">
      <w:pPr>
        <w:rPr>
          <w:rFonts w:ascii="Arial" w:hAnsi="Arial" w:cs="Arial"/>
        </w:rPr>
        <w:sectPr w:rsidR="00E4321D" w:rsidSect="00AF060F"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326"/>
        </w:sectPr>
      </w:pPr>
    </w:p>
    <w:p w14:paraId="0AF83033" w14:textId="77777777" w:rsidR="00E4321D" w:rsidRDefault="00E4321D" w:rsidP="00E4321D">
      <w:pPr>
        <w:shd w:val="pct5" w:color="auto" w:fill="auto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6E5DDB55" w14:textId="77777777" w:rsidR="00E4321D" w:rsidRDefault="00E4321D" w:rsidP="00E4321D">
      <w:pPr>
        <w:tabs>
          <w:tab w:val="left" w:pos="2268"/>
        </w:tabs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DECLARAÇÃO DE CUMPRIMENTO DO ART. 13 DA LEI FEDERAL Nº 8.429/92</w:t>
      </w:r>
    </w:p>
    <w:p w14:paraId="21B43EAC" w14:textId="77777777" w:rsidR="00E4321D" w:rsidRDefault="00E4321D" w:rsidP="00E4321D">
      <w:pPr>
        <w:spacing w:before="120" w:after="120"/>
        <w:rPr>
          <w:rFonts w:ascii="Arial" w:hAnsi="Arial" w:cs="Arial"/>
        </w:rPr>
      </w:pPr>
    </w:p>
    <w:p w14:paraId="1AD50A74" w14:textId="77777777" w:rsidR="00E4321D" w:rsidRDefault="00E4321D" w:rsidP="00E4321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Declaro, para os devidos fins, que o(s) Gestor(es) das Contas do(a) </w:t>
      </w:r>
      <w:r>
        <w:rPr>
          <w:rFonts w:ascii="Arial" w:hAnsi="Arial" w:cs="Arial"/>
          <w:u w:val="single"/>
        </w:rPr>
        <w:t>(preencher com o nome da entidade)</w:t>
      </w:r>
      <w:r>
        <w:rPr>
          <w:rFonts w:ascii="Arial" w:hAnsi="Arial" w:cs="Arial"/>
        </w:rPr>
        <w:t xml:space="preserve">  no exercício de 20XX, Srs. _________________, _________________ e _________________, estão em dia com a obrigação de apresentação da declaração dos bens e valores que compõem o seu patrimônio privado de que trata o artigo 13 da Lei Federal nº 8.429, de 02 de junho de 1992, e Lei Estadual nº 13.047, de 16 de janeiro de 2001, estando devidamente arquivadas nesta Unidade de Pessoal.</w:t>
      </w:r>
    </w:p>
    <w:p w14:paraId="79FEBFEE" w14:textId="77777777" w:rsidR="00E4321D" w:rsidRDefault="00E4321D" w:rsidP="00E4321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Local e data.</w:t>
      </w:r>
    </w:p>
    <w:p w14:paraId="3D160BB7" w14:textId="77777777" w:rsidR="00E4321D" w:rsidRDefault="00E4321D" w:rsidP="00E432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14:paraId="11CC47DF" w14:textId="77777777" w:rsidR="00E4321D" w:rsidRDefault="00E4321D" w:rsidP="00E432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(Responsável pela Unidade de Pessoal)</w:t>
      </w:r>
    </w:p>
    <w:p w14:paraId="64EDE810" w14:textId="77777777" w:rsidR="00E4321D" w:rsidRDefault="00E4321D" w:rsidP="00E4321D">
      <w:pPr>
        <w:shd w:val="pct5" w:color="auto" w:fill="auto"/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15EC948B" w14:textId="77777777" w:rsidR="00E4321D" w:rsidRDefault="00E4321D" w:rsidP="00E4321D">
      <w:pPr>
        <w:tabs>
          <w:tab w:val="left" w:pos="2268"/>
        </w:tabs>
        <w:ind w:right="-3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PARECER DO CONTROLE INTERNO</w:t>
      </w:r>
    </w:p>
    <w:p w14:paraId="300B4D19" w14:textId="77777777" w:rsidR="00E4321D" w:rsidRDefault="00E4321D" w:rsidP="00E4321D">
      <w:pPr>
        <w:tabs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DA GESTÃO</w:t>
      </w:r>
    </w:p>
    <w:p w14:paraId="3C997F31" w14:textId="77777777" w:rsidR="00E4321D" w:rsidRDefault="00E4321D" w:rsidP="00E4321D">
      <w:pPr>
        <w:tabs>
          <w:tab w:val="left" w:pos="226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PRESTAÇÃO DE CONTAS ANUAL</w:t>
      </w:r>
    </w:p>
    <w:p w14:paraId="67B13CBC" w14:textId="77777777" w:rsidR="00E4321D" w:rsidRDefault="00E4321D" w:rsidP="00E4321D">
      <w:pPr>
        <w:adjustRightInd w:val="0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o trabalho de acompanhamento e fiscalização aplicado e conduzido por este Órgão de controle interno sobre os atos de gestão do exercício financeiro de 20XX, do(a)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u w:val="single"/>
        </w:rPr>
        <w:t>REGULARIDADE/REGULARIDADE COM RESSALVAS/REGULARIDADE COM RECOMENDAÇÕES/IRREGULARIDADE</w:t>
      </w:r>
      <w:r>
        <w:rPr>
          <w:rFonts w:ascii="Arial" w:hAnsi="Arial" w:cs="Arial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1573F282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conclusão antes referida decorre da constatação de ocorrência nas contas da gestão em questão, da(s) seguinte(s) inconformidade(s):</w:t>
      </w:r>
    </w:p>
    <w:p w14:paraId="1C2B2285" w14:textId="77777777" w:rsidR="00E4321D" w:rsidRDefault="00E4321D" w:rsidP="00E4321D">
      <w:pPr>
        <w:tabs>
          <w:tab w:val="left" w:pos="10206"/>
        </w:tabs>
        <w:suppressAutoHyphens/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(INSERIR NESTE PARÁGRAFO AS CONSTATAÇÕES QUE IMPLIQUEM NA OPINIÃO PELA REGULARIDADE COM RESSALVAS E/OU RECOMENDAÇÕES OU IRREGULARIDADE).</w:t>
      </w:r>
    </w:p>
    <w:p w14:paraId="3DD8121F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opinião supra não elide nem respalda irregularidades não detectadas nos trabalhos desenvolvidos, nem isenta dos encaminhamentos administrativos e legais que o caso ensejar.</w:t>
      </w:r>
    </w:p>
    <w:p w14:paraId="253C05E1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</w:t>
      </w:r>
    </w:p>
    <w:p w14:paraId="0ABA61AF" w14:textId="77777777" w:rsidR="00E4321D" w:rsidRDefault="00E4321D" w:rsidP="00E432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Assinatura do Responsável</w:t>
      </w:r>
    </w:p>
    <w:p w14:paraId="2B421AFE" w14:textId="77777777" w:rsidR="00E4321D" w:rsidRDefault="00E4321D" w:rsidP="00E4321D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(O documento deverá identificar o nome do Controlador Interno, responsável pela assinatura</w:t>
      </w:r>
      <w:r>
        <w:rPr>
          <w:rFonts w:ascii="Arial" w:hAnsi="Arial" w:cs="Arial"/>
        </w:rPr>
        <w:t>)</w:t>
      </w:r>
    </w:p>
    <w:p w14:paraId="22124064" w14:textId="77777777" w:rsidR="00E4321D" w:rsidRDefault="00E4321D" w:rsidP="00E4321D">
      <w:pPr>
        <w:rPr>
          <w:rFonts w:ascii="Arial" w:hAnsi="Arial" w:cs="Arial"/>
        </w:rPr>
      </w:pPr>
    </w:p>
    <w:p w14:paraId="313D060F" w14:textId="77777777" w:rsidR="00E4321D" w:rsidRDefault="00E4321D" w:rsidP="00E4321D">
      <w:pPr>
        <w:rPr>
          <w:rFonts w:ascii="Arial" w:hAnsi="Arial" w:cs="Arial"/>
        </w:rPr>
        <w:sectPr w:rsidR="00E4321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D1E3D1A" w14:textId="77777777" w:rsidR="00E4321D" w:rsidRDefault="00E4321D" w:rsidP="00E320E0">
      <w:pPr>
        <w:spacing w:after="12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t>ANEXO IV</w:t>
      </w:r>
    </w:p>
    <w:p w14:paraId="5C1AC524" w14:textId="77777777" w:rsidR="00086A17" w:rsidRDefault="00086A17" w:rsidP="00086A17">
      <w:pPr>
        <w:jc w:val="center"/>
        <w:rPr>
          <w:rFonts w:ascii="Arial" w:hAnsi="Arial" w:cs="Arial"/>
          <w:b/>
          <w:noProof/>
          <w:szCs w:val="20"/>
        </w:rPr>
      </w:pPr>
      <w:r w:rsidRPr="002507D5">
        <w:rPr>
          <w:rFonts w:ascii="Arial" w:hAnsi="Arial" w:cs="Arial"/>
          <w:b/>
          <w:noProof/>
          <w:szCs w:val="20"/>
        </w:rPr>
        <w:t>ESCOPO DE ANÁLISE</w:t>
      </w:r>
    </w:p>
    <w:p w14:paraId="0A09E6D9" w14:textId="77777777" w:rsidR="00086A17" w:rsidRDefault="00086A17" w:rsidP="00086A17">
      <w:pPr>
        <w:ind w:right="1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Aplicabilidade: </w:t>
      </w:r>
      <w:r>
        <w:rPr>
          <w:rFonts w:ascii="Arial" w:hAnsi="Arial" w:cs="Arial"/>
          <w:color w:val="000000"/>
        </w:rPr>
        <w:t xml:space="preserve">Secretarias de Estado, Superintendências, </w:t>
      </w:r>
      <w:r w:rsidRPr="00692BF4">
        <w:rPr>
          <w:rFonts w:ascii="Arial" w:hAnsi="Arial" w:cs="Arial"/>
          <w:color w:val="000000"/>
        </w:rPr>
        <w:t>Controladoria-Geral do Estado,</w:t>
      </w:r>
      <w:r>
        <w:rPr>
          <w:rFonts w:ascii="Arial" w:hAnsi="Arial" w:cs="Arial"/>
          <w:color w:val="000000"/>
        </w:rPr>
        <w:t xml:space="preserve"> Procuradoria-Geral do Estado, Casa Civil, Casa Militar, Fundos Especiais e Serviços Sociais Autônomos que registram sua contabilidade na forma da Lei nº 4.320/64, Autarquias, Órgãos de Regime Especial, Ministério Público, Defensoria Pública, Assembleia Legislativa, Tribunal de Contas, Tribunal de Justiça, Fundo de Previdência, Fundo Financeiro e Fundo Militar.</w:t>
      </w:r>
    </w:p>
    <w:tbl>
      <w:tblPr>
        <w:tblW w:w="50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4040"/>
        <w:gridCol w:w="2529"/>
        <w:gridCol w:w="2443"/>
        <w:gridCol w:w="2723"/>
        <w:gridCol w:w="1577"/>
      </w:tblGrid>
      <w:tr w:rsidR="00086A17" w14:paraId="0BBD1390" w14:textId="77777777" w:rsidTr="005762D3">
        <w:trPr>
          <w:cantSplit/>
          <w:trHeight w:val="2641"/>
          <w:tblHeader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8E9D478" w14:textId="77777777" w:rsidR="00086A17" w:rsidRDefault="00086A17" w:rsidP="00C76840">
            <w:pPr>
              <w:tabs>
                <w:tab w:val="left" w:pos="436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88DDED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Escopo (Apontamentos da Análise - Anexo IV)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B6C13E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C20099E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Secretarias de Estado, </w:t>
            </w:r>
            <w:r w:rsidRPr="005762D3">
              <w:rPr>
                <w:rFonts w:ascii="Arial" w:hAnsi="Arial" w:cs="Arial"/>
                <w:b/>
                <w:color w:val="000000"/>
              </w:rPr>
              <w:t>Superintendências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AB2B92">
              <w:rPr>
                <w:rFonts w:ascii="Arial" w:hAnsi="Arial" w:cs="Arial"/>
                <w:b/>
                <w:color w:val="000000"/>
              </w:rPr>
              <w:t>Controladoria-Geral do Estado</w:t>
            </w:r>
            <w:r>
              <w:rPr>
                <w:rFonts w:ascii="Arial" w:hAnsi="Arial" w:cs="Arial"/>
                <w:b/>
                <w:color w:val="000000"/>
              </w:rPr>
              <w:t>, Procuradoria-Geral do Estado, Casa Civil, Casa Militar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1DBEAC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Fundos Especiais e Serviços Sociais Autônomos com contabilidade pela Lei nº 4.320/64, das Autarquias, Órgãos de Regime Especial, Ministério Público, Defensoria Pública, Assembleia Legislativa, Tribunal de Contas e Tribunal de Justiça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28C93D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Fundo de Previdência, Fundo Financeiro e Fundo Militar</w:t>
            </w:r>
          </w:p>
        </w:tc>
      </w:tr>
      <w:tr w:rsidR="00086A17" w14:paraId="7E286325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FA42C17" w14:textId="77777777" w:rsidR="00086A17" w:rsidRPr="00A71C63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3C51B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17879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LCE nº 113/2005, art. 22, e RI,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221 e 222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B86DFC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60521B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3AD5C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474BE04D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E708E8E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19D13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C7B75D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6534CA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A7083E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F40AB6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0B51233C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4E8D14C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B23CF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D94F8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LCE nº </w:t>
            </w:r>
            <w:r>
              <w:rPr>
                <w:rFonts w:ascii="Arial" w:hAnsi="Arial" w:cs="Arial"/>
                <w:color w:val="000000"/>
              </w:rPr>
              <w:t>113/2005, art. 24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CBF328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3C49E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7ED07CD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7179A1E4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2C16D85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1934E0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260E2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CF, art. 74, LCE nº 113/2005, art. 5º, e Lei Estadual nº 15.524/2007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FAE32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E97DAC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873143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86A17" w14:paraId="72804215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2449DC3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D653E7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1977E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18ABE8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87D3D3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D618C0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75D25BC4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D7412A5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FC16E4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Orçamentário.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06DF3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  <w:color w:val="000000"/>
              </w:rPr>
              <w:t>9º e 13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AE88F7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C93DDA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56B109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2B8DDAE7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176292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2D3D7F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Aplicadas ao Setor Público encaminhadas por meio do e-contas.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09D35C3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</w:rPr>
              <w:t>arts</w:t>
            </w:r>
            <w:proofErr w:type="spellEnd"/>
            <w:r>
              <w:rPr>
                <w:rFonts w:ascii="Arial" w:hAnsi="Arial" w:cs="Arial"/>
              </w:rPr>
              <w:t>. 83 a 89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2440CB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BD6AC7A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A37A0B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68FDD864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C13A0C3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0B58A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Atuarial.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556D78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5543CD" w14:textId="77777777" w:rsidR="00086A17" w:rsidRDefault="00086A17" w:rsidP="00C76840">
            <w:pPr>
              <w:rPr>
                <w:rFonts w:ascii="Arial" w:hAnsi="Arial" w:cs="Arial"/>
              </w:rPr>
            </w:pP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16D395" w14:textId="77777777" w:rsidR="00086A17" w:rsidRDefault="00086A17" w:rsidP="00C76840">
            <w:pPr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BFD93D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6DE8F63C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D636F5C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B4000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Destinações de recursos do RPPS, inclusive da Compensação Financeira.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70E947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 e Lei Estadual nº 17.435/12 e suas atualizações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4B20423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C558729" w14:textId="77777777" w:rsidR="00086A17" w:rsidRDefault="00086A17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2EFE91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0A672DAD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D3B5BC7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3C9E1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Patrimonial.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888B3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4.320/64, </w:t>
            </w:r>
            <w:proofErr w:type="spellStart"/>
            <w:r>
              <w:rPr>
                <w:rFonts w:ascii="Arial" w:hAnsi="Arial" w:cs="Arial"/>
                <w:color w:val="000000"/>
              </w:rPr>
              <w:t>arts</w:t>
            </w:r>
            <w:proofErr w:type="spellEnd"/>
            <w:r>
              <w:rPr>
                <w:rFonts w:ascii="Arial" w:hAnsi="Arial" w:cs="Arial"/>
                <w:color w:val="000000"/>
              </w:rPr>
              <w:t>. 83 a 89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5116FF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EBE4AA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B03828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64A024F7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35002D7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89C66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Cumprimento de metas físicas.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8D1E29" w14:textId="77777777" w:rsidR="00086A17" w:rsidRPr="00244B7A" w:rsidRDefault="00086A17" w:rsidP="00C76840">
            <w:pPr>
              <w:rPr>
                <w:rFonts w:ascii="Arial" w:hAnsi="Arial" w:cs="Arial"/>
                <w:color w:val="000000"/>
              </w:rPr>
            </w:pPr>
            <w:r w:rsidRPr="00244B7A">
              <w:rPr>
                <w:rFonts w:ascii="Arial" w:hAnsi="Arial" w:cs="Arial"/>
                <w:color w:val="000000"/>
              </w:rPr>
              <w:t>LC nº 101/2000, art. 4º, “e”, e art. 59, §1º, V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CABBF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9A1853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A3EBF7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A17" w14:paraId="6D0A6B8B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EB70772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A599F2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Publicação dos Relatórios de Gestão Fiscal¹.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0FCAB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101/2000, art. 55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2E13E7A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26A04B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2E02C26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29D5270E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3CCA71D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33D86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das Despesas com Pessoal</w:t>
            </w:r>
            <w:r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902C615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20, II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75F077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996E119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C4623B7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2F3E803E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1481C6C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77615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Despesas com pessoal - retorno ao limite no prazo legal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CDEBF4B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 nº 101/2000, art. 59, III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85D74FD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5DF875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4118596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3695EBA5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BCA9F92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585DB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Limite de recursos orçamentários destinados ao órgão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410C9E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CE, art. 98, § 1º-C, 115 e 133, § 10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31E0C83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D2F1E2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1961AFB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56961969" w14:textId="77777777" w:rsidTr="005762D3">
        <w:trPr>
          <w:cantSplit/>
          <w:trHeight w:val="17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7DF854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AC6AC1" w14:textId="0777AFAD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de até 70% dos recursos arrecadados em despesas correntes</w:t>
            </w:r>
            <w:r w:rsidR="003B6F63" w:rsidRPr="00972A8B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951297"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886FD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Leis Estaduais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11.962/97 e 13.387/01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D366897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571D28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8065920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86A17" w14:paraId="1F526B90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59A37D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E1E42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Aplicação do índice mínimo de 60% dos recursos do FUNDEB na remuneração do magistério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3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FA7BA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22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671E40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B002988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462DA9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080769BE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7F52B83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930B4B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Estadual de Acompanhamento e Controle Social do FUNDEB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2519C2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27,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parágrafo único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59F553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B2566CA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4E533F8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30D0F6F3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705DCA" w14:textId="77777777" w:rsidR="00086A17" w:rsidRPr="00947C06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CAD7F7" w14:textId="77777777" w:rsidR="00086A17" w:rsidRDefault="00086A17" w:rsidP="00C76840">
            <w:pPr>
              <w:tabs>
                <w:tab w:val="left" w:pos="436"/>
              </w:tabs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Estadual de Acompanhamento e Controle Social do FUNDEB</w:t>
            </w:r>
            <w:r w:rsidRPr="00E94B62"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CBE071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11.494/2007, art. 24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6E345A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DB50B7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AB4453D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435BE45E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B9E8E2F" w14:textId="77777777" w:rsidR="00086A17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C18CF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Aplicação dos Recursos ou equivalente – Inicial e Complementares e/ou Reformulações, para os Fundos Especiais</w:t>
            </w:r>
            <w:r>
              <w:rPr>
                <w:rStyle w:val="Refdenotaderodap"/>
                <w:rFonts w:ascii="Arial" w:hAnsi="Arial" w:cs="Arial"/>
                <w:color w:val="000000"/>
              </w:rPr>
              <w:footnoteReference w:id="4"/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49F58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Lei nº 4.320/64, art. 2º, § 2º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85C8054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FB3D2E7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AEF78F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86A17" w14:paraId="797C7F31" w14:textId="77777777" w:rsidTr="005762D3">
        <w:trPr>
          <w:cantSplit/>
          <w:trHeight w:val="170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54C590" w14:textId="77777777" w:rsidR="00086A17" w:rsidRPr="00947C06" w:rsidRDefault="00086A17" w:rsidP="00086A17">
            <w:pPr>
              <w:numPr>
                <w:ilvl w:val="0"/>
                <w:numId w:val="3"/>
              </w:numPr>
              <w:tabs>
                <w:tab w:val="left" w:pos="436"/>
              </w:tabs>
              <w:autoSpaceDE w:val="0"/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A2BEFDE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9DE73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EBC4BCD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B4C600" w14:textId="77777777" w:rsidR="00086A17" w:rsidRDefault="00086A17" w:rsidP="00C7684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1CAF43" w14:textId="77777777" w:rsidR="00086A17" w:rsidRDefault="00086A17" w:rsidP="00C76840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3828838C" w14:textId="77777777" w:rsidR="00086A17" w:rsidRDefault="00086A17" w:rsidP="00086A17">
      <w:pPr>
        <w:rPr>
          <w:rFonts w:ascii="Arial" w:hAnsi="Arial" w:cs="Arial"/>
        </w:rPr>
      </w:pPr>
    </w:p>
    <w:p w14:paraId="054B585F" w14:textId="77777777" w:rsidR="00086A17" w:rsidRDefault="00086A17" w:rsidP="00086A17">
      <w:pPr>
        <w:rPr>
          <w:rFonts w:ascii="Arial" w:hAnsi="Arial" w:cs="Arial"/>
        </w:rPr>
        <w:sectPr w:rsidR="00086A17" w:rsidSect="00C76840">
          <w:footnotePr>
            <w:numStart w:val="2"/>
          </w:footnotePr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689E511" w14:textId="77777777" w:rsidR="00086A17" w:rsidRDefault="00086A17" w:rsidP="00086A17">
      <w:pPr>
        <w:rPr>
          <w:rFonts w:ascii="Arial" w:hAnsi="Arial" w:cs="Arial"/>
        </w:rPr>
      </w:pPr>
    </w:p>
    <w:p w14:paraId="63258BA0" w14:textId="77777777" w:rsidR="00086A17" w:rsidRDefault="00086A17" w:rsidP="00086A17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326A59C9" w14:textId="77777777" w:rsidR="00086A17" w:rsidRDefault="00086A17" w:rsidP="00086A17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V</w:t>
      </w:r>
    </w:p>
    <w:p w14:paraId="350333A2" w14:textId="77777777" w:rsidR="00086A17" w:rsidRDefault="00086A17" w:rsidP="00086A17">
      <w:pPr>
        <w:jc w:val="center"/>
        <w:rPr>
          <w:rFonts w:ascii="Arial" w:hAnsi="Arial" w:cs="Arial"/>
          <w:b/>
          <w:noProof/>
          <w:szCs w:val="20"/>
        </w:rPr>
      </w:pPr>
      <w:r w:rsidRPr="008F0505">
        <w:rPr>
          <w:rFonts w:ascii="Arial" w:hAnsi="Arial" w:cs="Arial"/>
          <w:b/>
          <w:noProof/>
          <w:szCs w:val="20"/>
        </w:rPr>
        <w:t>ESCOPO DE ANÁLISE</w:t>
      </w:r>
    </w:p>
    <w:p w14:paraId="56E0AFDB" w14:textId="77777777" w:rsidR="00086A17" w:rsidRDefault="00086A17" w:rsidP="00086A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Aplicabilidade: </w:t>
      </w:r>
      <w:r>
        <w:rPr>
          <w:rFonts w:ascii="Arial" w:hAnsi="Arial" w:cs="Arial"/>
          <w:bCs/>
        </w:rPr>
        <w:t>Empresas Públicas, Sociedades de Economia Mista e suas controladas, Fundos Especiais e Serviços Sociais Autônomos que registram sua contabilidade na forma da Lei nº 6.404/76 e Fundação Araucária.</w:t>
      </w:r>
    </w:p>
    <w:p w14:paraId="04C754E1" w14:textId="77777777" w:rsidR="00086A17" w:rsidRDefault="00086A17" w:rsidP="00086A1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jc w:val="both"/>
        <w:rPr>
          <w:rFonts w:ascii="Arial" w:hAnsi="Arial" w:cs="Arial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5915"/>
        <w:gridCol w:w="2662"/>
      </w:tblGrid>
      <w:tr w:rsidR="00086A17" w14:paraId="05588C9F" w14:textId="77777777" w:rsidTr="00C76840">
        <w:trPr>
          <w:tblHeader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FF9ED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3F028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Escopo (Itens de Análise – Anexo V)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512080" w14:textId="77777777" w:rsidR="00086A17" w:rsidRDefault="00086A17" w:rsidP="00C768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</w:t>
            </w:r>
          </w:p>
        </w:tc>
      </w:tr>
      <w:tr w:rsidR="00086A17" w:rsidRPr="00086A17" w14:paraId="73597832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5321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CE8A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Tempestividade do envio da Prestação de Contas Anual.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D59247" w14:textId="77777777" w:rsidR="00086A17" w:rsidRDefault="00086A17" w:rsidP="00C76840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LCE nº 113/2005, art. 22, e RI, art. 222</w:t>
            </w:r>
          </w:p>
        </w:tc>
      </w:tr>
      <w:tr w:rsidR="00086A17" w14:paraId="71D0E9F1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FE2A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76F9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conteúdo da Prestação de 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00E7F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086A17" w14:paraId="2E5DB6D4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A740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C474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Atendimento à Instrução Normativa que disciplina o sistema SEI-CED.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86259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LC nº 113/2005, art. 24</w:t>
            </w:r>
          </w:p>
        </w:tc>
      </w:tr>
      <w:tr w:rsidR="00086A17" w14:paraId="0D8E1272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9EBB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56337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Relatório da Administração, com avaliação dos resultados quantitativos e qualitativos da gestão, especialmente nos aspectos da eficácia e eficiência no cumprimento dos objetivos sociais.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FC3BC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133</w:t>
            </w:r>
          </w:p>
        </w:tc>
      </w:tr>
      <w:tr w:rsidR="00086A17" w14:paraId="02A18CA8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E664807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line="0" w:lineRule="atLeast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E5F94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das demonstrações Contábeis emitidas pela Contabilidade e da respectiva publicação.</w:t>
            </w:r>
          </w:p>
        </w:tc>
        <w:tc>
          <w:tcPr>
            <w:tcW w:w="14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97FBB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176, e NBC TG 26</w:t>
            </w:r>
          </w:p>
        </w:tc>
      </w:tr>
      <w:tr w:rsidR="00086A17" w14:paraId="617A808B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9DBA56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023CA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BALANÇO PATRIMONIAL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DDA11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7F5F4E86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A23860" w14:textId="77777777" w:rsidR="00086A17" w:rsidRDefault="00086A17" w:rsidP="00C76840">
            <w:pPr>
              <w:tabs>
                <w:tab w:val="left" w:pos="0"/>
              </w:tabs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59999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 RESULTADO DO EXERCÍCIO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65D9C0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40ECB375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54583B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CC9721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DOS FLUXOS DE CAIXA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2C134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1004AD24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AD6479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F44F0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DEMONSTRAÇÃO DAS MUTAÇÕES DO PATRIMÔNIO LÍQUIDO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89581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6FB1119F" w14:textId="77777777" w:rsidTr="00C76840">
        <w:trPr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3088F" w14:textId="77777777" w:rsidR="00086A17" w:rsidRDefault="00086A17" w:rsidP="00C7684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32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C1E8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NOTAS EXPLICATIVAS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CD07C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</w:p>
        </w:tc>
      </w:tr>
      <w:tr w:rsidR="00086A17" w14:paraId="3744E31A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DEBE8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019E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Consistência entre os dados eletrônicos encaminhados ao sistema SEI-CED e os constantes das Demonstrações Contábeis encaminhadas por meio do e-contas.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FE2E59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SEÇÃO II</w:t>
            </w:r>
          </w:p>
        </w:tc>
      </w:tr>
      <w:tr w:rsidR="00086A17" w14:paraId="63ED6E7D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1CF5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8CBE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Incremento do passivo a descoberto (patrimônio negativo).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634225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</w:t>
            </w:r>
          </w:p>
        </w:tc>
      </w:tr>
      <w:tr w:rsidR="00086A17" w14:paraId="4B9878DE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A4BA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03BF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A8C4F4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 e Lei Estadual nº 15.524/2007</w:t>
            </w:r>
          </w:p>
        </w:tc>
      </w:tr>
      <w:tr w:rsidR="00086A17" w14:paraId="552ADAE1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A747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B255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Apontamentos do Relatório do Controle Interno.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7B4263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  <w:color w:val="000000"/>
              </w:rPr>
              <w:t>4º a 8º, e Lei Estadual nº 15.524/2007</w:t>
            </w:r>
          </w:p>
        </w:tc>
      </w:tr>
      <w:tr w:rsidR="00086A17" w14:paraId="79A2E978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CDEA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78498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de Auditoria Independente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6674F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177, § 3º</w:t>
            </w:r>
          </w:p>
        </w:tc>
      </w:tr>
      <w:tr w:rsidR="00086A17" w14:paraId="584E65B2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9F72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8C62F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de Auditoria Independente, para os casos em que a legislação exige.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87D6F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Lei nº 6.404/76, art. 177, § 3º, e NBC TA </w:t>
            </w:r>
            <w:r>
              <w:rPr>
                <w:rFonts w:ascii="Arial" w:hAnsi="Arial" w:cs="Arial"/>
                <w:color w:val="000000"/>
              </w:rPr>
              <w:lastRenderedPageBreak/>
              <w:t>200</w:t>
            </w:r>
          </w:p>
        </w:tc>
      </w:tr>
      <w:tr w:rsidR="00086A17" w14:paraId="269C2C96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3EB2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2151E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parecer do Conselho Fiscal sobre as contas do exercício.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4113AA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161</w:t>
            </w:r>
          </w:p>
        </w:tc>
      </w:tr>
      <w:tr w:rsidR="00086A17" w14:paraId="2196629C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4970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92A73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Conclusão do Parecer do Conselho Fiscal.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5E52AC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 nº 6.404/76, art. 163</w:t>
            </w:r>
          </w:p>
        </w:tc>
      </w:tr>
      <w:tr w:rsidR="00086A17" w14:paraId="2211DA75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B126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5B44D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Encaminhamento do Plano Anual de Ação Estratégica;</w:t>
            </w:r>
            <w:r>
              <w:rPr>
                <w:rFonts w:ascii="Arial" w:hAnsi="Arial" w:cs="Arial"/>
              </w:rPr>
              <w:t xml:space="preserve"> do relatório sobre a execução dos planos, programas, projetos, atividades, produtos e serviços; ou do Relatório de Avaliação de Desempenho do Contrato de Gestão</w:t>
            </w:r>
            <w:r>
              <w:rPr>
                <w:rStyle w:val="Refdenotaderodap"/>
                <w:rFonts w:ascii="Arial" w:hAnsi="Arial" w:cs="Arial"/>
              </w:rPr>
              <w:footnoteReference w:customMarkFollows="1" w:id="6"/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E2E256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Acórdãos </w:t>
            </w:r>
            <w:proofErr w:type="spellStart"/>
            <w:r>
              <w:rPr>
                <w:rFonts w:ascii="Arial" w:hAnsi="Arial" w:cs="Arial"/>
                <w:color w:val="000000"/>
              </w:rPr>
              <w:t>nºs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2.305/10-TC, 176/11-TC e 290/12-TC</w:t>
            </w:r>
          </w:p>
        </w:tc>
      </w:tr>
      <w:tr w:rsidR="00086A17" w14:paraId="2DD43573" w14:textId="77777777" w:rsidTr="00C76840">
        <w:trPr>
          <w:jc w:val="center"/>
        </w:trPr>
        <w:tc>
          <w:tcPr>
            <w:tcW w:w="3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66C7C" w14:textId="77777777" w:rsidR="00086A17" w:rsidRDefault="00086A17" w:rsidP="00086A17">
            <w:pPr>
              <w:numPr>
                <w:ilvl w:val="0"/>
                <w:numId w:val="4"/>
              </w:numPr>
              <w:tabs>
                <w:tab w:val="left" w:pos="0"/>
              </w:tabs>
              <w:autoSpaceDN w:val="0"/>
              <w:spacing w:before="60" w:after="60"/>
              <w:ind w:left="0" w:firstLine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C8A72" w14:textId="77777777" w:rsidR="00086A17" w:rsidRDefault="00086A17" w:rsidP="00C76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Achado(s) constante(s) dos Relatórios Anuais das Inspetorias de Controle Externo, para fins do contido no art. 175-J, VI, do Regimento Interno</w:t>
            </w:r>
            <w:r>
              <w:rPr>
                <w:rStyle w:val="Refdenotaderodap"/>
                <w:rFonts w:ascii="Arial" w:hAnsi="Arial" w:cs="Arial"/>
              </w:rPr>
              <w:footnoteReference w:customMarkFollows="1" w:id="7"/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47F022" w14:textId="77777777" w:rsidR="00086A17" w:rsidRDefault="00086A17" w:rsidP="00C768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RI, art. 157</w:t>
            </w:r>
          </w:p>
        </w:tc>
      </w:tr>
    </w:tbl>
    <w:p w14:paraId="4113423C" w14:textId="77777777" w:rsidR="00086A17" w:rsidRDefault="00086A17" w:rsidP="00086A17">
      <w:pPr>
        <w:rPr>
          <w:rFonts w:ascii="Arial" w:hAnsi="Arial" w:cs="Arial"/>
        </w:rPr>
      </w:pPr>
    </w:p>
    <w:p w14:paraId="1AE0E040" w14:textId="77777777" w:rsidR="00E4321D" w:rsidRDefault="00E4321D" w:rsidP="00330060">
      <w:pPr>
        <w:rPr>
          <w:rFonts w:ascii="Arial" w:hAnsi="Arial" w:cs="Arial"/>
        </w:rPr>
      </w:pPr>
    </w:p>
    <w:sectPr w:rsidR="00E4321D" w:rsidSect="00511412">
      <w:headerReference w:type="default" r:id="rId17"/>
      <w:footerReference w:type="even" r:id="rId18"/>
      <w:footerReference w:type="default" r:id="rId1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0E8B" w14:textId="77777777" w:rsidR="002F781D" w:rsidRDefault="002F781D">
      <w:r>
        <w:separator/>
      </w:r>
    </w:p>
  </w:endnote>
  <w:endnote w:type="continuationSeparator" w:id="0">
    <w:p w14:paraId="7481C7CE" w14:textId="77777777" w:rsidR="002F781D" w:rsidRDefault="002F781D">
      <w:r>
        <w:continuationSeparator/>
      </w:r>
    </w:p>
  </w:endnote>
  <w:endnote w:type="continuationNotice" w:id="1">
    <w:p w14:paraId="3CF77543" w14:textId="77777777" w:rsidR="002F781D" w:rsidRDefault="002F78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8C5A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FB3D9F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5E07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49B0" w14:textId="77777777" w:rsidR="002F781D" w:rsidRDefault="002F781D">
      <w:r>
        <w:separator/>
      </w:r>
    </w:p>
  </w:footnote>
  <w:footnote w:type="continuationSeparator" w:id="0">
    <w:p w14:paraId="17296BC7" w14:textId="77777777" w:rsidR="002F781D" w:rsidRDefault="002F781D">
      <w:r>
        <w:continuationSeparator/>
      </w:r>
    </w:p>
  </w:footnote>
  <w:footnote w:type="continuationNotice" w:id="1">
    <w:p w14:paraId="64B30AA5" w14:textId="77777777" w:rsidR="002F781D" w:rsidRDefault="002F781D"/>
  </w:footnote>
  <w:footnote w:id="2">
    <w:p w14:paraId="5D434EA1" w14:textId="77777777" w:rsidR="00500EEE" w:rsidRPr="003C09D9" w:rsidRDefault="00500EEE" w:rsidP="00500EEE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C09D9">
        <w:rPr>
          <w:rFonts w:ascii="Arial" w:hAnsi="Arial" w:cs="Arial"/>
          <w:b/>
        </w:rPr>
        <w:t>Notas da Biblioteca:</w:t>
      </w:r>
    </w:p>
    <w:p w14:paraId="7A2C55CB" w14:textId="7C99D87E" w:rsidR="00500EEE" w:rsidRPr="007C4E84" w:rsidRDefault="00500EEE" w:rsidP="007C4E84">
      <w:pPr>
        <w:pStyle w:val="PargrafodaLista"/>
        <w:widowControl/>
        <w:numPr>
          <w:ilvl w:val="0"/>
          <w:numId w:val="6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7C4E84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7C4E84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697225" w:rsidRPr="007C4E84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697225" w:rsidRPr="007C4E84">
          <w:rPr>
            <w:rStyle w:val="Hyperlink"/>
            <w:rFonts w:ascii="Arial" w:hAnsi="Arial" w:cs="Arial"/>
            <w:sz w:val="20"/>
            <w:szCs w:val="20"/>
          </w:rPr>
          <w:t>, Curitiba, PR, n. 2484, 19 fev. 2021, p. 84-88</w:t>
        </w:r>
      </w:hyperlink>
      <w:r w:rsidR="00697225" w:rsidRPr="007C4E84">
        <w:rPr>
          <w:rFonts w:ascii="Arial" w:hAnsi="Arial" w:cs="Arial"/>
          <w:sz w:val="20"/>
          <w:szCs w:val="20"/>
        </w:rPr>
        <w:t>.</w:t>
      </w:r>
    </w:p>
    <w:p w14:paraId="71375A05" w14:textId="00560B73" w:rsidR="00697225" w:rsidRPr="007C4E84" w:rsidRDefault="00697225" w:rsidP="007C4E84">
      <w:pPr>
        <w:pStyle w:val="PargrafodaLista"/>
        <w:widowControl/>
        <w:numPr>
          <w:ilvl w:val="0"/>
          <w:numId w:val="6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7C4E84">
        <w:rPr>
          <w:rFonts w:ascii="Arial" w:hAnsi="Arial" w:cs="Arial"/>
          <w:bCs/>
          <w:sz w:val="20"/>
          <w:szCs w:val="20"/>
        </w:rPr>
        <w:t>Este texto não substitui o republicado no periódico</w:t>
      </w:r>
      <w:r w:rsidRPr="007C4E84">
        <w:rPr>
          <w:rFonts w:ascii="Arial" w:hAnsi="Arial" w:cs="Arial"/>
          <w:bCs/>
          <w:color w:val="0000FF"/>
          <w:sz w:val="20"/>
          <w:szCs w:val="20"/>
        </w:rPr>
        <w:t>:</w:t>
      </w:r>
      <w:r w:rsidR="00880B60" w:rsidRPr="007C4E84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="00880B60" w:rsidRPr="007C4E84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880B60" w:rsidRPr="007C4E84">
          <w:rPr>
            <w:rStyle w:val="Hyperlink"/>
            <w:rFonts w:ascii="Arial" w:hAnsi="Arial" w:cs="Arial"/>
            <w:sz w:val="20"/>
            <w:szCs w:val="20"/>
          </w:rPr>
          <w:t>, Curitiba, PR, n. 2496, 11 mar. 2021, p. 27-31</w:t>
        </w:r>
      </w:hyperlink>
      <w:r w:rsidR="00880B60" w:rsidRPr="007C4E84">
        <w:rPr>
          <w:rFonts w:ascii="Arial" w:hAnsi="Arial" w:cs="Arial"/>
          <w:sz w:val="20"/>
          <w:szCs w:val="20"/>
        </w:rPr>
        <w:t xml:space="preserve"> </w:t>
      </w:r>
      <w:r w:rsidR="00C66A60" w:rsidRPr="007C4E84">
        <w:rPr>
          <w:rFonts w:ascii="Arial" w:hAnsi="Arial" w:cs="Arial"/>
          <w:sz w:val="20"/>
          <w:szCs w:val="20"/>
        </w:rPr>
        <w:t>(em cumprimento ao Despacho nº 558/21-GP, Processo nº 692838/20).</w:t>
      </w:r>
    </w:p>
    <w:p w14:paraId="6C1CC530" w14:textId="77777777" w:rsidR="007C4E84" w:rsidRPr="007C4E84" w:rsidRDefault="00500EEE" w:rsidP="007C4E84">
      <w:pPr>
        <w:numPr>
          <w:ilvl w:val="0"/>
          <w:numId w:val="6"/>
        </w:numPr>
        <w:ind w:left="426" w:hanging="284"/>
        <w:rPr>
          <w:rStyle w:val="Hyperlink"/>
          <w:rFonts w:ascii="Arial" w:hAnsi="Arial" w:cs="Arial"/>
          <w:sz w:val="20"/>
          <w:szCs w:val="20"/>
        </w:rPr>
      </w:pPr>
      <w:r w:rsidRPr="007C4E84">
        <w:rPr>
          <w:rFonts w:ascii="Arial" w:hAnsi="Arial" w:cs="Arial"/>
          <w:sz w:val="20"/>
          <w:szCs w:val="20"/>
        </w:rPr>
        <w:t xml:space="preserve">Origem: </w:t>
      </w:r>
      <w:r w:rsidR="007C4E84" w:rsidRPr="007C4E84">
        <w:rPr>
          <w:rFonts w:ascii="Arial" w:hAnsi="Arial" w:cs="Arial"/>
          <w:sz w:val="20"/>
          <w:szCs w:val="20"/>
        </w:rPr>
        <w:t xml:space="preserve">Processo n. 692838/20 – </w:t>
      </w:r>
      <w:hyperlink r:id="rId3" w:history="1">
        <w:r w:rsidR="007C4E84" w:rsidRPr="007C4E84">
          <w:rPr>
            <w:rStyle w:val="Hyperlink"/>
            <w:rFonts w:ascii="Arial" w:hAnsi="Arial" w:cs="Arial"/>
            <w:sz w:val="20"/>
            <w:szCs w:val="20"/>
          </w:rPr>
          <w:t>Acórdão n. 70/2021 – Tribunal Pleno.</w:t>
        </w:r>
      </w:hyperlink>
    </w:p>
    <w:p w14:paraId="7EADD4EB" w14:textId="77777777" w:rsidR="00500EEE" w:rsidRPr="007C4E84" w:rsidRDefault="00500EEE" w:rsidP="007C4E84">
      <w:pPr>
        <w:numPr>
          <w:ilvl w:val="0"/>
          <w:numId w:val="6"/>
        </w:numPr>
        <w:tabs>
          <w:tab w:val="left" w:pos="426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7C4E84">
        <w:rPr>
          <w:rFonts w:ascii="Arial" w:hAnsi="Arial" w:cs="Arial"/>
          <w:b/>
          <w:bCs/>
          <w:sz w:val="20"/>
          <w:szCs w:val="20"/>
        </w:rPr>
        <w:t>Ver também</w:t>
      </w:r>
      <w:r w:rsidRPr="007C4E84">
        <w:rPr>
          <w:rFonts w:ascii="Arial" w:hAnsi="Arial" w:cs="Arial"/>
          <w:sz w:val="20"/>
          <w:szCs w:val="20"/>
        </w:rPr>
        <w:t>:</w:t>
      </w:r>
    </w:p>
    <w:p w14:paraId="6DCE2BE9" w14:textId="77777777" w:rsidR="00500EEE" w:rsidRPr="007C4E84" w:rsidRDefault="002F781D" w:rsidP="007C4E84">
      <w:pPr>
        <w:ind w:firstLine="426"/>
        <w:jc w:val="both"/>
        <w:rPr>
          <w:rFonts w:ascii="Arial" w:hAnsi="Arial" w:cs="Arial"/>
          <w:sz w:val="20"/>
          <w:szCs w:val="20"/>
        </w:rPr>
      </w:pPr>
      <w:hyperlink r:id="rId4" w:history="1">
        <w:r w:rsidR="00500EEE" w:rsidRPr="007C4E84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500EEE" w:rsidRPr="007C4E84">
        <w:rPr>
          <w:rFonts w:ascii="Arial" w:hAnsi="Arial" w:cs="Arial"/>
          <w:color w:val="004C78"/>
          <w:sz w:val="20"/>
          <w:szCs w:val="20"/>
        </w:rPr>
        <w:t>.</w:t>
      </w:r>
    </w:p>
    <w:p w14:paraId="4FCD1F6D" w14:textId="19778341" w:rsidR="00500EEE" w:rsidRDefault="002F781D" w:rsidP="007C4E84">
      <w:pPr>
        <w:pStyle w:val="Textodenotaderodap"/>
        <w:ind w:left="142" w:firstLine="284"/>
      </w:pPr>
      <w:hyperlink r:id="rId5" w:history="1">
        <w:r w:rsidR="00500EEE" w:rsidRPr="007C4E84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500EEE" w:rsidRPr="007C4E84">
        <w:rPr>
          <w:rFonts w:ascii="Arial" w:hAnsi="Arial" w:cs="Arial"/>
          <w:color w:val="004C78"/>
        </w:rPr>
        <w:t>.</w:t>
      </w:r>
    </w:p>
  </w:footnote>
  <w:footnote w:id="3">
    <w:p w14:paraId="3F14E8F7" w14:textId="77777777" w:rsidR="006A5FBF" w:rsidRDefault="006A5FBF" w:rsidP="006A5FBF">
      <w:pPr>
        <w:pStyle w:val="Textodenotaderodap"/>
        <w:jc w:val="both"/>
        <w:rPr>
          <w:rFonts w:ascii="Arial" w:hAnsi="Arial" w:cs="Arial"/>
        </w:rPr>
      </w:pPr>
      <w:r w:rsidRPr="00951297">
        <w:rPr>
          <w:rFonts w:ascii="Arial" w:hAnsi="Arial" w:cs="Arial"/>
          <w:sz w:val="22"/>
          <w:szCs w:val="22"/>
        </w:rPr>
        <w:t>¹</w:t>
      </w:r>
      <w:r>
        <w:rPr>
          <w:rFonts w:ascii="Arial" w:hAnsi="Arial" w:cs="Arial"/>
        </w:rPr>
        <w:t xml:space="preserve"> Aplicáveis somente para o Tribunal de Contas, Tribunal de Justiça, Ministério Público e Assembleia Legislativa</w:t>
      </w:r>
    </w:p>
    <w:p w14:paraId="203A2785" w14:textId="77777777" w:rsidR="006A5FBF" w:rsidRPr="004E4B5F" w:rsidRDefault="006A5FBF" w:rsidP="006A5FB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Aplicável apenas para os Fundos</w:t>
      </w:r>
    </w:p>
    <w:p w14:paraId="1D645089" w14:textId="720AE058" w:rsidR="00086A17" w:rsidRDefault="006A5FBF" w:rsidP="006A5FBF">
      <w:pPr>
        <w:pStyle w:val="Textodenotaderodap"/>
        <w:jc w:val="both"/>
        <w:rPr>
          <w:rFonts w:ascii="Arial" w:hAnsi="Arial" w:cs="Arial"/>
        </w:rPr>
      </w:pPr>
      <w:bookmarkStart w:id="5" w:name="_Hlk52962548"/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apenas à Secretaria Estadual de </w:t>
      </w:r>
      <w:r w:rsidRPr="00D40329">
        <w:rPr>
          <w:rFonts w:ascii="Arial" w:hAnsi="Arial" w:cs="Arial"/>
        </w:rPr>
        <w:t>Educação e do Esporte</w:t>
      </w:r>
      <w:bookmarkEnd w:id="5"/>
    </w:p>
  </w:footnote>
  <w:footnote w:id="4">
    <w:p w14:paraId="2C72580F" w14:textId="77777777" w:rsidR="00086A17" w:rsidRDefault="00086A17" w:rsidP="00086A17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Aplicável somente para os Fundos Especiais</w:t>
      </w:r>
    </w:p>
  </w:footnote>
  <w:footnote w:id="5">
    <w:p w14:paraId="39A90B72" w14:textId="77777777" w:rsidR="00086A17" w:rsidRDefault="00086A17" w:rsidP="00086A17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O escopo de fiscalização das Inspetorias de Controle Externo, evidenciados nos Relatórios Anuais, é definido por cada Inspetoria, de acordo com seu planejamento</w:t>
      </w:r>
    </w:p>
  </w:footnote>
  <w:footnote w:id="6">
    <w:p w14:paraId="2528DFA5" w14:textId="77777777" w:rsidR="00086A17" w:rsidRPr="0094641D" w:rsidRDefault="00086A17" w:rsidP="00086A17">
      <w:pPr>
        <w:pStyle w:val="Textodenotaderodap"/>
      </w:pPr>
      <w:r w:rsidRPr="005762D3">
        <w:rPr>
          <w:rStyle w:val="Refdenotaderodap"/>
          <w:rFonts w:ascii="Arial" w:hAnsi="Arial" w:cs="Arial"/>
          <w:sz w:val="22"/>
          <w:szCs w:val="22"/>
        </w:rPr>
        <w:t>6</w:t>
      </w:r>
      <w:r>
        <w:t xml:space="preserve"> </w:t>
      </w:r>
      <w:r>
        <w:rPr>
          <w:rFonts w:ascii="Arial" w:hAnsi="Arial" w:cs="Arial"/>
        </w:rPr>
        <w:t>Aplicável somente aos Serviços Sociais Autônomos</w:t>
      </w:r>
    </w:p>
  </w:footnote>
  <w:footnote w:id="7">
    <w:p w14:paraId="2C187E81" w14:textId="77777777" w:rsidR="00086A17" w:rsidRPr="0094641D" w:rsidRDefault="00086A17" w:rsidP="00086A17">
      <w:pPr>
        <w:pStyle w:val="Textodenotaderodap"/>
      </w:pPr>
      <w:r>
        <w:rPr>
          <w:rStyle w:val="Refdenotaderodap"/>
        </w:rPr>
        <w:t>7</w:t>
      </w:r>
      <w:r>
        <w:t xml:space="preserve"> </w:t>
      </w:r>
      <w:r>
        <w:rPr>
          <w:rFonts w:ascii="Arial" w:hAnsi="Arial" w:cs="Arial"/>
        </w:rPr>
        <w:t>O escopo de fiscalização das Inspetorias de Controle Externo, evidenciados nos Relatórios Anuais, é definido por cada Inspetoria, de acordo com seu planejamento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4D4C" w14:textId="77777777" w:rsidR="00E4321D" w:rsidRDefault="002F781D" w:rsidP="005F1EC6">
    <w:pPr>
      <w:tabs>
        <w:tab w:val="center" w:pos="4252"/>
        <w:tab w:val="right" w:pos="8504"/>
      </w:tabs>
      <w:spacing w:before="36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3DD80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6" type="#_x0000_t75" alt="logo TC colorido - medio" style="position:absolute;left:0;text-align:left;margin-left:-.25pt;margin-top:4.55pt;width:47.7pt;height:56.1pt;z-index:2;visibility:visible">
          <v:imagedata r:id="rId1" o:title="logo TC colorido - medio"/>
          <w10:wrap type="square"/>
        </v:shape>
      </w:pict>
    </w:r>
    <w:r w:rsidR="00E4321D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02C54DAE" w14:textId="77777777" w:rsidR="005F1EC6" w:rsidRPr="006533E9" w:rsidRDefault="005F1EC6" w:rsidP="005F1EC6">
    <w:pPr>
      <w:tabs>
        <w:tab w:val="center" w:pos="4252"/>
        <w:tab w:val="right" w:pos="8504"/>
      </w:tabs>
      <w:spacing w:before="120" w:after="360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D2E6" w14:textId="77777777" w:rsidR="0066249C" w:rsidRDefault="002F781D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24801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1AB6A79C" w14:textId="77777777" w:rsidR="00E320E0" w:rsidRPr="00C404BE" w:rsidRDefault="00E320E0" w:rsidP="00E320E0">
    <w:pPr>
      <w:pStyle w:val="Cabealho"/>
      <w:spacing w:before="120" w:after="36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6322"/>
    <w:multiLevelType w:val="hybridMultilevel"/>
    <w:tmpl w:val="D092301A"/>
    <w:lvl w:ilvl="0" w:tplc="E056E6DC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74E6"/>
    <w:multiLevelType w:val="hybridMultilevel"/>
    <w:tmpl w:val="41EA1F92"/>
    <w:lvl w:ilvl="0" w:tplc="9BA6B8EE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201"/>
    <w:multiLevelType w:val="hybridMultilevel"/>
    <w:tmpl w:val="29BA198C"/>
    <w:lvl w:ilvl="0" w:tplc="944E116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E45"/>
    <w:multiLevelType w:val="hybridMultilevel"/>
    <w:tmpl w:val="73528AFA"/>
    <w:lvl w:ilvl="0" w:tplc="507885A4">
      <w:start w:val="1"/>
      <w:numFmt w:val="decimal"/>
      <w:lvlText w:val="%1"/>
      <w:lvlJc w:val="center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957083">
    <w:abstractNumId w:val="1"/>
  </w:num>
  <w:num w:numId="2" w16cid:durableId="541595493">
    <w:abstractNumId w:val="0"/>
  </w:num>
  <w:num w:numId="3" w16cid:durableId="1012685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670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043951">
    <w:abstractNumId w:val="3"/>
  </w:num>
  <w:num w:numId="6" w16cid:durableId="1835878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436F1"/>
    <w:rsid w:val="000457D1"/>
    <w:rsid w:val="00053204"/>
    <w:rsid w:val="000605EE"/>
    <w:rsid w:val="000641F7"/>
    <w:rsid w:val="00070A4B"/>
    <w:rsid w:val="00081959"/>
    <w:rsid w:val="00086A17"/>
    <w:rsid w:val="000A0122"/>
    <w:rsid w:val="000A0386"/>
    <w:rsid w:val="000A0755"/>
    <w:rsid w:val="000A334E"/>
    <w:rsid w:val="000B4E9F"/>
    <w:rsid w:val="000C68A9"/>
    <w:rsid w:val="000F06EE"/>
    <w:rsid w:val="000F520B"/>
    <w:rsid w:val="001000B9"/>
    <w:rsid w:val="00105BF4"/>
    <w:rsid w:val="0011369C"/>
    <w:rsid w:val="00120FBF"/>
    <w:rsid w:val="00123DE1"/>
    <w:rsid w:val="0012598B"/>
    <w:rsid w:val="0012745F"/>
    <w:rsid w:val="00142ADD"/>
    <w:rsid w:val="00146978"/>
    <w:rsid w:val="00147824"/>
    <w:rsid w:val="001543CD"/>
    <w:rsid w:val="00155EC7"/>
    <w:rsid w:val="001821BF"/>
    <w:rsid w:val="001B7EA8"/>
    <w:rsid w:val="001D07D2"/>
    <w:rsid w:val="001D0B09"/>
    <w:rsid w:val="001E2907"/>
    <w:rsid w:val="001F297B"/>
    <w:rsid w:val="00215E37"/>
    <w:rsid w:val="00217B71"/>
    <w:rsid w:val="00223218"/>
    <w:rsid w:val="00250C83"/>
    <w:rsid w:val="00252933"/>
    <w:rsid w:val="00266345"/>
    <w:rsid w:val="00282FF3"/>
    <w:rsid w:val="00283F4D"/>
    <w:rsid w:val="00291D10"/>
    <w:rsid w:val="002A15EE"/>
    <w:rsid w:val="002C1F8B"/>
    <w:rsid w:val="002E24B9"/>
    <w:rsid w:val="002E3E39"/>
    <w:rsid w:val="002F781D"/>
    <w:rsid w:val="00300126"/>
    <w:rsid w:val="003108CF"/>
    <w:rsid w:val="00314505"/>
    <w:rsid w:val="00330060"/>
    <w:rsid w:val="00344DB8"/>
    <w:rsid w:val="00352ECA"/>
    <w:rsid w:val="0035541E"/>
    <w:rsid w:val="003654B9"/>
    <w:rsid w:val="003705BD"/>
    <w:rsid w:val="00374244"/>
    <w:rsid w:val="003812CF"/>
    <w:rsid w:val="003907B6"/>
    <w:rsid w:val="003939F6"/>
    <w:rsid w:val="003A26C9"/>
    <w:rsid w:val="003B38B0"/>
    <w:rsid w:val="003B6F63"/>
    <w:rsid w:val="003C03F8"/>
    <w:rsid w:val="003C2825"/>
    <w:rsid w:val="003C4FFF"/>
    <w:rsid w:val="003E542D"/>
    <w:rsid w:val="003E7C74"/>
    <w:rsid w:val="003F48F8"/>
    <w:rsid w:val="004416A7"/>
    <w:rsid w:val="004505CE"/>
    <w:rsid w:val="00457A5F"/>
    <w:rsid w:val="004604F8"/>
    <w:rsid w:val="00460C5E"/>
    <w:rsid w:val="00470A65"/>
    <w:rsid w:val="004B5683"/>
    <w:rsid w:val="004C7958"/>
    <w:rsid w:val="00500EEE"/>
    <w:rsid w:val="00506D3A"/>
    <w:rsid w:val="00511412"/>
    <w:rsid w:val="00525D2A"/>
    <w:rsid w:val="00533FBB"/>
    <w:rsid w:val="005670E1"/>
    <w:rsid w:val="005762D3"/>
    <w:rsid w:val="005A6B08"/>
    <w:rsid w:val="005B3A5B"/>
    <w:rsid w:val="005D42B6"/>
    <w:rsid w:val="005E595E"/>
    <w:rsid w:val="005F1EC6"/>
    <w:rsid w:val="00604419"/>
    <w:rsid w:val="006430F0"/>
    <w:rsid w:val="006443FB"/>
    <w:rsid w:val="006509DA"/>
    <w:rsid w:val="0066249C"/>
    <w:rsid w:val="006817D5"/>
    <w:rsid w:val="006826EE"/>
    <w:rsid w:val="00697225"/>
    <w:rsid w:val="006A1C40"/>
    <w:rsid w:val="006A5FBF"/>
    <w:rsid w:val="006B3F7F"/>
    <w:rsid w:val="006F0F0D"/>
    <w:rsid w:val="006F54BF"/>
    <w:rsid w:val="006F5D0E"/>
    <w:rsid w:val="00701946"/>
    <w:rsid w:val="007362B6"/>
    <w:rsid w:val="007534BB"/>
    <w:rsid w:val="00754614"/>
    <w:rsid w:val="00773F6B"/>
    <w:rsid w:val="00777043"/>
    <w:rsid w:val="00787410"/>
    <w:rsid w:val="00790839"/>
    <w:rsid w:val="00796A2B"/>
    <w:rsid w:val="007A0444"/>
    <w:rsid w:val="007B541D"/>
    <w:rsid w:val="007B5CA0"/>
    <w:rsid w:val="007B6480"/>
    <w:rsid w:val="007C4E84"/>
    <w:rsid w:val="007E0FD9"/>
    <w:rsid w:val="007F68E0"/>
    <w:rsid w:val="007F75CF"/>
    <w:rsid w:val="00822D65"/>
    <w:rsid w:val="00825443"/>
    <w:rsid w:val="00831C42"/>
    <w:rsid w:val="008443BE"/>
    <w:rsid w:val="008636E9"/>
    <w:rsid w:val="00871987"/>
    <w:rsid w:val="008719F5"/>
    <w:rsid w:val="00880B60"/>
    <w:rsid w:val="00881F22"/>
    <w:rsid w:val="008A01F0"/>
    <w:rsid w:val="008A7D43"/>
    <w:rsid w:val="008D5003"/>
    <w:rsid w:val="008E24AF"/>
    <w:rsid w:val="008F1F31"/>
    <w:rsid w:val="00906E4D"/>
    <w:rsid w:val="00916D5F"/>
    <w:rsid w:val="00940DA6"/>
    <w:rsid w:val="00947334"/>
    <w:rsid w:val="00972A8B"/>
    <w:rsid w:val="00974061"/>
    <w:rsid w:val="009A1923"/>
    <w:rsid w:val="009B1DE2"/>
    <w:rsid w:val="009B718E"/>
    <w:rsid w:val="009C0475"/>
    <w:rsid w:val="00A03286"/>
    <w:rsid w:val="00A16356"/>
    <w:rsid w:val="00A25466"/>
    <w:rsid w:val="00A87661"/>
    <w:rsid w:val="00A953B5"/>
    <w:rsid w:val="00AA4452"/>
    <w:rsid w:val="00AB3FEC"/>
    <w:rsid w:val="00AC706A"/>
    <w:rsid w:val="00AD17AE"/>
    <w:rsid w:val="00AD2695"/>
    <w:rsid w:val="00AF060F"/>
    <w:rsid w:val="00AF7189"/>
    <w:rsid w:val="00B122F7"/>
    <w:rsid w:val="00B17104"/>
    <w:rsid w:val="00B22DDC"/>
    <w:rsid w:val="00B33609"/>
    <w:rsid w:val="00B52B88"/>
    <w:rsid w:val="00B52FB3"/>
    <w:rsid w:val="00B71E34"/>
    <w:rsid w:val="00B96EE0"/>
    <w:rsid w:val="00BD63A0"/>
    <w:rsid w:val="00C1444D"/>
    <w:rsid w:val="00C17F9B"/>
    <w:rsid w:val="00C407CD"/>
    <w:rsid w:val="00C474AE"/>
    <w:rsid w:val="00C66A60"/>
    <w:rsid w:val="00C76840"/>
    <w:rsid w:val="00C84F53"/>
    <w:rsid w:val="00C87498"/>
    <w:rsid w:val="00CB30A2"/>
    <w:rsid w:val="00CD0DAD"/>
    <w:rsid w:val="00CD3EAB"/>
    <w:rsid w:val="00CE0A9A"/>
    <w:rsid w:val="00CF5137"/>
    <w:rsid w:val="00D1043B"/>
    <w:rsid w:val="00D361B6"/>
    <w:rsid w:val="00D50162"/>
    <w:rsid w:val="00D51F81"/>
    <w:rsid w:val="00D64123"/>
    <w:rsid w:val="00D73867"/>
    <w:rsid w:val="00D80342"/>
    <w:rsid w:val="00D86ADD"/>
    <w:rsid w:val="00DA5E5A"/>
    <w:rsid w:val="00DA7C22"/>
    <w:rsid w:val="00DC5C74"/>
    <w:rsid w:val="00DE449D"/>
    <w:rsid w:val="00DF1050"/>
    <w:rsid w:val="00DF457C"/>
    <w:rsid w:val="00E0734C"/>
    <w:rsid w:val="00E320E0"/>
    <w:rsid w:val="00E4321D"/>
    <w:rsid w:val="00E57786"/>
    <w:rsid w:val="00E94B62"/>
    <w:rsid w:val="00EC2AA7"/>
    <w:rsid w:val="00EC4961"/>
    <w:rsid w:val="00EF5FF1"/>
    <w:rsid w:val="00F2058C"/>
    <w:rsid w:val="00F40F61"/>
    <w:rsid w:val="00F50259"/>
    <w:rsid w:val="00F63FDD"/>
    <w:rsid w:val="00FA0AEC"/>
    <w:rsid w:val="00FA5F00"/>
    <w:rsid w:val="00FE76E1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6EBCF"/>
  <w15:docId w15:val="{6080DF5D-6949-479F-BA5D-70107A6E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9B1DE2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432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4321D"/>
  </w:style>
  <w:style w:type="character" w:styleId="Refdenotaderodap">
    <w:name w:val="footnote reference"/>
    <w:uiPriority w:val="99"/>
    <w:rsid w:val="00E4321D"/>
    <w:rPr>
      <w:vertAlign w:val="superscript"/>
    </w:rPr>
  </w:style>
  <w:style w:type="paragraph" w:customStyle="1" w:styleId="c-1">
    <w:name w:val="c-1"/>
    <w:basedOn w:val="Normal"/>
    <w:link w:val="c-1Char"/>
    <w:rsid w:val="00E4321D"/>
    <w:pPr>
      <w:spacing w:before="120" w:after="120" w:line="360" w:lineRule="atLeast"/>
      <w:ind w:left="567"/>
      <w:jc w:val="both"/>
    </w:pPr>
    <w:rPr>
      <w:rFonts w:ascii="Arial" w:hAnsi="Arial"/>
      <w:sz w:val="22"/>
      <w:szCs w:val="20"/>
    </w:rPr>
  </w:style>
  <w:style w:type="character" w:customStyle="1" w:styleId="c-1Char">
    <w:name w:val="c-1 Char"/>
    <w:link w:val="c-1"/>
    <w:locked/>
    <w:rsid w:val="00E4321D"/>
    <w:rPr>
      <w:rFonts w:ascii="Arial" w:hAnsi="Arial"/>
      <w:sz w:val="22"/>
    </w:rPr>
  </w:style>
  <w:style w:type="character" w:styleId="Hyperlink">
    <w:name w:val="Hyperlink"/>
    <w:uiPriority w:val="99"/>
    <w:unhideWhenUsed/>
    <w:rsid w:val="00E4321D"/>
    <w:rPr>
      <w:color w:val="0000FF"/>
      <w:u w:val="single"/>
    </w:rPr>
  </w:style>
  <w:style w:type="paragraph" w:customStyle="1" w:styleId="Assina">
    <w:name w:val="Assina"/>
    <w:basedOn w:val="Normal"/>
    <w:rsid w:val="00E4321D"/>
    <w:pPr>
      <w:autoSpaceDE w:val="0"/>
      <w:autoSpaceDN w:val="0"/>
      <w:spacing w:before="60" w:after="60" w:line="360" w:lineRule="auto"/>
      <w:jc w:val="center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00EEE"/>
    <w:pPr>
      <w:widowControl w:val="0"/>
      <w:autoSpaceDE w:val="0"/>
      <w:autoSpaceDN w:val="0"/>
      <w:spacing w:before="120"/>
      <w:ind w:left="950" w:hanging="425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FE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tce.pr.gov.br/conteudo/instrucao-de-servico-n-27-de-3-de-outubro-de-2011/1294/area/1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1.tce.pr.gov.br/conteudo/instrucao-normativa-n-62-de-15-de-dezembro-de-2011/237411/area/1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1/2/pdf/0035437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ce.pr.gov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ce.pr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21/2/pdf/00354373.pdf" TargetMode="External"/><Relationship Id="rId2" Type="http://schemas.openxmlformats.org/officeDocument/2006/relationships/hyperlink" Target="https://www1.tce.pr.gov.br/multimidia/2021/3/pdf/00355143.pdf" TargetMode="External"/><Relationship Id="rId1" Type="http://schemas.openxmlformats.org/officeDocument/2006/relationships/hyperlink" Target="https://www1.tce.pr.gov.br/multimidia/2021/2/pdf/00354504.pdf" TargetMode="External"/><Relationship Id="rId5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hyperlink" Target="http://www1.tce.pr.gov.br/conteudo/instrucao-normativa-n-62-de-15-de-dezembro-de-2011/23741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5534-4922-4574-8DFB-AC9262516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D5C88B-F882-4252-8142-FB7A702E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5220</Words>
  <Characters>28193</Characters>
  <Application>Microsoft Office Word</Application>
  <DocSecurity>0</DocSecurity>
  <Lines>234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Instrução Normativa nº 158-2021</vt:lpstr>
      <vt:lpstr/>
      <vt:lpstr>FORMULÁRIO DE DADOS DE PRESTAÇÃO DE CONTAS ESTADUAL</vt:lpstr>
      <vt:lpstr/>
    </vt:vector>
  </TitlesOfParts>
  <Company>TCE-PR</Company>
  <LinksUpToDate>false</LinksUpToDate>
  <CharactersWithSpaces>33347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nº 158-2021</dc:title>
  <dc:subject>Requerimento Interno - Licitação</dc:subject>
  <dc:creator>tc508500</dc:creator>
  <cp:keywords/>
  <cp:lastModifiedBy>Yarusya</cp:lastModifiedBy>
  <cp:revision>28</cp:revision>
  <dcterms:created xsi:type="dcterms:W3CDTF">2022-06-28T17:30:00Z</dcterms:created>
  <dcterms:modified xsi:type="dcterms:W3CDTF">2022-06-30T20:25:00Z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