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106A" w14:textId="3B1D96FB" w:rsidR="009978CC" w:rsidRDefault="009978CC" w:rsidP="000439E9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7439">
        <w:rPr>
          <w:rFonts w:ascii="Arial" w:hAnsi="Arial" w:cs="Arial"/>
          <w:b/>
          <w:sz w:val="28"/>
          <w:szCs w:val="28"/>
        </w:rPr>
        <w:t xml:space="preserve">INSTRUÇÃO NORMATIVA </w:t>
      </w:r>
      <w:r w:rsidR="002D69FB" w:rsidRPr="00D07439">
        <w:rPr>
          <w:rFonts w:ascii="Arial" w:hAnsi="Arial" w:cs="Arial"/>
          <w:b/>
          <w:sz w:val="28"/>
          <w:szCs w:val="28"/>
        </w:rPr>
        <w:t>N</w:t>
      </w:r>
      <w:r w:rsidR="000B677F" w:rsidRPr="00D07439">
        <w:rPr>
          <w:rFonts w:ascii="Arial" w:hAnsi="Arial" w:cs="Arial"/>
          <w:b/>
          <w:sz w:val="28"/>
          <w:szCs w:val="28"/>
        </w:rPr>
        <w:t xml:space="preserve">º </w:t>
      </w:r>
      <w:r w:rsidR="00A3081E">
        <w:rPr>
          <w:rFonts w:ascii="Arial" w:hAnsi="Arial" w:cs="Arial"/>
          <w:b/>
          <w:sz w:val="28"/>
          <w:szCs w:val="28"/>
        </w:rPr>
        <w:t>93/2013</w:t>
      </w:r>
      <w:r w:rsidR="005D5F8C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7935F64B" w14:textId="656CCE8F" w:rsidR="007941C0" w:rsidRPr="007941C0" w:rsidRDefault="007941C0" w:rsidP="007941C0">
      <w:pPr>
        <w:spacing w:before="120" w:after="0" w:line="240" w:lineRule="auto"/>
        <w:jc w:val="center"/>
        <w:rPr>
          <w:rFonts w:ascii="Arial" w:hAnsi="Arial" w:cs="Arial"/>
          <w:b/>
          <w:color w:val="0000FF"/>
          <w:sz w:val="26"/>
          <w:szCs w:val="26"/>
        </w:rPr>
      </w:pPr>
      <w:r w:rsidRPr="006E6777">
        <w:rPr>
          <w:rFonts w:ascii="Arial" w:hAnsi="Arial" w:cs="Arial"/>
          <w:b/>
          <w:color w:val="0000FF"/>
          <w:sz w:val="26"/>
          <w:szCs w:val="26"/>
        </w:rPr>
        <w:t>CO</w:t>
      </w:r>
      <w:r>
        <w:rPr>
          <w:rFonts w:ascii="Arial" w:hAnsi="Arial" w:cs="Arial"/>
          <w:b/>
          <w:color w:val="0000FF"/>
          <w:sz w:val="26"/>
          <w:szCs w:val="26"/>
        </w:rPr>
        <w:t>NSOLIDA</w:t>
      </w:r>
      <w:r w:rsidRPr="006E6777">
        <w:rPr>
          <w:rFonts w:ascii="Arial" w:hAnsi="Arial" w:cs="Arial"/>
          <w:b/>
          <w:color w:val="0000FF"/>
          <w:sz w:val="26"/>
          <w:szCs w:val="26"/>
        </w:rPr>
        <w:t>DA</w:t>
      </w:r>
    </w:p>
    <w:p w14:paraId="192AFAB2" w14:textId="77777777" w:rsidR="00E91F58" w:rsidRPr="00A17887" w:rsidRDefault="00AA29E9" w:rsidP="00354A22">
      <w:pPr>
        <w:spacing w:before="360" w:after="360" w:line="240" w:lineRule="auto"/>
        <w:ind w:left="4536"/>
        <w:jc w:val="both"/>
        <w:rPr>
          <w:rFonts w:ascii="Arial" w:hAnsi="Arial" w:cs="Arial"/>
          <w:i/>
        </w:rPr>
      </w:pPr>
      <w:r w:rsidRPr="00A17887">
        <w:rPr>
          <w:rFonts w:ascii="Arial" w:hAnsi="Arial" w:cs="Arial"/>
          <w:i/>
        </w:rPr>
        <w:t xml:space="preserve">Regulamenta o art. 238 do Regimento Interno </w:t>
      </w:r>
      <w:r w:rsidR="00090989" w:rsidRPr="00A17887">
        <w:rPr>
          <w:rFonts w:ascii="Arial" w:hAnsi="Arial" w:cs="Arial"/>
          <w:i/>
        </w:rPr>
        <w:t>que trata do</w:t>
      </w:r>
      <w:r w:rsidRPr="00A17887">
        <w:rPr>
          <w:rFonts w:ascii="Arial" w:hAnsi="Arial" w:cs="Arial"/>
          <w:i/>
        </w:rPr>
        <w:t xml:space="preserve"> Sistema Estadual de Informações e dá outras providências.</w:t>
      </w:r>
    </w:p>
    <w:p w14:paraId="55660FF0" w14:textId="77777777" w:rsidR="00E91F58" w:rsidRDefault="00E91F58" w:rsidP="006045F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TRIBUNAL DE CONTAS DO ESTADO DO PARANÁ</w:t>
      </w:r>
      <w:r>
        <w:rPr>
          <w:rFonts w:ascii="Arial" w:hAnsi="Arial" w:cs="Arial"/>
          <w:sz w:val="24"/>
          <w:szCs w:val="24"/>
        </w:rPr>
        <w:t>, no uso da</w:t>
      </w:r>
      <w:r w:rsidR="00805B3B">
        <w:rPr>
          <w:rFonts w:ascii="Arial" w:hAnsi="Arial" w:cs="Arial"/>
          <w:sz w:val="24"/>
          <w:szCs w:val="24"/>
        </w:rPr>
        <w:t>s atribuições institucionais estabelecid</w:t>
      </w:r>
      <w:r w:rsidR="00077ACE">
        <w:rPr>
          <w:rFonts w:ascii="Arial" w:hAnsi="Arial" w:cs="Arial"/>
          <w:sz w:val="24"/>
          <w:szCs w:val="24"/>
        </w:rPr>
        <w:t>a</w:t>
      </w:r>
      <w:r w:rsidR="00805B3B">
        <w:rPr>
          <w:rFonts w:ascii="Arial" w:hAnsi="Arial" w:cs="Arial"/>
          <w:sz w:val="24"/>
          <w:szCs w:val="24"/>
        </w:rPr>
        <w:t>s no art. 75 da Constituição</w:t>
      </w:r>
      <w:r w:rsidR="00B21ADD">
        <w:rPr>
          <w:rFonts w:ascii="Arial" w:hAnsi="Arial" w:cs="Arial"/>
          <w:sz w:val="24"/>
          <w:szCs w:val="24"/>
        </w:rPr>
        <w:t xml:space="preserve"> </w:t>
      </w:r>
      <w:r w:rsidR="00805B3B">
        <w:rPr>
          <w:rFonts w:ascii="Arial" w:hAnsi="Arial" w:cs="Arial"/>
          <w:sz w:val="24"/>
          <w:szCs w:val="24"/>
        </w:rPr>
        <w:t>do Estado do Paraná, no</w:t>
      </w:r>
      <w:r w:rsidR="00B21ADD">
        <w:rPr>
          <w:rFonts w:ascii="Arial" w:hAnsi="Arial" w:cs="Arial"/>
          <w:sz w:val="24"/>
          <w:szCs w:val="24"/>
        </w:rPr>
        <w:t>s</w:t>
      </w:r>
      <w:r w:rsidR="00805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B3B">
        <w:rPr>
          <w:rFonts w:ascii="Arial" w:hAnsi="Arial" w:cs="Arial"/>
          <w:sz w:val="24"/>
          <w:szCs w:val="24"/>
        </w:rPr>
        <w:t>art</w:t>
      </w:r>
      <w:r w:rsidR="00B21ADD">
        <w:rPr>
          <w:rFonts w:ascii="Arial" w:hAnsi="Arial" w:cs="Arial"/>
          <w:sz w:val="24"/>
          <w:szCs w:val="24"/>
        </w:rPr>
        <w:t>s</w:t>
      </w:r>
      <w:proofErr w:type="spellEnd"/>
      <w:r w:rsidR="00805B3B">
        <w:rPr>
          <w:rFonts w:ascii="Arial" w:hAnsi="Arial" w:cs="Arial"/>
          <w:sz w:val="24"/>
          <w:szCs w:val="24"/>
        </w:rPr>
        <w:t>. 1º</w:t>
      </w:r>
      <w:r w:rsidR="00B21ADD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2º, I da Lei Complementar nº </w:t>
      </w:r>
      <w:r w:rsidR="00AA29E9">
        <w:rPr>
          <w:rFonts w:ascii="Arial" w:hAnsi="Arial" w:cs="Arial"/>
          <w:sz w:val="24"/>
          <w:szCs w:val="24"/>
        </w:rPr>
        <w:t>113, de 15 de dezembro de 2005</w:t>
      </w:r>
      <w:r w:rsidR="00C42AF2">
        <w:rPr>
          <w:rFonts w:ascii="Arial" w:hAnsi="Arial" w:cs="Arial"/>
          <w:sz w:val="24"/>
          <w:szCs w:val="24"/>
        </w:rPr>
        <w:t>,</w:t>
      </w:r>
      <w:r w:rsidR="00AA29E9">
        <w:rPr>
          <w:rFonts w:ascii="Arial" w:hAnsi="Arial" w:cs="Arial"/>
          <w:sz w:val="24"/>
          <w:szCs w:val="24"/>
        </w:rPr>
        <w:t xml:space="preserve"> e nos termos d</w:t>
      </w:r>
      <w:r w:rsidR="00181B1E">
        <w:rPr>
          <w:rFonts w:ascii="Arial" w:hAnsi="Arial" w:cs="Arial"/>
          <w:sz w:val="24"/>
          <w:szCs w:val="24"/>
        </w:rPr>
        <w:t>o art. 238 do Regimento Interno;</w:t>
      </w:r>
    </w:p>
    <w:p w14:paraId="477E44ED" w14:textId="1D936A28" w:rsidR="00B21ADD" w:rsidRDefault="00B21ADD" w:rsidP="006045F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disposto </w:t>
      </w:r>
      <w:r w:rsidR="00181B1E">
        <w:rPr>
          <w:rFonts w:ascii="Arial" w:hAnsi="Arial" w:cs="Arial"/>
          <w:sz w:val="24"/>
          <w:szCs w:val="24"/>
        </w:rPr>
        <w:t xml:space="preserve">no </w:t>
      </w:r>
      <w:hyperlink r:id="rId8" w:history="1">
        <w:r w:rsidR="00181B1E" w:rsidRPr="00B90726">
          <w:rPr>
            <w:rStyle w:val="Hyperlink"/>
            <w:rFonts w:cs="Arial"/>
            <w:sz w:val="24"/>
            <w:szCs w:val="24"/>
          </w:rPr>
          <w:t>Provimento nº 52, de 30 de março de 2004</w:t>
        </w:r>
      </w:hyperlink>
      <w:r w:rsidR="00181B1E">
        <w:rPr>
          <w:rFonts w:ascii="Arial" w:hAnsi="Arial" w:cs="Arial"/>
          <w:sz w:val="24"/>
          <w:szCs w:val="24"/>
        </w:rPr>
        <w:t xml:space="preserve">, que instituiu o Sistema Estadual de Informações – </w:t>
      </w:r>
      <w:r w:rsidR="00672EE4">
        <w:rPr>
          <w:rFonts w:ascii="Arial" w:hAnsi="Arial" w:cs="Arial"/>
          <w:sz w:val="24"/>
          <w:szCs w:val="24"/>
        </w:rPr>
        <w:t>SEI</w:t>
      </w:r>
      <w:r w:rsidR="005C18A0">
        <w:rPr>
          <w:rFonts w:ascii="Arial" w:hAnsi="Arial" w:cs="Arial"/>
          <w:sz w:val="24"/>
          <w:szCs w:val="24"/>
        </w:rPr>
        <w:t xml:space="preserve">, </w:t>
      </w:r>
      <w:r w:rsidR="00181B1E">
        <w:rPr>
          <w:rFonts w:ascii="Arial" w:hAnsi="Arial" w:cs="Arial"/>
          <w:sz w:val="24"/>
          <w:szCs w:val="24"/>
        </w:rPr>
        <w:t>um sistema modular de captação de dados no âmbito da Administração Pública Estadual</w:t>
      </w:r>
      <w:r w:rsidR="004746D8">
        <w:rPr>
          <w:rFonts w:ascii="Arial" w:hAnsi="Arial" w:cs="Arial"/>
          <w:sz w:val="24"/>
          <w:szCs w:val="24"/>
        </w:rPr>
        <w:t>;</w:t>
      </w:r>
      <w:r w:rsidR="00CA7BD0">
        <w:rPr>
          <w:rFonts w:ascii="Arial" w:hAnsi="Arial" w:cs="Arial"/>
          <w:sz w:val="24"/>
          <w:szCs w:val="24"/>
        </w:rPr>
        <w:t xml:space="preserve"> e</w:t>
      </w:r>
    </w:p>
    <w:p w14:paraId="522710AA" w14:textId="69B95FA9" w:rsidR="00A22609" w:rsidRDefault="00181B1E" w:rsidP="006045F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A0899">
        <w:rPr>
          <w:rFonts w:ascii="Arial" w:hAnsi="Arial" w:cs="Arial"/>
          <w:sz w:val="24"/>
          <w:szCs w:val="24"/>
        </w:rPr>
        <w:t>que a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B90726">
          <w:rPr>
            <w:rStyle w:val="Hyperlink"/>
            <w:rFonts w:cs="Arial"/>
            <w:sz w:val="24"/>
            <w:szCs w:val="24"/>
          </w:rPr>
          <w:t>Instrução Normativa n</w:t>
        </w:r>
        <w:r w:rsidR="004A0899" w:rsidRPr="00B90726">
          <w:rPr>
            <w:rStyle w:val="Hyperlink"/>
            <w:rFonts w:cs="Arial"/>
            <w:sz w:val="24"/>
            <w:szCs w:val="24"/>
          </w:rPr>
          <w:t>º 33, de 26 de março de 2009</w:t>
        </w:r>
      </w:hyperlink>
      <w:r w:rsidR="004A0899">
        <w:rPr>
          <w:rFonts w:ascii="Arial" w:hAnsi="Arial" w:cs="Arial"/>
          <w:sz w:val="24"/>
          <w:szCs w:val="24"/>
        </w:rPr>
        <w:t xml:space="preserve">, disciplinou acerca de alterações no Sistema Estadual de Informações – Módulo Licitações e Contratos </w:t>
      </w:r>
      <w:r w:rsidR="004A0899" w:rsidRPr="00532EB5">
        <w:rPr>
          <w:rFonts w:ascii="Arial" w:hAnsi="Arial" w:cs="Arial"/>
          <w:sz w:val="24"/>
          <w:szCs w:val="24"/>
        </w:rPr>
        <w:t xml:space="preserve">quanto </w:t>
      </w:r>
      <w:r w:rsidR="004746D8" w:rsidRPr="00532EB5">
        <w:rPr>
          <w:rFonts w:ascii="Arial" w:hAnsi="Arial" w:cs="Arial"/>
          <w:sz w:val="24"/>
          <w:szCs w:val="24"/>
        </w:rPr>
        <w:t>à</w:t>
      </w:r>
      <w:r w:rsidR="004A0899" w:rsidRPr="00532EB5">
        <w:rPr>
          <w:rFonts w:ascii="Arial" w:hAnsi="Arial" w:cs="Arial"/>
          <w:sz w:val="24"/>
          <w:szCs w:val="24"/>
        </w:rPr>
        <w:t xml:space="preserve"> remessa em meio eletrônico de dados relativos à</w:t>
      </w:r>
      <w:r w:rsidR="004746D8" w:rsidRPr="00532EB5">
        <w:rPr>
          <w:rFonts w:ascii="Arial" w:hAnsi="Arial" w:cs="Arial"/>
          <w:sz w:val="24"/>
          <w:szCs w:val="24"/>
        </w:rPr>
        <w:t>s</w:t>
      </w:r>
      <w:r w:rsidR="004A0899">
        <w:rPr>
          <w:rFonts w:ascii="Arial" w:hAnsi="Arial" w:cs="Arial"/>
          <w:sz w:val="24"/>
          <w:szCs w:val="24"/>
        </w:rPr>
        <w:t xml:space="preserve"> licitações, a processos de inexigibilidade e dispensa, a contratos</w:t>
      </w:r>
      <w:r w:rsidR="004746D8">
        <w:rPr>
          <w:rFonts w:ascii="Arial" w:hAnsi="Arial" w:cs="Arial"/>
          <w:sz w:val="24"/>
          <w:szCs w:val="24"/>
        </w:rPr>
        <w:t xml:space="preserve"> e alterações contratuais;</w:t>
      </w:r>
    </w:p>
    <w:p w14:paraId="6E22CA2B" w14:textId="77777777" w:rsidR="00AA29E9" w:rsidRDefault="00AA29E9" w:rsidP="00362BCF">
      <w:pPr>
        <w:spacing w:before="240" w:after="24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</w:t>
      </w:r>
    </w:p>
    <w:p w14:paraId="2FC33670" w14:textId="77777777" w:rsidR="00C9144F" w:rsidRDefault="00AA29E9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CAPÍTULO I </w:t>
      </w:r>
    </w:p>
    <w:p w14:paraId="6F0C3EA7" w14:textId="77777777" w:rsidR="00AA29E9" w:rsidRDefault="00171258" w:rsidP="006842DD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14:paraId="14EF8AAE" w14:textId="77777777" w:rsidR="00C37474" w:rsidRPr="00C37474" w:rsidRDefault="00AA29E9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 w:rsidR="00090989" w:rsidRPr="00171258">
        <w:rPr>
          <w:rFonts w:ascii="Arial" w:hAnsi="Arial" w:cs="Arial"/>
          <w:sz w:val="24"/>
          <w:szCs w:val="24"/>
        </w:rPr>
        <w:t xml:space="preserve"> </w:t>
      </w:r>
      <w:r w:rsidR="00171258" w:rsidRPr="00171258">
        <w:rPr>
          <w:rFonts w:ascii="Arial" w:hAnsi="Arial" w:cs="Arial"/>
          <w:sz w:val="24"/>
          <w:szCs w:val="24"/>
        </w:rPr>
        <w:t>Fica instituído</w:t>
      </w:r>
      <w:r w:rsidR="00171258">
        <w:rPr>
          <w:rFonts w:ascii="Arial" w:hAnsi="Arial" w:cs="Arial"/>
          <w:sz w:val="24"/>
          <w:szCs w:val="24"/>
        </w:rPr>
        <w:t xml:space="preserve">, no âmbito do </w:t>
      </w:r>
      <w:r w:rsidR="00171258" w:rsidRPr="003C2B85">
        <w:rPr>
          <w:rFonts w:ascii="Arial" w:hAnsi="Arial" w:cs="Arial"/>
          <w:sz w:val="24"/>
          <w:szCs w:val="24"/>
        </w:rPr>
        <w:t>Sistema Estadual de Informações</w:t>
      </w:r>
      <w:r w:rsidR="00171258">
        <w:rPr>
          <w:rFonts w:ascii="Arial" w:hAnsi="Arial" w:cs="Arial"/>
          <w:sz w:val="24"/>
          <w:szCs w:val="24"/>
        </w:rPr>
        <w:t xml:space="preserve"> – SEI, o módulo </w:t>
      </w:r>
      <w:r w:rsidR="00171258" w:rsidRPr="003C2B85">
        <w:rPr>
          <w:rFonts w:ascii="Arial" w:hAnsi="Arial" w:cs="Arial"/>
          <w:sz w:val="24"/>
          <w:szCs w:val="24"/>
        </w:rPr>
        <w:t xml:space="preserve">Captação Eletrônica de Dados </w:t>
      </w:r>
      <w:r w:rsidR="00C37474">
        <w:rPr>
          <w:rFonts w:ascii="Arial" w:hAnsi="Arial" w:cs="Arial"/>
          <w:sz w:val="24"/>
          <w:szCs w:val="24"/>
        </w:rPr>
        <w:t>–</w:t>
      </w:r>
      <w:r w:rsidR="00171258" w:rsidRPr="003C2B85">
        <w:rPr>
          <w:rFonts w:ascii="Arial" w:hAnsi="Arial" w:cs="Arial"/>
          <w:sz w:val="24"/>
          <w:szCs w:val="24"/>
        </w:rPr>
        <w:t xml:space="preserve"> SEI-CED</w:t>
      </w:r>
      <w:r w:rsidR="00171258" w:rsidRPr="00171258">
        <w:rPr>
          <w:rFonts w:ascii="Arial" w:hAnsi="Arial" w:cs="Arial"/>
          <w:sz w:val="24"/>
          <w:szCs w:val="24"/>
        </w:rPr>
        <w:t xml:space="preserve">, </w:t>
      </w:r>
      <w:r w:rsidR="00C37474" w:rsidRPr="00C37474">
        <w:rPr>
          <w:rFonts w:ascii="Arial" w:hAnsi="Arial" w:cs="Arial"/>
          <w:sz w:val="24"/>
          <w:szCs w:val="24"/>
        </w:rPr>
        <w:t>com o objetivo de capta</w:t>
      </w:r>
      <w:r w:rsidR="00C37474">
        <w:rPr>
          <w:rFonts w:ascii="Arial" w:hAnsi="Arial" w:cs="Arial"/>
          <w:sz w:val="24"/>
          <w:szCs w:val="24"/>
        </w:rPr>
        <w:t>r</w:t>
      </w:r>
      <w:r w:rsidR="00C37474" w:rsidRPr="00C37474">
        <w:rPr>
          <w:rFonts w:ascii="Arial" w:hAnsi="Arial" w:cs="Arial"/>
          <w:sz w:val="24"/>
          <w:szCs w:val="24"/>
        </w:rPr>
        <w:t xml:space="preserve"> elementos </w:t>
      </w:r>
      <w:r w:rsidR="00291415">
        <w:rPr>
          <w:rFonts w:ascii="Arial" w:hAnsi="Arial" w:cs="Arial"/>
          <w:sz w:val="24"/>
          <w:szCs w:val="24"/>
        </w:rPr>
        <w:t xml:space="preserve">de forma eletrônica </w:t>
      </w:r>
      <w:r w:rsidR="00C37474" w:rsidRPr="00C37474">
        <w:rPr>
          <w:rFonts w:ascii="Arial" w:hAnsi="Arial" w:cs="Arial"/>
          <w:sz w:val="24"/>
          <w:szCs w:val="24"/>
        </w:rPr>
        <w:t>que servirão de base para a geração automatizada de demonstrativos financeiros, gerenciais e contábeis de natureza legal e regulamentar destinados à composição da:</w:t>
      </w:r>
    </w:p>
    <w:p w14:paraId="44A8010A" w14:textId="77777777" w:rsidR="00C37474" w:rsidRP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t>I – Prestação de Contas Anual do Poder Executivo Estadual e d</w:t>
      </w:r>
      <w:r w:rsidR="00C16313">
        <w:rPr>
          <w:rFonts w:ascii="Arial" w:hAnsi="Arial" w:cs="Arial"/>
          <w:sz w:val="24"/>
          <w:szCs w:val="24"/>
        </w:rPr>
        <w:t>a</w:t>
      </w:r>
      <w:r w:rsidRPr="00C37474">
        <w:rPr>
          <w:rFonts w:ascii="Arial" w:hAnsi="Arial" w:cs="Arial"/>
          <w:sz w:val="24"/>
          <w:szCs w:val="24"/>
        </w:rPr>
        <w:t>s demais entidades estaduais;</w:t>
      </w:r>
    </w:p>
    <w:p w14:paraId="7C3CAF93" w14:textId="77777777" w:rsidR="00C37474" w:rsidRP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–</w:t>
      </w:r>
      <w:r w:rsidRPr="00C37474">
        <w:rPr>
          <w:rFonts w:ascii="Arial" w:hAnsi="Arial" w:cs="Arial"/>
          <w:b/>
          <w:sz w:val="24"/>
          <w:szCs w:val="24"/>
        </w:rPr>
        <w:t xml:space="preserve"> </w:t>
      </w:r>
      <w:r w:rsidRPr="00C37474">
        <w:rPr>
          <w:rFonts w:ascii="Arial" w:hAnsi="Arial" w:cs="Arial"/>
          <w:sz w:val="24"/>
          <w:szCs w:val="24"/>
        </w:rPr>
        <w:t xml:space="preserve">demonstrações </w:t>
      </w:r>
      <w:r>
        <w:rPr>
          <w:rFonts w:ascii="Arial" w:hAnsi="Arial" w:cs="Arial"/>
          <w:sz w:val="24"/>
          <w:szCs w:val="24"/>
        </w:rPr>
        <w:t>exigidas pel</w:t>
      </w:r>
      <w:r w:rsidRPr="00C37474">
        <w:rPr>
          <w:rFonts w:ascii="Arial" w:hAnsi="Arial" w:cs="Arial"/>
          <w:sz w:val="24"/>
          <w:szCs w:val="24"/>
        </w:rPr>
        <w:t>a Lei Complementar nº 101/00</w:t>
      </w:r>
      <w:r>
        <w:rPr>
          <w:rFonts w:ascii="Arial" w:hAnsi="Arial" w:cs="Arial"/>
          <w:sz w:val="24"/>
          <w:szCs w:val="24"/>
        </w:rPr>
        <w:t>,</w:t>
      </w:r>
      <w:r w:rsidR="00AA5FBF">
        <w:rPr>
          <w:rFonts w:ascii="Arial" w:hAnsi="Arial" w:cs="Arial"/>
          <w:sz w:val="24"/>
          <w:szCs w:val="24"/>
        </w:rPr>
        <w:t xml:space="preserve"> consubstanciada</w:t>
      </w:r>
      <w:r w:rsidRPr="00C37474">
        <w:rPr>
          <w:rFonts w:ascii="Arial" w:hAnsi="Arial" w:cs="Arial"/>
          <w:sz w:val="24"/>
          <w:szCs w:val="24"/>
        </w:rPr>
        <w:t>s no Relatório Resumido da Execução Orçamentária, Relatório de Gestão Fiscal e outros relatórios que venham a ser instituídos por lei;</w:t>
      </w:r>
    </w:p>
    <w:p w14:paraId="3F289D87" w14:textId="77777777" w:rsidR="00C37474" w:rsidRP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lastRenderedPageBreak/>
        <w:t xml:space="preserve">III – </w:t>
      </w:r>
      <w:r w:rsidR="00780039">
        <w:rPr>
          <w:rFonts w:ascii="Arial" w:hAnsi="Arial" w:cs="Arial"/>
          <w:sz w:val="24"/>
          <w:szCs w:val="24"/>
        </w:rPr>
        <w:t>averiguação</w:t>
      </w:r>
      <w:r w:rsidRPr="00C37474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r</w:t>
      </w:r>
      <w:r w:rsidRPr="00C37474">
        <w:rPr>
          <w:rFonts w:ascii="Arial" w:hAnsi="Arial" w:cs="Arial"/>
          <w:sz w:val="24"/>
          <w:szCs w:val="24"/>
        </w:rPr>
        <w:t xml:space="preserve">eceita </w:t>
      </w:r>
      <w:r>
        <w:rPr>
          <w:rFonts w:ascii="Arial" w:hAnsi="Arial" w:cs="Arial"/>
          <w:sz w:val="24"/>
          <w:szCs w:val="24"/>
        </w:rPr>
        <w:t>arrecadada pelo Estado</w:t>
      </w:r>
      <w:r w:rsidR="001C5708">
        <w:rPr>
          <w:rFonts w:ascii="Arial" w:hAnsi="Arial" w:cs="Arial"/>
          <w:sz w:val="24"/>
          <w:szCs w:val="24"/>
        </w:rPr>
        <w:t>,</w:t>
      </w:r>
      <w:r w:rsidR="00780039">
        <w:rPr>
          <w:rFonts w:ascii="Arial" w:hAnsi="Arial" w:cs="Arial"/>
          <w:sz w:val="24"/>
          <w:szCs w:val="24"/>
        </w:rPr>
        <w:t xml:space="preserve"> para fins de emissão de Relatório de Fiscalização de Receita</w:t>
      </w:r>
      <w:r w:rsidRPr="00C3747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</w:t>
      </w:r>
    </w:p>
    <w:p w14:paraId="14301917" w14:textId="77777777" w:rsid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t xml:space="preserve">IV – </w:t>
      </w:r>
      <w:r>
        <w:rPr>
          <w:rFonts w:ascii="Arial" w:hAnsi="Arial" w:cs="Arial"/>
          <w:sz w:val="24"/>
          <w:szCs w:val="24"/>
        </w:rPr>
        <w:t>h</w:t>
      </w:r>
      <w:r w:rsidRPr="00C37474">
        <w:rPr>
          <w:rFonts w:ascii="Arial" w:hAnsi="Arial" w:cs="Arial"/>
          <w:sz w:val="24"/>
          <w:szCs w:val="24"/>
        </w:rPr>
        <w:t xml:space="preserve">omologação dos cálculos das quotas do ICMS devidas aos </w:t>
      </w:r>
      <w:r w:rsidR="00D778AA">
        <w:rPr>
          <w:rFonts w:ascii="Arial" w:hAnsi="Arial" w:cs="Arial"/>
          <w:sz w:val="24"/>
          <w:szCs w:val="24"/>
        </w:rPr>
        <w:t>M</w:t>
      </w:r>
      <w:r w:rsidRPr="00C37474">
        <w:rPr>
          <w:rFonts w:ascii="Arial" w:hAnsi="Arial" w:cs="Arial"/>
          <w:sz w:val="24"/>
          <w:szCs w:val="24"/>
        </w:rPr>
        <w:t>unicípios.</w:t>
      </w:r>
    </w:p>
    <w:p w14:paraId="143F410E" w14:textId="77777777" w:rsidR="00A502B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 xml:space="preserve">Os módulos integrantes </w:t>
      </w:r>
      <w:r w:rsidR="001C5708">
        <w:rPr>
          <w:rFonts w:ascii="Arial" w:hAnsi="Arial" w:cs="Arial"/>
          <w:sz w:val="24"/>
          <w:szCs w:val="24"/>
        </w:rPr>
        <w:t>do SEI-CED</w:t>
      </w:r>
      <w:r w:rsidRPr="008E3B9A">
        <w:rPr>
          <w:rFonts w:ascii="Arial" w:hAnsi="Arial" w:cs="Arial"/>
          <w:sz w:val="24"/>
          <w:szCs w:val="24"/>
        </w:rPr>
        <w:t xml:space="preserve"> constituem</w:t>
      </w:r>
      <w:r>
        <w:rPr>
          <w:rFonts w:ascii="Arial" w:hAnsi="Arial" w:cs="Arial"/>
          <w:sz w:val="24"/>
          <w:szCs w:val="24"/>
        </w:rPr>
        <w:t xml:space="preserve"> um conjunto de dados e são denominados conforme a natureza das informações que os integram, a saber:</w:t>
      </w:r>
    </w:p>
    <w:p w14:paraId="59AF6451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 – Dados Cadastrais;</w:t>
      </w:r>
    </w:p>
    <w:p w14:paraId="38A8540A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II – Planejamento e Orçamento;</w:t>
      </w:r>
    </w:p>
    <w:p w14:paraId="2CACCA97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III – Contábil;</w:t>
      </w:r>
    </w:p>
    <w:p w14:paraId="7BE4DD37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IV – Tesouraria;</w:t>
      </w:r>
    </w:p>
    <w:p w14:paraId="1607896F" w14:textId="77777777" w:rsidR="00A502BA" w:rsidRPr="00A14F4A" w:rsidRDefault="00A02F8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Licitação</w:t>
      </w:r>
      <w:r w:rsidR="00A502BA" w:rsidRPr="00A14F4A">
        <w:rPr>
          <w:rFonts w:ascii="Arial" w:hAnsi="Arial" w:cs="Arial"/>
          <w:sz w:val="24"/>
          <w:szCs w:val="24"/>
        </w:rPr>
        <w:t>;</w:t>
      </w:r>
    </w:p>
    <w:p w14:paraId="3A3023F1" w14:textId="77777777" w:rsidR="00A502BA" w:rsidRPr="00A14F4A" w:rsidRDefault="00A02F8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Contrato</w:t>
      </w:r>
      <w:r w:rsidR="00A502BA" w:rsidRPr="00A14F4A">
        <w:rPr>
          <w:rFonts w:ascii="Arial" w:hAnsi="Arial" w:cs="Arial"/>
          <w:sz w:val="24"/>
          <w:szCs w:val="24"/>
        </w:rPr>
        <w:t>;</w:t>
      </w:r>
    </w:p>
    <w:p w14:paraId="63DFAC5D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VII – Patrimônio;</w:t>
      </w:r>
    </w:p>
    <w:p w14:paraId="16E4677F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 xml:space="preserve">VIII </w:t>
      </w:r>
      <w:r w:rsidR="00077ACE">
        <w:rPr>
          <w:rFonts w:ascii="Arial" w:hAnsi="Arial" w:cs="Arial"/>
          <w:sz w:val="24"/>
          <w:szCs w:val="24"/>
        </w:rPr>
        <w:t>– Controle Interno; e</w:t>
      </w:r>
    </w:p>
    <w:p w14:paraId="53632257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IX – Tributário.</w:t>
      </w:r>
    </w:p>
    <w:p w14:paraId="1D294E15" w14:textId="77777777" w:rsidR="00A502BA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>§ 1º</w:t>
      </w:r>
      <w:r w:rsidR="00A502BA">
        <w:rPr>
          <w:rFonts w:ascii="Arial" w:hAnsi="Arial" w:cs="Arial"/>
          <w:b/>
          <w:sz w:val="24"/>
          <w:szCs w:val="24"/>
        </w:rPr>
        <w:t xml:space="preserve"> </w:t>
      </w:r>
      <w:r w:rsidR="00E209FD" w:rsidRPr="00E209FD">
        <w:rPr>
          <w:rFonts w:ascii="Arial" w:hAnsi="Arial" w:cs="Arial"/>
          <w:sz w:val="24"/>
          <w:szCs w:val="24"/>
        </w:rPr>
        <w:t>D</w:t>
      </w:r>
      <w:r w:rsidR="00A502BA" w:rsidRPr="00E209FD">
        <w:rPr>
          <w:rFonts w:ascii="Arial" w:hAnsi="Arial" w:cs="Arial"/>
          <w:sz w:val="24"/>
          <w:szCs w:val="24"/>
        </w:rPr>
        <w:t>epende</w:t>
      </w:r>
      <w:r w:rsidR="00E209FD" w:rsidRPr="00E209FD">
        <w:rPr>
          <w:rFonts w:ascii="Arial" w:hAnsi="Arial" w:cs="Arial"/>
          <w:sz w:val="24"/>
          <w:szCs w:val="24"/>
        </w:rPr>
        <w:t>ndo</w:t>
      </w:r>
      <w:r w:rsidR="00A502BA">
        <w:rPr>
          <w:rFonts w:ascii="Arial" w:hAnsi="Arial" w:cs="Arial"/>
          <w:sz w:val="24"/>
          <w:szCs w:val="24"/>
        </w:rPr>
        <w:t xml:space="preserve"> da natureza </w:t>
      </w:r>
      <w:r w:rsidR="002C0100">
        <w:rPr>
          <w:rFonts w:ascii="Arial" w:hAnsi="Arial" w:cs="Arial"/>
          <w:sz w:val="24"/>
          <w:szCs w:val="24"/>
        </w:rPr>
        <w:t>da</w:t>
      </w:r>
      <w:r w:rsidR="00A502BA">
        <w:rPr>
          <w:rFonts w:ascii="Arial" w:hAnsi="Arial" w:cs="Arial"/>
          <w:sz w:val="24"/>
          <w:szCs w:val="24"/>
        </w:rPr>
        <w:t xml:space="preserve"> entidade</w:t>
      </w:r>
      <w:r w:rsidR="00E209FD">
        <w:rPr>
          <w:rFonts w:ascii="Arial" w:hAnsi="Arial" w:cs="Arial"/>
          <w:sz w:val="24"/>
          <w:szCs w:val="24"/>
        </w:rPr>
        <w:t>,</w:t>
      </w:r>
      <w:r w:rsidR="002C0100">
        <w:rPr>
          <w:rFonts w:ascii="Arial" w:hAnsi="Arial" w:cs="Arial"/>
          <w:sz w:val="24"/>
          <w:szCs w:val="24"/>
        </w:rPr>
        <w:t xml:space="preserve"> nem toda</w:t>
      </w:r>
      <w:r w:rsidR="00A502BA">
        <w:rPr>
          <w:rFonts w:ascii="Arial" w:hAnsi="Arial" w:cs="Arial"/>
          <w:sz w:val="24"/>
          <w:szCs w:val="24"/>
        </w:rPr>
        <w:t xml:space="preserve">s </w:t>
      </w:r>
      <w:r w:rsidR="002C0100">
        <w:rPr>
          <w:rFonts w:ascii="Arial" w:hAnsi="Arial" w:cs="Arial"/>
          <w:sz w:val="24"/>
          <w:szCs w:val="24"/>
        </w:rPr>
        <w:t>a</w:t>
      </w:r>
      <w:r w:rsidR="00A502BA">
        <w:rPr>
          <w:rFonts w:ascii="Arial" w:hAnsi="Arial" w:cs="Arial"/>
          <w:sz w:val="24"/>
          <w:szCs w:val="24"/>
        </w:rPr>
        <w:t xml:space="preserve">s </w:t>
      </w:r>
      <w:r w:rsidR="002C0100">
        <w:rPr>
          <w:rFonts w:ascii="Arial" w:hAnsi="Arial" w:cs="Arial"/>
          <w:sz w:val="24"/>
          <w:szCs w:val="24"/>
        </w:rPr>
        <w:t>tabelas integrantes d</w:t>
      </w:r>
      <w:r w:rsidR="00A502BA">
        <w:rPr>
          <w:rFonts w:ascii="Arial" w:hAnsi="Arial" w:cs="Arial"/>
          <w:sz w:val="24"/>
          <w:szCs w:val="24"/>
        </w:rPr>
        <w:t>os</w:t>
      </w:r>
      <w:r w:rsidR="002C0100">
        <w:rPr>
          <w:rFonts w:ascii="Arial" w:hAnsi="Arial" w:cs="Arial"/>
          <w:sz w:val="24"/>
          <w:szCs w:val="24"/>
        </w:rPr>
        <w:t xml:space="preserve"> módulos</w:t>
      </w:r>
      <w:r w:rsidR="00DA3A81">
        <w:rPr>
          <w:rFonts w:ascii="Arial" w:hAnsi="Arial" w:cs="Arial"/>
          <w:sz w:val="24"/>
          <w:szCs w:val="24"/>
        </w:rPr>
        <w:t xml:space="preserve"> serão exigida</w:t>
      </w:r>
      <w:r w:rsidR="00A502BA">
        <w:rPr>
          <w:rFonts w:ascii="Arial" w:hAnsi="Arial" w:cs="Arial"/>
          <w:sz w:val="24"/>
          <w:szCs w:val="24"/>
        </w:rPr>
        <w:t>s pelo SEI</w:t>
      </w:r>
      <w:r w:rsidR="00E209FD">
        <w:rPr>
          <w:rFonts w:ascii="Arial" w:hAnsi="Arial" w:cs="Arial"/>
          <w:sz w:val="24"/>
          <w:szCs w:val="24"/>
        </w:rPr>
        <w:t>-CED</w:t>
      </w:r>
      <w:r w:rsidR="00A502BA">
        <w:rPr>
          <w:rFonts w:ascii="Arial" w:hAnsi="Arial" w:cs="Arial"/>
          <w:sz w:val="24"/>
          <w:szCs w:val="24"/>
        </w:rPr>
        <w:t xml:space="preserve">, conforme definido </w:t>
      </w:r>
      <w:r w:rsidR="00A502BA" w:rsidRPr="008E3B9A">
        <w:rPr>
          <w:rFonts w:ascii="Arial" w:hAnsi="Arial" w:cs="Arial"/>
          <w:sz w:val="24"/>
          <w:szCs w:val="24"/>
        </w:rPr>
        <w:t>nos leiautes</w:t>
      </w:r>
      <w:r w:rsidR="00A502BA">
        <w:rPr>
          <w:rFonts w:ascii="Arial" w:hAnsi="Arial" w:cs="Arial"/>
          <w:i/>
          <w:sz w:val="24"/>
          <w:szCs w:val="24"/>
        </w:rPr>
        <w:t xml:space="preserve"> </w:t>
      </w:r>
      <w:r w:rsidR="00A502BA" w:rsidRPr="008E3B9A">
        <w:rPr>
          <w:rFonts w:ascii="Arial" w:hAnsi="Arial" w:cs="Arial"/>
          <w:sz w:val="24"/>
          <w:szCs w:val="24"/>
        </w:rPr>
        <w:t>deste Sistema</w:t>
      </w:r>
      <w:r w:rsidR="00A502BA">
        <w:rPr>
          <w:rFonts w:ascii="Arial" w:hAnsi="Arial" w:cs="Arial"/>
          <w:sz w:val="24"/>
          <w:szCs w:val="24"/>
        </w:rPr>
        <w:t>.</w:t>
      </w:r>
    </w:p>
    <w:p w14:paraId="54A53360" w14:textId="77777777" w:rsidR="001A3B7E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</w:t>
      </w:r>
      <w:r w:rsidRPr="000B2A0E">
        <w:rPr>
          <w:rFonts w:ascii="Arial" w:hAnsi="Arial" w:cs="Arial"/>
          <w:sz w:val="24"/>
          <w:szCs w:val="24"/>
        </w:rPr>
        <w:t>º</w:t>
      </w:r>
      <w:r w:rsidR="001A3B7E">
        <w:rPr>
          <w:rFonts w:ascii="Arial" w:hAnsi="Arial" w:cs="Arial"/>
          <w:b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 xml:space="preserve">Os módulos descritos nos </w:t>
      </w:r>
      <w:r w:rsidR="001A3B7E" w:rsidRPr="001B1B38">
        <w:rPr>
          <w:rFonts w:ascii="Arial" w:hAnsi="Arial" w:cs="Arial"/>
          <w:sz w:val="24"/>
          <w:szCs w:val="24"/>
        </w:rPr>
        <w:t>incisos I, II, III e IV</w:t>
      </w:r>
      <w:r w:rsidR="001A3B7E">
        <w:rPr>
          <w:rFonts w:ascii="Arial" w:hAnsi="Arial" w:cs="Arial"/>
          <w:b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>serão implantados no exercício de 2014.</w:t>
      </w:r>
    </w:p>
    <w:p w14:paraId="60B0C91B" w14:textId="77777777" w:rsidR="001A3B7E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3</w:t>
      </w:r>
      <w:r w:rsidRPr="000B2A0E">
        <w:rPr>
          <w:rFonts w:ascii="Arial" w:hAnsi="Arial" w:cs="Arial"/>
          <w:sz w:val="24"/>
          <w:szCs w:val="24"/>
        </w:rPr>
        <w:t>º</w:t>
      </w:r>
      <w:r w:rsidR="001A3B7E">
        <w:rPr>
          <w:rFonts w:ascii="Arial" w:hAnsi="Arial" w:cs="Arial"/>
          <w:b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 xml:space="preserve">Os módulos descritos nos incisos </w:t>
      </w:r>
      <w:r w:rsidR="001A3B7E" w:rsidRPr="001B1B38">
        <w:rPr>
          <w:rFonts w:ascii="Arial" w:hAnsi="Arial" w:cs="Arial"/>
          <w:sz w:val="24"/>
          <w:szCs w:val="24"/>
        </w:rPr>
        <w:t xml:space="preserve">V a IX </w:t>
      </w:r>
      <w:r w:rsidR="001A3B7E">
        <w:rPr>
          <w:rFonts w:ascii="Arial" w:hAnsi="Arial" w:cs="Arial"/>
          <w:sz w:val="24"/>
          <w:szCs w:val="24"/>
        </w:rPr>
        <w:t xml:space="preserve">serão criados e </w:t>
      </w:r>
      <w:r w:rsidR="001A3B7E" w:rsidRPr="008E3B9A">
        <w:rPr>
          <w:rFonts w:ascii="Arial" w:hAnsi="Arial" w:cs="Arial"/>
          <w:sz w:val="24"/>
          <w:szCs w:val="24"/>
        </w:rPr>
        <w:t>implantados</w:t>
      </w:r>
      <w:r w:rsidR="00455A14">
        <w:rPr>
          <w:rFonts w:ascii="Arial" w:hAnsi="Arial" w:cs="Arial"/>
          <w:sz w:val="24"/>
          <w:szCs w:val="24"/>
        </w:rPr>
        <w:t>,</w:t>
      </w:r>
      <w:r w:rsidR="001A3B7E" w:rsidRPr="008E3B9A">
        <w:rPr>
          <w:rFonts w:ascii="Arial" w:hAnsi="Arial" w:cs="Arial"/>
          <w:sz w:val="24"/>
          <w:szCs w:val="24"/>
        </w:rPr>
        <w:t xml:space="preserve"> gradativamente</w:t>
      </w:r>
      <w:r w:rsidR="00455A14">
        <w:rPr>
          <w:rFonts w:ascii="Arial" w:hAnsi="Arial" w:cs="Arial"/>
          <w:sz w:val="24"/>
          <w:szCs w:val="24"/>
        </w:rPr>
        <w:t>,</w:t>
      </w:r>
      <w:r w:rsidR="001A3B7E" w:rsidRPr="008E3B9A">
        <w:rPr>
          <w:rFonts w:ascii="Arial" w:hAnsi="Arial" w:cs="Arial"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>a partir do</w:t>
      </w:r>
      <w:r w:rsidR="001A3B7E" w:rsidRPr="008E3B9A">
        <w:rPr>
          <w:rFonts w:ascii="Arial" w:hAnsi="Arial" w:cs="Arial"/>
          <w:sz w:val="24"/>
          <w:szCs w:val="24"/>
        </w:rPr>
        <w:t xml:space="preserve"> exercício de 2014</w:t>
      </w:r>
      <w:r w:rsidR="001A3B7E">
        <w:rPr>
          <w:rFonts w:ascii="Arial" w:hAnsi="Arial" w:cs="Arial"/>
          <w:sz w:val="24"/>
          <w:szCs w:val="24"/>
        </w:rPr>
        <w:t>,</w:t>
      </w:r>
      <w:r w:rsidR="001A3B7E" w:rsidRPr="008E3B9A">
        <w:rPr>
          <w:rFonts w:ascii="Arial" w:hAnsi="Arial" w:cs="Arial"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>a critério e discricionariedade deste Tribunal.</w:t>
      </w:r>
    </w:p>
    <w:p w14:paraId="79200BD6" w14:textId="77777777" w:rsidR="001A3B7E" w:rsidRPr="00B105EB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4</w:t>
      </w:r>
      <w:r w:rsidRPr="000B2A0E">
        <w:rPr>
          <w:rFonts w:ascii="Arial" w:hAnsi="Arial" w:cs="Arial"/>
          <w:sz w:val="24"/>
          <w:szCs w:val="24"/>
        </w:rPr>
        <w:t>º</w:t>
      </w:r>
      <w:r w:rsidRPr="003C2B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módulos do atual</w:t>
      </w:r>
      <w:r w:rsidRPr="003C2B85">
        <w:rPr>
          <w:rFonts w:ascii="Arial" w:hAnsi="Arial" w:cs="Arial"/>
          <w:sz w:val="24"/>
          <w:szCs w:val="24"/>
        </w:rPr>
        <w:t xml:space="preserve"> Sistema Estadual de Informações – SEI</w:t>
      </w:r>
      <w:r>
        <w:rPr>
          <w:rFonts w:ascii="Arial" w:hAnsi="Arial" w:cs="Arial"/>
          <w:sz w:val="24"/>
          <w:szCs w:val="24"/>
        </w:rPr>
        <w:t>,</w:t>
      </w:r>
      <w:r w:rsidRPr="003C2B85">
        <w:rPr>
          <w:rFonts w:ascii="Arial" w:hAnsi="Arial" w:cs="Arial"/>
          <w:sz w:val="24"/>
          <w:szCs w:val="24"/>
        </w:rPr>
        <w:t xml:space="preserve"> em operação</w:t>
      </w:r>
      <w:r>
        <w:rPr>
          <w:rFonts w:ascii="Arial" w:hAnsi="Arial" w:cs="Arial"/>
          <w:sz w:val="24"/>
          <w:szCs w:val="24"/>
        </w:rPr>
        <w:t>,</w:t>
      </w:r>
      <w:r w:rsidRPr="003C2B85">
        <w:rPr>
          <w:rFonts w:ascii="Arial" w:hAnsi="Arial" w:cs="Arial"/>
          <w:sz w:val="24"/>
          <w:szCs w:val="24"/>
        </w:rPr>
        <w:t xml:space="preserve"> permanecerão inalterados até declaração expressa desta Corte de Contas.</w:t>
      </w:r>
    </w:p>
    <w:p w14:paraId="23D394DA" w14:textId="77777777" w:rsidR="00D778AA" w:rsidRDefault="00D778AA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II</w:t>
      </w:r>
    </w:p>
    <w:p w14:paraId="07022A8B" w14:textId="77777777" w:rsidR="00D778AA" w:rsidRDefault="00D778AA" w:rsidP="006842DD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APLICABILIDADE</w:t>
      </w:r>
    </w:p>
    <w:p w14:paraId="5F503070" w14:textId="4F001133" w:rsidR="00D778AA" w:rsidRDefault="00D778A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E209F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 xml:space="preserve">Subordinam-se a esta Instrução Normativa </w:t>
      </w:r>
      <w:r w:rsidR="00C16313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entidades da Administração Pública Estadual, compreendida a Assembleia Legislativa, o Tribunal de Justiça, o Tribunal de </w:t>
      </w:r>
      <w:r w:rsidRPr="00532EB5">
        <w:rPr>
          <w:rFonts w:ascii="Arial" w:hAnsi="Arial" w:cs="Arial"/>
          <w:sz w:val="24"/>
          <w:szCs w:val="24"/>
        </w:rPr>
        <w:t>Contas</w:t>
      </w:r>
      <w:r>
        <w:rPr>
          <w:rFonts w:ascii="Arial" w:hAnsi="Arial" w:cs="Arial"/>
          <w:sz w:val="24"/>
          <w:szCs w:val="24"/>
        </w:rPr>
        <w:t>,</w:t>
      </w:r>
      <w:r w:rsidRPr="00532EB5">
        <w:rPr>
          <w:rFonts w:ascii="Arial" w:hAnsi="Arial" w:cs="Arial"/>
          <w:sz w:val="24"/>
          <w:szCs w:val="24"/>
        </w:rPr>
        <w:t xml:space="preserve"> o Ministério Público e a Defensoria Pública, além da</w:t>
      </w:r>
      <w:r>
        <w:rPr>
          <w:rFonts w:ascii="Arial" w:hAnsi="Arial" w:cs="Arial"/>
          <w:sz w:val="24"/>
          <w:szCs w:val="24"/>
        </w:rPr>
        <w:t>s Administrações</w:t>
      </w:r>
      <w:r w:rsidRPr="00532EB5">
        <w:rPr>
          <w:rFonts w:ascii="Arial" w:hAnsi="Arial" w:cs="Arial"/>
          <w:sz w:val="24"/>
          <w:szCs w:val="24"/>
        </w:rPr>
        <w:t xml:space="preserve"> Direta e Indireta</w:t>
      </w:r>
      <w:r>
        <w:rPr>
          <w:rFonts w:ascii="Arial" w:hAnsi="Arial" w:cs="Arial"/>
          <w:sz w:val="24"/>
          <w:szCs w:val="24"/>
        </w:rPr>
        <w:t xml:space="preserve"> </w:t>
      </w:r>
      <w:r w:rsidRPr="00532EB5">
        <w:rPr>
          <w:rFonts w:ascii="Arial" w:hAnsi="Arial" w:cs="Arial"/>
          <w:sz w:val="24"/>
          <w:szCs w:val="24"/>
        </w:rPr>
        <w:t>do Poder Executivo, incluídas as fundações públicas</w:t>
      </w:r>
      <w:r>
        <w:rPr>
          <w:rFonts w:ascii="Arial" w:hAnsi="Arial" w:cs="Arial"/>
          <w:sz w:val="24"/>
          <w:szCs w:val="24"/>
        </w:rPr>
        <w:t xml:space="preserve"> e sociedades instituídas e mantidas pelo Estado, os fundos especiais e de natureza previdenciária, os órgãos de regime especial, os serviços sociais autônomos, as empresas públicas e as sociedades de economia mista nas quais o Estado é acionista ou controlador.</w:t>
      </w:r>
    </w:p>
    <w:p w14:paraId="225F2E67" w14:textId="77777777" w:rsidR="00171258" w:rsidRDefault="00171258" w:rsidP="006045F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3883E69B" w14:textId="77777777" w:rsidR="00A22609" w:rsidRDefault="0022103E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CAPÍTULO III</w:t>
      </w:r>
    </w:p>
    <w:p w14:paraId="3732A333" w14:textId="77777777" w:rsidR="00A22609" w:rsidRDefault="00A22609" w:rsidP="006842DD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4B7C">
        <w:rPr>
          <w:rFonts w:ascii="Arial" w:hAnsi="Arial" w:cs="Arial"/>
          <w:b/>
          <w:sz w:val="24"/>
          <w:szCs w:val="24"/>
        </w:rPr>
        <w:t>DO</w:t>
      </w:r>
      <w:r w:rsidR="000B405D" w:rsidRPr="005F4B7C">
        <w:rPr>
          <w:rFonts w:ascii="Arial" w:hAnsi="Arial" w:cs="Arial"/>
          <w:b/>
          <w:sz w:val="24"/>
          <w:szCs w:val="24"/>
        </w:rPr>
        <w:t>S REGISTROS NO</w:t>
      </w:r>
      <w:r w:rsidRPr="005F4B7C">
        <w:rPr>
          <w:rFonts w:ascii="Arial" w:hAnsi="Arial" w:cs="Arial"/>
          <w:b/>
          <w:sz w:val="24"/>
          <w:szCs w:val="24"/>
        </w:rPr>
        <w:t xml:space="preserve"> S</w:t>
      </w:r>
      <w:r w:rsidR="000B405D" w:rsidRPr="005F4B7C">
        <w:rPr>
          <w:rFonts w:ascii="Arial" w:hAnsi="Arial" w:cs="Arial"/>
          <w:b/>
          <w:sz w:val="24"/>
          <w:szCs w:val="24"/>
        </w:rPr>
        <w:t>EI-CED</w:t>
      </w:r>
    </w:p>
    <w:p w14:paraId="4E7FB52E" w14:textId="77777777" w:rsidR="006B14EF" w:rsidRDefault="00763692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3692"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4</w:t>
      </w:r>
      <w:r w:rsidRPr="00763692">
        <w:rPr>
          <w:rFonts w:ascii="Arial" w:hAnsi="Arial" w:cs="Arial"/>
          <w:b/>
          <w:sz w:val="24"/>
          <w:szCs w:val="24"/>
        </w:rPr>
        <w:t>º</w:t>
      </w:r>
      <w:r w:rsidR="006B14EF" w:rsidRPr="0095256C">
        <w:rPr>
          <w:rFonts w:ascii="Arial" w:hAnsi="Arial" w:cs="Arial"/>
          <w:sz w:val="24"/>
          <w:szCs w:val="24"/>
        </w:rPr>
        <w:t xml:space="preserve"> A veracidade dos dados cadastrados no SEI-CED é de estrita responsabilidade dos representantes legais d</w:t>
      </w:r>
      <w:r w:rsidR="00C16313">
        <w:rPr>
          <w:rFonts w:ascii="Arial" w:hAnsi="Arial" w:cs="Arial"/>
          <w:sz w:val="24"/>
          <w:szCs w:val="24"/>
        </w:rPr>
        <w:t>a</w:t>
      </w:r>
      <w:r w:rsidR="00077ACE">
        <w:rPr>
          <w:rFonts w:ascii="Arial" w:hAnsi="Arial" w:cs="Arial"/>
          <w:sz w:val="24"/>
          <w:szCs w:val="24"/>
        </w:rPr>
        <w:t>s e</w:t>
      </w:r>
      <w:r w:rsidR="006B14EF" w:rsidRPr="0095256C">
        <w:rPr>
          <w:rFonts w:ascii="Arial" w:hAnsi="Arial" w:cs="Arial"/>
          <w:sz w:val="24"/>
          <w:szCs w:val="24"/>
        </w:rPr>
        <w:t>ntidades, a quem compete respond</w:t>
      </w:r>
      <w:r w:rsidR="00AE7E66">
        <w:rPr>
          <w:rFonts w:ascii="Arial" w:hAnsi="Arial" w:cs="Arial"/>
          <w:sz w:val="24"/>
          <w:szCs w:val="24"/>
        </w:rPr>
        <w:t>er pelos registros apresentados</w:t>
      </w:r>
      <w:r w:rsidR="006B14EF" w:rsidRPr="0095256C">
        <w:rPr>
          <w:rFonts w:ascii="Arial" w:hAnsi="Arial" w:cs="Arial"/>
          <w:sz w:val="24"/>
          <w:szCs w:val="24"/>
        </w:rPr>
        <w:t xml:space="preserve"> ou por sua omissão.</w:t>
      </w:r>
    </w:p>
    <w:p w14:paraId="1456792F" w14:textId="77777777" w:rsidR="00AA7D02" w:rsidRDefault="00AA7D02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º</w:t>
      </w:r>
      <w:r w:rsidR="001A505C">
        <w:rPr>
          <w:rFonts w:ascii="Arial" w:hAnsi="Arial" w:cs="Arial"/>
          <w:b/>
          <w:sz w:val="24"/>
          <w:szCs w:val="24"/>
        </w:rPr>
        <w:t xml:space="preserve"> </w:t>
      </w:r>
      <w:r w:rsidR="001A505C">
        <w:rPr>
          <w:rFonts w:ascii="Arial" w:hAnsi="Arial" w:cs="Arial"/>
          <w:sz w:val="24"/>
          <w:szCs w:val="24"/>
        </w:rPr>
        <w:t>Para fins desta Instrução Normativa</w:t>
      </w:r>
      <w:r w:rsidR="00AE7E66">
        <w:rPr>
          <w:rFonts w:ascii="Arial" w:hAnsi="Arial" w:cs="Arial"/>
          <w:sz w:val="24"/>
          <w:szCs w:val="24"/>
        </w:rPr>
        <w:t>,</w:t>
      </w:r>
      <w:r w:rsidR="001A505C">
        <w:rPr>
          <w:rFonts w:ascii="Arial" w:hAnsi="Arial" w:cs="Arial"/>
          <w:sz w:val="24"/>
          <w:szCs w:val="24"/>
        </w:rPr>
        <w:t xml:space="preserve"> considera-se:</w:t>
      </w:r>
    </w:p>
    <w:p w14:paraId="5473C0E3" w14:textId="77777777" w:rsidR="0095256C" w:rsidRPr="005F4FCB" w:rsidRDefault="001A50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3692">
        <w:rPr>
          <w:rFonts w:ascii="Arial" w:hAnsi="Arial" w:cs="Arial"/>
          <w:sz w:val="24"/>
          <w:szCs w:val="24"/>
        </w:rPr>
        <w:t xml:space="preserve">I – </w:t>
      </w:r>
      <w:r w:rsidR="00763692">
        <w:rPr>
          <w:rFonts w:ascii="Arial" w:hAnsi="Arial" w:cs="Arial"/>
          <w:sz w:val="24"/>
          <w:szCs w:val="24"/>
        </w:rPr>
        <w:t>r</w:t>
      </w:r>
      <w:r w:rsidR="0095256C" w:rsidRPr="005F4FCB">
        <w:rPr>
          <w:rFonts w:ascii="Arial" w:hAnsi="Arial" w:cs="Arial"/>
          <w:sz w:val="24"/>
          <w:szCs w:val="24"/>
        </w:rPr>
        <w:t>epresentante legal: o gestor político, que</w:t>
      </w:r>
      <w:r w:rsidR="00763692">
        <w:rPr>
          <w:rFonts w:ascii="Arial" w:hAnsi="Arial" w:cs="Arial"/>
          <w:sz w:val="24"/>
          <w:szCs w:val="24"/>
        </w:rPr>
        <w:t xml:space="preserve"> representa </w:t>
      </w:r>
      <w:r w:rsidR="00C16313">
        <w:rPr>
          <w:rFonts w:ascii="Arial" w:hAnsi="Arial" w:cs="Arial"/>
          <w:sz w:val="24"/>
          <w:szCs w:val="24"/>
        </w:rPr>
        <w:t xml:space="preserve">a </w:t>
      </w:r>
      <w:r w:rsidR="00763692">
        <w:rPr>
          <w:rFonts w:ascii="Arial" w:hAnsi="Arial" w:cs="Arial"/>
          <w:sz w:val="24"/>
          <w:szCs w:val="24"/>
        </w:rPr>
        <w:t>entidade</w:t>
      </w:r>
      <w:r w:rsidR="0095256C" w:rsidRPr="005F4FCB">
        <w:rPr>
          <w:rFonts w:ascii="Arial" w:hAnsi="Arial" w:cs="Arial"/>
          <w:sz w:val="24"/>
          <w:szCs w:val="24"/>
        </w:rPr>
        <w:t>;</w:t>
      </w:r>
    </w:p>
    <w:p w14:paraId="77BBA2DF" w14:textId="77777777" w:rsidR="007958B6" w:rsidRPr="005F4FCB" w:rsidRDefault="007958B6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F4FCB">
        <w:rPr>
          <w:rFonts w:ascii="Arial" w:hAnsi="Arial" w:cs="Arial"/>
          <w:sz w:val="24"/>
          <w:szCs w:val="24"/>
        </w:rPr>
        <w:t xml:space="preserve">II – </w:t>
      </w:r>
      <w:r w:rsidR="00763692">
        <w:rPr>
          <w:rFonts w:ascii="Arial" w:hAnsi="Arial" w:cs="Arial"/>
          <w:sz w:val="24"/>
          <w:szCs w:val="24"/>
        </w:rPr>
        <w:t>r</w:t>
      </w:r>
      <w:r w:rsidRPr="005F4FCB">
        <w:rPr>
          <w:rFonts w:ascii="Arial" w:hAnsi="Arial" w:cs="Arial"/>
          <w:sz w:val="24"/>
          <w:szCs w:val="24"/>
        </w:rPr>
        <w:t xml:space="preserve">esponsável técnico: </w:t>
      </w:r>
      <w:r w:rsidR="003B6D4B" w:rsidRPr="005F4FCB">
        <w:rPr>
          <w:rFonts w:ascii="Arial" w:hAnsi="Arial" w:cs="Arial"/>
          <w:sz w:val="24"/>
          <w:szCs w:val="24"/>
        </w:rPr>
        <w:t xml:space="preserve">o contabilista, </w:t>
      </w:r>
      <w:r w:rsidR="00763692">
        <w:rPr>
          <w:rFonts w:ascii="Arial" w:hAnsi="Arial" w:cs="Arial"/>
          <w:sz w:val="24"/>
          <w:szCs w:val="24"/>
        </w:rPr>
        <w:t xml:space="preserve">que </w:t>
      </w:r>
      <w:r w:rsidR="003B6D4B" w:rsidRPr="005F4FCB">
        <w:rPr>
          <w:rFonts w:ascii="Arial" w:hAnsi="Arial" w:cs="Arial"/>
          <w:sz w:val="24"/>
          <w:szCs w:val="24"/>
        </w:rPr>
        <w:t xml:space="preserve">responde pela exatidão e fidedignidade dos registros e demonstrações contábeis; </w:t>
      </w:r>
      <w:r w:rsidR="00763692">
        <w:rPr>
          <w:rFonts w:ascii="Arial" w:hAnsi="Arial" w:cs="Arial"/>
          <w:sz w:val="24"/>
          <w:szCs w:val="24"/>
        </w:rPr>
        <w:t>e</w:t>
      </w:r>
    </w:p>
    <w:p w14:paraId="7464401E" w14:textId="77777777" w:rsidR="001A505C" w:rsidRDefault="00763692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5256C" w:rsidRPr="00763692">
        <w:rPr>
          <w:rFonts w:ascii="Arial" w:hAnsi="Arial" w:cs="Arial"/>
          <w:sz w:val="24"/>
          <w:szCs w:val="24"/>
        </w:rPr>
        <w:t xml:space="preserve">II – </w:t>
      </w:r>
      <w:r w:rsidRPr="00763692">
        <w:rPr>
          <w:rFonts w:ascii="Arial" w:hAnsi="Arial" w:cs="Arial"/>
          <w:sz w:val="24"/>
          <w:szCs w:val="24"/>
        </w:rPr>
        <w:t>u</w:t>
      </w:r>
      <w:r w:rsidR="001A505C" w:rsidRPr="00763692">
        <w:rPr>
          <w:rFonts w:ascii="Arial" w:hAnsi="Arial" w:cs="Arial"/>
          <w:sz w:val="24"/>
          <w:szCs w:val="24"/>
        </w:rPr>
        <w:t>suário: aquele que possui prévia autorização cadastral no Sistema Estadual de Informações</w:t>
      </w:r>
      <w:r w:rsidR="005F4FCB" w:rsidRPr="00763692">
        <w:rPr>
          <w:rFonts w:ascii="Arial" w:hAnsi="Arial" w:cs="Arial"/>
          <w:sz w:val="24"/>
          <w:szCs w:val="24"/>
        </w:rPr>
        <w:t>, que p</w:t>
      </w:r>
      <w:r w:rsidR="00D84214" w:rsidRPr="00763692">
        <w:rPr>
          <w:rFonts w:ascii="Arial" w:hAnsi="Arial" w:cs="Arial"/>
          <w:sz w:val="24"/>
          <w:szCs w:val="24"/>
        </w:rPr>
        <w:t>ode ser tanto aquele que</w:t>
      </w:r>
      <w:r w:rsidR="001A505C" w:rsidRPr="00763692">
        <w:rPr>
          <w:rFonts w:ascii="Arial" w:hAnsi="Arial" w:cs="Arial"/>
          <w:sz w:val="24"/>
          <w:szCs w:val="24"/>
        </w:rPr>
        <w:t xml:space="preserve"> </w:t>
      </w:r>
      <w:r w:rsidR="00920BE7" w:rsidRPr="00763692">
        <w:rPr>
          <w:rFonts w:ascii="Arial" w:hAnsi="Arial" w:cs="Arial"/>
          <w:sz w:val="24"/>
          <w:szCs w:val="24"/>
        </w:rPr>
        <w:t>encaminha</w:t>
      </w:r>
      <w:r w:rsidR="001A505C" w:rsidRPr="00763692">
        <w:rPr>
          <w:rFonts w:ascii="Arial" w:hAnsi="Arial" w:cs="Arial"/>
          <w:sz w:val="24"/>
          <w:szCs w:val="24"/>
        </w:rPr>
        <w:t xml:space="preserve"> os dados d</w:t>
      </w:r>
      <w:r w:rsidR="00C16313">
        <w:rPr>
          <w:rFonts w:ascii="Arial" w:hAnsi="Arial" w:cs="Arial"/>
          <w:sz w:val="24"/>
          <w:szCs w:val="24"/>
        </w:rPr>
        <w:t>a</w:t>
      </w:r>
      <w:r w:rsidR="001A505C" w:rsidRPr="00763692">
        <w:rPr>
          <w:rFonts w:ascii="Arial" w:hAnsi="Arial" w:cs="Arial"/>
          <w:sz w:val="24"/>
          <w:szCs w:val="24"/>
        </w:rPr>
        <w:t xml:space="preserve"> entidade, </w:t>
      </w:r>
      <w:r w:rsidR="00D84214" w:rsidRPr="00763692">
        <w:rPr>
          <w:rFonts w:ascii="Arial" w:hAnsi="Arial" w:cs="Arial"/>
          <w:sz w:val="24"/>
          <w:szCs w:val="24"/>
        </w:rPr>
        <w:t xml:space="preserve">como aquele que </w:t>
      </w:r>
      <w:r w:rsidR="0095256C" w:rsidRPr="00763692">
        <w:rPr>
          <w:rFonts w:ascii="Arial" w:hAnsi="Arial" w:cs="Arial"/>
          <w:sz w:val="24"/>
          <w:szCs w:val="24"/>
        </w:rPr>
        <w:t>acessa</w:t>
      </w:r>
      <w:r w:rsidR="00D84214" w:rsidRPr="00763692">
        <w:rPr>
          <w:rFonts w:ascii="Arial" w:hAnsi="Arial" w:cs="Arial"/>
          <w:sz w:val="24"/>
          <w:szCs w:val="24"/>
        </w:rPr>
        <w:t xml:space="preserve"> os dados que constam do Sistema</w:t>
      </w:r>
      <w:r w:rsidR="005F4FCB" w:rsidRPr="00763692">
        <w:rPr>
          <w:rFonts w:ascii="Arial" w:hAnsi="Arial" w:cs="Arial"/>
          <w:sz w:val="24"/>
          <w:szCs w:val="24"/>
        </w:rPr>
        <w:t>, n</w:t>
      </w:r>
      <w:r w:rsidR="001A505C" w:rsidRPr="00763692">
        <w:rPr>
          <w:rFonts w:ascii="Arial" w:hAnsi="Arial" w:cs="Arial"/>
          <w:sz w:val="24"/>
          <w:szCs w:val="24"/>
        </w:rPr>
        <w:t xml:space="preserve">ão </w:t>
      </w:r>
      <w:r w:rsidR="005F4FCB" w:rsidRPr="00763692">
        <w:rPr>
          <w:rFonts w:ascii="Arial" w:hAnsi="Arial" w:cs="Arial"/>
          <w:sz w:val="24"/>
          <w:szCs w:val="24"/>
        </w:rPr>
        <w:t>sendo</w:t>
      </w:r>
      <w:r w:rsidR="001A505C" w:rsidRPr="00763692">
        <w:rPr>
          <w:rFonts w:ascii="Arial" w:hAnsi="Arial" w:cs="Arial"/>
          <w:sz w:val="24"/>
          <w:szCs w:val="24"/>
        </w:rPr>
        <w:t xml:space="preserve"> responsabilizado pela veracidade das informações, salvo se alterá-las e assim restar comprovad</w:t>
      </w:r>
      <w:r w:rsidR="0095256C" w:rsidRPr="00763692">
        <w:rPr>
          <w:rFonts w:ascii="Arial" w:hAnsi="Arial" w:cs="Arial"/>
          <w:sz w:val="24"/>
          <w:szCs w:val="24"/>
        </w:rPr>
        <w:t>o, após processo administrativo.</w:t>
      </w:r>
      <w:r w:rsidR="005F4FCB">
        <w:rPr>
          <w:rFonts w:ascii="Arial" w:hAnsi="Arial" w:cs="Arial"/>
          <w:sz w:val="24"/>
          <w:szCs w:val="24"/>
        </w:rPr>
        <w:t xml:space="preserve"> </w:t>
      </w:r>
    </w:p>
    <w:p w14:paraId="44FCA985" w14:textId="77777777" w:rsidR="00FC4F03" w:rsidRDefault="00FC4F03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A7F01"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6</w:t>
      </w:r>
      <w:r w:rsidRPr="007A7F01">
        <w:rPr>
          <w:rFonts w:ascii="Arial" w:hAnsi="Arial" w:cs="Arial"/>
          <w:b/>
          <w:sz w:val="24"/>
          <w:szCs w:val="24"/>
        </w:rPr>
        <w:t>º</w:t>
      </w:r>
      <w:r w:rsidRPr="00280EB8">
        <w:rPr>
          <w:rFonts w:ascii="Arial" w:hAnsi="Arial" w:cs="Arial"/>
          <w:sz w:val="24"/>
          <w:szCs w:val="24"/>
        </w:rPr>
        <w:t xml:space="preserve"> O plano de contas padrão adotado no SEI-CED atenderá à estrutura e especificações conceituais do Plano de Contas Aplicado ao Setor Público </w:t>
      </w:r>
      <w:r>
        <w:rPr>
          <w:rFonts w:ascii="Arial" w:hAnsi="Arial" w:cs="Arial"/>
          <w:sz w:val="24"/>
          <w:szCs w:val="24"/>
        </w:rPr>
        <w:t>–</w:t>
      </w:r>
      <w:r w:rsidRPr="00280EB8">
        <w:rPr>
          <w:rFonts w:ascii="Arial" w:hAnsi="Arial" w:cs="Arial"/>
          <w:sz w:val="24"/>
          <w:szCs w:val="24"/>
        </w:rPr>
        <w:t xml:space="preserve"> PCASP, estendido até o 7º nível, editado pela Secretaria do Tesouro Nacional, sendo acrescido apenas de detalhamentos necessários ao atendimento de peculiaridades de controle identificadas por este Tribunal de Contas.</w:t>
      </w:r>
    </w:p>
    <w:p w14:paraId="2C003F71" w14:textId="77777777" w:rsidR="00CE18C7" w:rsidRPr="00CE18C7" w:rsidRDefault="007165ED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A7F01"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7</w:t>
      </w:r>
      <w:r w:rsidRPr="007A7F01">
        <w:rPr>
          <w:rFonts w:ascii="Arial" w:hAnsi="Arial" w:cs="Arial"/>
          <w:b/>
          <w:sz w:val="24"/>
          <w:szCs w:val="24"/>
        </w:rPr>
        <w:t>º</w:t>
      </w:r>
      <w:r w:rsidR="00763692">
        <w:rPr>
          <w:rFonts w:ascii="Arial" w:hAnsi="Arial" w:cs="Arial"/>
          <w:b/>
          <w:sz w:val="24"/>
          <w:szCs w:val="24"/>
        </w:rPr>
        <w:t xml:space="preserve"> </w:t>
      </w:r>
      <w:r w:rsidRPr="007A7F01">
        <w:rPr>
          <w:rFonts w:ascii="Arial" w:hAnsi="Arial" w:cs="Arial"/>
          <w:sz w:val="24"/>
          <w:szCs w:val="24"/>
        </w:rPr>
        <w:t>As regras de padronização</w:t>
      </w:r>
      <w:r w:rsidR="00BC71F0">
        <w:rPr>
          <w:rFonts w:ascii="Arial" w:hAnsi="Arial" w:cs="Arial"/>
          <w:sz w:val="24"/>
          <w:szCs w:val="24"/>
        </w:rPr>
        <w:t xml:space="preserve"> e os</w:t>
      </w:r>
      <w:r w:rsidR="00BC71F0" w:rsidRPr="007A7F01">
        <w:rPr>
          <w:rFonts w:ascii="Arial" w:hAnsi="Arial" w:cs="Arial"/>
          <w:sz w:val="24"/>
          <w:szCs w:val="24"/>
        </w:rPr>
        <w:t xml:space="preserve"> “Leiautes SEI-CED</w:t>
      </w:r>
      <w:r w:rsidR="00BC71F0">
        <w:rPr>
          <w:rFonts w:ascii="Arial" w:hAnsi="Arial" w:cs="Arial"/>
          <w:sz w:val="24"/>
          <w:szCs w:val="24"/>
        </w:rPr>
        <w:t>”, os quais cont</w:t>
      </w:r>
      <w:r w:rsidR="003C3AFD">
        <w:rPr>
          <w:rFonts w:ascii="Arial" w:hAnsi="Arial" w:cs="Arial"/>
          <w:sz w:val="24"/>
          <w:szCs w:val="24"/>
        </w:rPr>
        <w:t>ê</w:t>
      </w:r>
      <w:r w:rsidR="00BC71F0">
        <w:rPr>
          <w:rFonts w:ascii="Arial" w:hAnsi="Arial" w:cs="Arial"/>
          <w:sz w:val="24"/>
          <w:szCs w:val="24"/>
        </w:rPr>
        <w:t xml:space="preserve">m </w:t>
      </w:r>
      <w:r w:rsidRPr="007A7F01">
        <w:rPr>
          <w:rFonts w:ascii="Arial" w:hAnsi="Arial" w:cs="Arial"/>
          <w:sz w:val="24"/>
          <w:szCs w:val="24"/>
        </w:rPr>
        <w:t>as tabelas com as especificações</w:t>
      </w:r>
      <w:r w:rsidR="00BC71F0">
        <w:rPr>
          <w:rFonts w:ascii="Arial" w:hAnsi="Arial" w:cs="Arial"/>
          <w:sz w:val="24"/>
          <w:szCs w:val="24"/>
        </w:rPr>
        <w:t>,</w:t>
      </w:r>
      <w:r w:rsidRPr="007A7F01">
        <w:rPr>
          <w:rFonts w:ascii="Arial" w:hAnsi="Arial" w:cs="Arial"/>
          <w:sz w:val="24"/>
          <w:szCs w:val="24"/>
        </w:rPr>
        <w:t xml:space="preserve"> os formatos dos dados a serem incluídos</w:t>
      </w:r>
      <w:r w:rsidR="00BC71F0">
        <w:rPr>
          <w:rFonts w:ascii="Arial" w:hAnsi="Arial" w:cs="Arial"/>
          <w:sz w:val="24"/>
          <w:szCs w:val="24"/>
        </w:rPr>
        <w:t xml:space="preserve"> e </w:t>
      </w:r>
      <w:r w:rsidR="00BC71F0" w:rsidRPr="007A7F01">
        <w:rPr>
          <w:rFonts w:ascii="Arial" w:hAnsi="Arial" w:cs="Arial"/>
          <w:sz w:val="24"/>
          <w:szCs w:val="24"/>
        </w:rPr>
        <w:t xml:space="preserve">as regras de importação </w:t>
      </w:r>
      <w:r w:rsidR="00BC71F0">
        <w:rPr>
          <w:rFonts w:ascii="Arial" w:hAnsi="Arial" w:cs="Arial"/>
          <w:sz w:val="24"/>
          <w:szCs w:val="24"/>
        </w:rPr>
        <w:t>para o</w:t>
      </w:r>
      <w:r w:rsidRPr="007A7F01">
        <w:rPr>
          <w:rFonts w:ascii="Arial" w:hAnsi="Arial" w:cs="Arial"/>
          <w:sz w:val="24"/>
          <w:szCs w:val="24"/>
        </w:rPr>
        <w:t xml:space="preserve"> SEI-CED, </w:t>
      </w:r>
      <w:r w:rsidR="00BC71F0">
        <w:rPr>
          <w:rFonts w:ascii="Arial" w:hAnsi="Arial" w:cs="Arial"/>
          <w:sz w:val="24"/>
          <w:szCs w:val="24"/>
        </w:rPr>
        <w:t>de cada</w:t>
      </w:r>
      <w:r w:rsidRPr="007A7F01">
        <w:rPr>
          <w:rFonts w:ascii="Arial" w:hAnsi="Arial" w:cs="Arial"/>
          <w:sz w:val="24"/>
          <w:szCs w:val="24"/>
        </w:rPr>
        <w:t xml:space="preserve"> exercício,</w:t>
      </w:r>
      <w:r w:rsidR="00BC71F0">
        <w:rPr>
          <w:rFonts w:ascii="Arial" w:hAnsi="Arial" w:cs="Arial"/>
          <w:sz w:val="24"/>
          <w:szCs w:val="24"/>
        </w:rPr>
        <w:t xml:space="preserve"> bem como eventuais </w:t>
      </w:r>
      <w:r w:rsidR="00F53579" w:rsidRPr="00280EB8">
        <w:rPr>
          <w:rFonts w:ascii="Arial" w:hAnsi="Arial" w:cs="Arial"/>
          <w:sz w:val="24"/>
          <w:szCs w:val="24"/>
        </w:rPr>
        <w:t>documentos e tabelas</w:t>
      </w:r>
      <w:r w:rsidR="00BC71F0" w:rsidRPr="00280EB8">
        <w:rPr>
          <w:rFonts w:ascii="Arial" w:hAnsi="Arial" w:cs="Arial"/>
          <w:sz w:val="24"/>
          <w:szCs w:val="24"/>
        </w:rPr>
        <w:t xml:space="preserve"> auxiliares</w:t>
      </w:r>
      <w:r w:rsidR="00763692">
        <w:rPr>
          <w:rFonts w:ascii="Arial" w:hAnsi="Arial" w:cs="Arial"/>
          <w:sz w:val="24"/>
          <w:szCs w:val="24"/>
        </w:rPr>
        <w:t>,</w:t>
      </w:r>
      <w:r w:rsidR="0040394C">
        <w:rPr>
          <w:rFonts w:ascii="Arial" w:hAnsi="Arial" w:cs="Arial"/>
          <w:sz w:val="24"/>
          <w:szCs w:val="24"/>
        </w:rPr>
        <w:t xml:space="preserve"> constituem parte integrante desta Instrução Normativa</w:t>
      </w:r>
      <w:r w:rsidRPr="00280EB8">
        <w:rPr>
          <w:rFonts w:ascii="Arial" w:hAnsi="Arial" w:cs="Arial"/>
          <w:sz w:val="24"/>
          <w:szCs w:val="24"/>
        </w:rPr>
        <w:t xml:space="preserve"> </w:t>
      </w:r>
      <w:r w:rsidR="0040394C">
        <w:rPr>
          <w:rFonts w:ascii="Arial" w:hAnsi="Arial" w:cs="Arial"/>
          <w:sz w:val="24"/>
          <w:szCs w:val="24"/>
        </w:rPr>
        <w:t xml:space="preserve">e </w:t>
      </w:r>
      <w:r w:rsidR="00BC71F0" w:rsidRPr="00280EB8">
        <w:rPr>
          <w:rFonts w:ascii="Arial" w:hAnsi="Arial" w:cs="Arial"/>
          <w:sz w:val="24"/>
          <w:szCs w:val="24"/>
        </w:rPr>
        <w:t>serão disponibilizado</w:t>
      </w:r>
      <w:r w:rsidRPr="00280EB8">
        <w:rPr>
          <w:rFonts w:ascii="Arial" w:hAnsi="Arial" w:cs="Arial"/>
          <w:sz w:val="24"/>
          <w:szCs w:val="24"/>
        </w:rPr>
        <w:t>s</w:t>
      </w:r>
      <w:r w:rsidR="0040394C">
        <w:rPr>
          <w:rFonts w:ascii="Arial" w:hAnsi="Arial" w:cs="Arial"/>
          <w:sz w:val="24"/>
          <w:szCs w:val="24"/>
        </w:rPr>
        <w:t xml:space="preserve"> </w:t>
      </w:r>
      <w:r w:rsidRPr="00280EB8">
        <w:rPr>
          <w:rFonts w:ascii="Arial" w:hAnsi="Arial" w:cs="Arial"/>
          <w:sz w:val="24"/>
          <w:szCs w:val="24"/>
        </w:rPr>
        <w:t xml:space="preserve">na página do TCE na </w:t>
      </w:r>
      <w:r w:rsidRPr="00CE18C7">
        <w:rPr>
          <w:rFonts w:ascii="Arial" w:hAnsi="Arial" w:cs="Arial"/>
          <w:sz w:val="24"/>
          <w:szCs w:val="24"/>
        </w:rPr>
        <w:t>internet</w:t>
      </w:r>
      <w:r w:rsidR="00CE18C7">
        <w:rPr>
          <w:rFonts w:ascii="Arial" w:hAnsi="Arial" w:cs="Arial"/>
          <w:sz w:val="24"/>
          <w:szCs w:val="24"/>
        </w:rPr>
        <w:t>,</w:t>
      </w:r>
      <w:r w:rsidR="00CE18C7" w:rsidRPr="00CE18C7">
        <w:rPr>
          <w:rFonts w:ascii="Arial" w:hAnsi="Arial" w:cs="Arial"/>
          <w:sz w:val="24"/>
          <w:szCs w:val="24"/>
        </w:rPr>
        <w:t xml:space="preserve"> podendo sofrer ajustes e inclusão de novos leiautes, independente de alteração </w:t>
      </w:r>
      <w:r w:rsidR="00CE18C7">
        <w:rPr>
          <w:rFonts w:ascii="Arial" w:hAnsi="Arial" w:cs="Arial"/>
          <w:sz w:val="24"/>
          <w:szCs w:val="24"/>
        </w:rPr>
        <w:t xml:space="preserve">desta </w:t>
      </w:r>
      <w:r w:rsidR="00CE18C7" w:rsidRPr="00CE18C7">
        <w:rPr>
          <w:rFonts w:ascii="Arial" w:hAnsi="Arial" w:cs="Arial"/>
          <w:sz w:val="24"/>
          <w:szCs w:val="24"/>
        </w:rPr>
        <w:t>normativa.</w:t>
      </w:r>
    </w:p>
    <w:p w14:paraId="208E89A6" w14:textId="77777777" w:rsidR="00FC4F03" w:rsidRPr="008D05EA" w:rsidRDefault="009763E3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842DD">
        <w:rPr>
          <w:rFonts w:ascii="Arial" w:hAnsi="Arial" w:cs="Arial"/>
          <w:bCs/>
          <w:sz w:val="24"/>
          <w:szCs w:val="24"/>
        </w:rPr>
        <w:t>Parágrafo único.</w:t>
      </w:r>
      <w:r w:rsidR="00661826" w:rsidRPr="008D05EA">
        <w:rPr>
          <w:rFonts w:ascii="Arial" w:hAnsi="Arial" w:cs="Arial"/>
          <w:sz w:val="24"/>
          <w:szCs w:val="24"/>
        </w:rPr>
        <w:t xml:space="preserve"> </w:t>
      </w:r>
      <w:r w:rsidR="001A3B7E" w:rsidRPr="008D05EA">
        <w:rPr>
          <w:rFonts w:ascii="Arial" w:hAnsi="Arial" w:cs="Arial"/>
          <w:sz w:val="24"/>
          <w:szCs w:val="24"/>
        </w:rPr>
        <w:t xml:space="preserve">As entidades </w:t>
      </w:r>
      <w:r w:rsidR="008D05EA" w:rsidRPr="008D05EA">
        <w:rPr>
          <w:rFonts w:ascii="Arial" w:hAnsi="Arial" w:cs="Arial"/>
          <w:sz w:val="24"/>
          <w:szCs w:val="24"/>
        </w:rPr>
        <w:t>subordinadas</w:t>
      </w:r>
      <w:r w:rsidR="001A3B7E" w:rsidRPr="008D05EA">
        <w:rPr>
          <w:rFonts w:ascii="Arial" w:hAnsi="Arial" w:cs="Arial"/>
          <w:sz w:val="24"/>
          <w:szCs w:val="24"/>
        </w:rPr>
        <w:t xml:space="preserve"> </w:t>
      </w:r>
      <w:r w:rsidR="008D05EA" w:rsidRPr="008D05EA">
        <w:rPr>
          <w:rFonts w:ascii="Arial" w:hAnsi="Arial" w:cs="Arial"/>
          <w:sz w:val="24"/>
          <w:szCs w:val="24"/>
        </w:rPr>
        <w:t>a</w:t>
      </w:r>
      <w:r w:rsidR="001A3B7E" w:rsidRPr="008D05EA">
        <w:rPr>
          <w:rFonts w:ascii="Arial" w:hAnsi="Arial" w:cs="Arial"/>
          <w:sz w:val="24"/>
          <w:szCs w:val="24"/>
        </w:rPr>
        <w:t xml:space="preserve"> esta Instrução Normativa, inclusive as </w:t>
      </w:r>
      <w:r w:rsidR="00661826" w:rsidRPr="008D05EA">
        <w:rPr>
          <w:rFonts w:ascii="Arial" w:hAnsi="Arial" w:cs="Arial"/>
          <w:sz w:val="24"/>
          <w:szCs w:val="24"/>
        </w:rPr>
        <w:t>Empresas Públicas, Sociedades de Economia Mista, Serviços Sociais Autônomos e Fundos Especiais que adotam a contabilidade na forma da Lei nº 6.404</w:t>
      </w:r>
      <w:r w:rsidR="00847B4C">
        <w:rPr>
          <w:rFonts w:ascii="Arial" w:hAnsi="Arial" w:cs="Arial"/>
          <w:sz w:val="24"/>
          <w:szCs w:val="24"/>
        </w:rPr>
        <w:t>, de</w:t>
      </w:r>
      <w:r w:rsidR="00847B4C" w:rsidRPr="00847B4C">
        <w:rPr>
          <w:rFonts w:ascii="Arial" w:hAnsi="Arial" w:cs="Arial"/>
          <w:sz w:val="24"/>
          <w:szCs w:val="24"/>
        </w:rPr>
        <w:t xml:space="preserve"> 15 de dezembro de 1976</w:t>
      </w:r>
      <w:r w:rsidR="00847B4C">
        <w:rPr>
          <w:rFonts w:ascii="Arial" w:hAnsi="Arial" w:cs="Arial"/>
          <w:sz w:val="24"/>
          <w:szCs w:val="24"/>
        </w:rPr>
        <w:t xml:space="preserve">, </w:t>
      </w:r>
      <w:r w:rsidR="001A3B7E" w:rsidRPr="008D05EA">
        <w:rPr>
          <w:rFonts w:ascii="Arial" w:hAnsi="Arial" w:cs="Arial"/>
          <w:sz w:val="24"/>
          <w:szCs w:val="24"/>
        </w:rPr>
        <w:t>e estão</w:t>
      </w:r>
      <w:r w:rsidR="00661826" w:rsidRPr="008D05EA">
        <w:rPr>
          <w:rFonts w:ascii="Arial" w:hAnsi="Arial" w:cs="Arial"/>
          <w:sz w:val="24"/>
          <w:szCs w:val="24"/>
        </w:rPr>
        <w:t xml:space="preserve"> agrupadas para fins de </w:t>
      </w:r>
      <w:r w:rsidR="00550DD0">
        <w:rPr>
          <w:rFonts w:ascii="Arial" w:hAnsi="Arial" w:cs="Arial"/>
          <w:sz w:val="24"/>
          <w:szCs w:val="24"/>
        </w:rPr>
        <w:t>identificação</w:t>
      </w:r>
      <w:r w:rsidR="008D05EA" w:rsidRPr="008D05EA">
        <w:rPr>
          <w:rFonts w:ascii="Arial" w:hAnsi="Arial" w:cs="Arial"/>
          <w:sz w:val="24"/>
          <w:szCs w:val="24"/>
        </w:rPr>
        <w:t xml:space="preserve"> como “Estatais”, estão abrangidas pelos leiautes em que há indicação específica no quadro “Entidade</w:t>
      </w:r>
      <w:r w:rsidR="008D05EA">
        <w:rPr>
          <w:rFonts w:ascii="Arial" w:hAnsi="Arial" w:cs="Arial"/>
          <w:sz w:val="24"/>
          <w:szCs w:val="24"/>
        </w:rPr>
        <w:t>s</w:t>
      </w:r>
      <w:r w:rsidR="008D05EA" w:rsidRPr="008D05EA">
        <w:rPr>
          <w:rFonts w:ascii="Arial" w:hAnsi="Arial" w:cs="Arial"/>
          <w:sz w:val="24"/>
          <w:szCs w:val="24"/>
        </w:rPr>
        <w:t xml:space="preserve"> da </w:t>
      </w:r>
      <w:r w:rsidR="008D05EA">
        <w:rPr>
          <w:rFonts w:ascii="Arial" w:hAnsi="Arial" w:cs="Arial"/>
          <w:sz w:val="24"/>
          <w:szCs w:val="24"/>
        </w:rPr>
        <w:t>E</w:t>
      </w:r>
      <w:r w:rsidR="008D05EA" w:rsidRPr="008D05EA">
        <w:rPr>
          <w:rFonts w:ascii="Arial" w:hAnsi="Arial" w:cs="Arial"/>
          <w:sz w:val="24"/>
          <w:szCs w:val="24"/>
        </w:rPr>
        <w:t xml:space="preserve">sfera </w:t>
      </w:r>
      <w:r w:rsidR="008D05EA">
        <w:rPr>
          <w:rFonts w:ascii="Arial" w:hAnsi="Arial" w:cs="Arial"/>
          <w:sz w:val="24"/>
          <w:szCs w:val="24"/>
        </w:rPr>
        <w:t>E</w:t>
      </w:r>
      <w:r w:rsidR="008D05EA" w:rsidRPr="008D05EA">
        <w:rPr>
          <w:rFonts w:ascii="Arial" w:hAnsi="Arial" w:cs="Arial"/>
          <w:sz w:val="24"/>
          <w:szCs w:val="24"/>
        </w:rPr>
        <w:t xml:space="preserve">stadual </w:t>
      </w:r>
      <w:r w:rsidR="008D05EA">
        <w:rPr>
          <w:rFonts w:ascii="Arial" w:hAnsi="Arial" w:cs="Arial"/>
          <w:sz w:val="24"/>
          <w:szCs w:val="24"/>
        </w:rPr>
        <w:t>A</w:t>
      </w:r>
      <w:r w:rsidR="008D05EA" w:rsidRPr="008D05EA">
        <w:rPr>
          <w:rFonts w:ascii="Arial" w:hAnsi="Arial" w:cs="Arial"/>
          <w:sz w:val="24"/>
          <w:szCs w:val="24"/>
        </w:rPr>
        <w:t>brangida</w:t>
      </w:r>
      <w:r w:rsidR="008D05EA">
        <w:rPr>
          <w:rFonts w:ascii="Arial" w:hAnsi="Arial" w:cs="Arial"/>
          <w:sz w:val="24"/>
          <w:szCs w:val="24"/>
        </w:rPr>
        <w:t>s</w:t>
      </w:r>
      <w:r w:rsidR="008D05EA" w:rsidRPr="008D05EA">
        <w:rPr>
          <w:rFonts w:ascii="Arial" w:hAnsi="Arial" w:cs="Arial"/>
          <w:sz w:val="24"/>
          <w:szCs w:val="24"/>
        </w:rPr>
        <w:t>”</w:t>
      </w:r>
      <w:r w:rsidR="00661826" w:rsidRPr="008D05EA">
        <w:rPr>
          <w:rFonts w:ascii="Arial" w:hAnsi="Arial" w:cs="Arial"/>
          <w:sz w:val="24"/>
          <w:szCs w:val="24"/>
        </w:rPr>
        <w:t>.</w:t>
      </w:r>
    </w:p>
    <w:p w14:paraId="1229CEDC" w14:textId="77777777" w:rsidR="00A502BA" w:rsidRDefault="00A502BA" w:rsidP="006045F8">
      <w:pPr>
        <w:keepNext/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IV</w:t>
      </w:r>
    </w:p>
    <w:p w14:paraId="68F18A63" w14:textId="77777777" w:rsidR="00A502BA" w:rsidRDefault="00A502BA" w:rsidP="00D005C4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</w:t>
      </w:r>
      <w:r w:rsidR="0041153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PRAZO</w:t>
      </w:r>
      <w:r w:rsidR="0041153A">
        <w:rPr>
          <w:rFonts w:ascii="Arial" w:hAnsi="Arial" w:cs="Arial"/>
          <w:b/>
          <w:sz w:val="24"/>
          <w:szCs w:val="24"/>
        </w:rPr>
        <w:t>S</w:t>
      </w:r>
    </w:p>
    <w:p w14:paraId="4BE514F8" w14:textId="77777777" w:rsidR="00913C73" w:rsidRDefault="00913C73" w:rsidP="00913C73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3327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8º</w:t>
      </w:r>
      <w:r w:rsidRPr="0083327E">
        <w:rPr>
          <w:rFonts w:ascii="Arial" w:hAnsi="Arial" w:cs="Arial"/>
          <w:sz w:val="24"/>
          <w:szCs w:val="24"/>
        </w:rPr>
        <w:t xml:space="preserve"> </w:t>
      </w:r>
      <w:r w:rsidRPr="00EC75B6">
        <w:rPr>
          <w:rFonts w:ascii="Arial" w:hAnsi="Arial" w:cs="Arial"/>
          <w:strike/>
          <w:sz w:val="24"/>
          <w:szCs w:val="24"/>
        </w:rPr>
        <w:t>O fechamento das remessas de dados ao SEI-CED, com informações mensais, será realizado quadrimestralmente, considerando-se como início do 1º quadrimestre de cada exercício, a data de 1º de janeiro, tendo como prazo o último dia útil do mês seguinte.</w:t>
      </w:r>
    </w:p>
    <w:p w14:paraId="2E623E0B" w14:textId="77777777" w:rsidR="00913C73" w:rsidRPr="00BC72A8" w:rsidRDefault="00913C73" w:rsidP="00913C73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3327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8º </w:t>
      </w:r>
      <w:r w:rsidRPr="00BC72A8">
        <w:rPr>
          <w:rFonts w:ascii="Arial" w:hAnsi="Arial" w:cs="Arial"/>
          <w:bCs/>
          <w:sz w:val="24"/>
          <w:szCs w:val="24"/>
        </w:rPr>
        <w:t xml:space="preserve">O fechamento das remessas de dados ao SEI-CED, com informações conforme periodicidade indicada na tabela, será realizado quadrimestralmente, considerando-se como início do 1º quadrimestre de cada </w:t>
      </w:r>
      <w:r w:rsidRPr="00BC72A8">
        <w:rPr>
          <w:rFonts w:ascii="Arial" w:hAnsi="Arial" w:cs="Arial"/>
          <w:bCs/>
          <w:sz w:val="24"/>
          <w:szCs w:val="24"/>
        </w:rPr>
        <w:lastRenderedPageBreak/>
        <w:t>exercício, a data de 1º de janeiro, tendo como prazo o último dia útil do mês seguinte.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BC72A8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Pr="00BC72A8">
        <w:rPr>
          <w:rFonts w:ascii="Arial" w:hAnsi="Arial" w:cs="Arial"/>
          <w:bCs/>
          <w:sz w:val="24"/>
          <w:szCs w:val="24"/>
        </w:rPr>
        <w:t xml:space="preserve"> </w:t>
      </w:r>
      <w:hyperlink r:id="rId10" w:history="1">
        <w:r w:rsidRPr="00BC72A8">
          <w:rPr>
            <w:rStyle w:val="Hyperlink"/>
            <w:rFonts w:cs="Arial"/>
            <w:bCs/>
            <w:sz w:val="24"/>
            <w:szCs w:val="24"/>
          </w:rPr>
          <w:t>Instrução Normativa n. 99/2014</w:t>
        </w:r>
      </w:hyperlink>
      <w:r w:rsidRPr="00BC72A8">
        <w:rPr>
          <w:rFonts w:ascii="Arial" w:hAnsi="Arial" w:cs="Arial"/>
          <w:bCs/>
          <w:sz w:val="24"/>
          <w:szCs w:val="24"/>
        </w:rPr>
        <w:t>)</w:t>
      </w:r>
    </w:p>
    <w:p w14:paraId="0AD40AEE" w14:textId="77777777" w:rsidR="00D11F5C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3327E">
        <w:rPr>
          <w:rFonts w:ascii="Arial" w:hAnsi="Arial" w:cs="Arial"/>
          <w:sz w:val="24"/>
          <w:szCs w:val="24"/>
        </w:rPr>
        <w:t>§</w:t>
      </w:r>
      <w:r w:rsidR="00A502BA">
        <w:rPr>
          <w:rFonts w:ascii="Arial" w:hAnsi="Arial" w:cs="Arial"/>
          <w:sz w:val="24"/>
          <w:szCs w:val="24"/>
        </w:rPr>
        <w:t xml:space="preserve"> 1</w:t>
      </w:r>
      <w:r w:rsidRPr="0083327E">
        <w:rPr>
          <w:rFonts w:ascii="Arial" w:hAnsi="Arial" w:cs="Arial"/>
          <w:sz w:val="24"/>
          <w:szCs w:val="24"/>
        </w:rPr>
        <w:t xml:space="preserve">º O fechamento dos dados incluídos no </w:t>
      </w:r>
      <w:r w:rsidR="00753605" w:rsidRPr="0083327E">
        <w:rPr>
          <w:rFonts w:ascii="Arial" w:hAnsi="Arial" w:cs="Arial"/>
          <w:sz w:val="24"/>
          <w:szCs w:val="24"/>
        </w:rPr>
        <w:t>SEI-CED</w:t>
      </w:r>
      <w:r w:rsidRPr="0083327E">
        <w:rPr>
          <w:rFonts w:ascii="Arial" w:hAnsi="Arial" w:cs="Arial"/>
          <w:sz w:val="24"/>
          <w:szCs w:val="24"/>
        </w:rPr>
        <w:t xml:space="preserve"> será efetivado na página do Tribunal na internet, mediante confirmação da senha de acesso</w:t>
      </w:r>
      <w:r w:rsidR="00B67C48">
        <w:rPr>
          <w:rFonts w:ascii="Arial" w:hAnsi="Arial" w:cs="Arial"/>
          <w:sz w:val="24"/>
          <w:szCs w:val="24"/>
        </w:rPr>
        <w:t xml:space="preserve"> do responsável técnico</w:t>
      </w:r>
      <w:r w:rsidRPr="0047452A">
        <w:rPr>
          <w:rFonts w:ascii="Arial" w:hAnsi="Arial" w:cs="Arial"/>
          <w:sz w:val="24"/>
          <w:szCs w:val="24"/>
        </w:rPr>
        <w:t>.</w:t>
      </w:r>
    </w:p>
    <w:p w14:paraId="03B3F141" w14:textId="77777777" w:rsidR="00B67C48" w:rsidRPr="00833AAD" w:rsidRDefault="0047452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33AAD">
        <w:rPr>
          <w:rFonts w:ascii="Arial" w:hAnsi="Arial" w:cs="Arial"/>
          <w:sz w:val="24"/>
          <w:szCs w:val="24"/>
        </w:rPr>
        <w:t xml:space="preserve">§ </w:t>
      </w:r>
      <w:r w:rsidR="00A502BA">
        <w:rPr>
          <w:rFonts w:ascii="Arial" w:hAnsi="Arial" w:cs="Arial"/>
          <w:sz w:val="24"/>
          <w:szCs w:val="24"/>
        </w:rPr>
        <w:t>2</w:t>
      </w:r>
      <w:r w:rsidRPr="00833AAD">
        <w:rPr>
          <w:rFonts w:ascii="Arial" w:hAnsi="Arial" w:cs="Arial"/>
          <w:sz w:val="24"/>
          <w:szCs w:val="24"/>
        </w:rPr>
        <w:t>º</w:t>
      </w:r>
      <w:r w:rsidR="00246084">
        <w:rPr>
          <w:rFonts w:ascii="Arial" w:hAnsi="Arial" w:cs="Arial"/>
          <w:sz w:val="24"/>
          <w:szCs w:val="24"/>
        </w:rPr>
        <w:t xml:space="preserve"> O</w:t>
      </w:r>
      <w:r w:rsidR="00B67C48" w:rsidRPr="00833AAD">
        <w:rPr>
          <w:rFonts w:ascii="Arial" w:hAnsi="Arial" w:cs="Arial"/>
          <w:sz w:val="24"/>
          <w:szCs w:val="24"/>
        </w:rPr>
        <w:t xml:space="preserve"> representante legal d</w:t>
      </w:r>
      <w:r w:rsidR="00C16313">
        <w:rPr>
          <w:rFonts w:ascii="Arial" w:hAnsi="Arial" w:cs="Arial"/>
          <w:sz w:val="24"/>
          <w:szCs w:val="24"/>
        </w:rPr>
        <w:t>a</w:t>
      </w:r>
      <w:r w:rsidR="00B67C48" w:rsidRPr="00833AAD">
        <w:rPr>
          <w:rFonts w:ascii="Arial" w:hAnsi="Arial" w:cs="Arial"/>
          <w:sz w:val="24"/>
          <w:szCs w:val="24"/>
        </w:rPr>
        <w:t xml:space="preserve"> entidade</w:t>
      </w:r>
      <w:r w:rsidR="00DF31B4">
        <w:rPr>
          <w:rFonts w:ascii="Arial" w:hAnsi="Arial" w:cs="Arial"/>
          <w:sz w:val="24"/>
          <w:szCs w:val="24"/>
        </w:rPr>
        <w:t xml:space="preserve"> </w:t>
      </w:r>
      <w:r w:rsidR="00B67C48" w:rsidRPr="00833AAD">
        <w:rPr>
          <w:rFonts w:ascii="Arial" w:hAnsi="Arial" w:cs="Arial"/>
          <w:sz w:val="24"/>
          <w:szCs w:val="24"/>
        </w:rPr>
        <w:t>deverá</w:t>
      </w:r>
      <w:r w:rsidR="00FE39D9" w:rsidRPr="00833AAD">
        <w:rPr>
          <w:rFonts w:ascii="Arial" w:hAnsi="Arial" w:cs="Arial"/>
          <w:sz w:val="24"/>
          <w:szCs w:val="24"/>
        </w:rPr>
        <w:t xml:space="preserve"> validar os dados</w:t>
      </w:r>
      <w:r w:rsidR="00DF31B4">
        <w:rPr>
          <w:rFonts w:ascii="Arial" w:hAnsi="Arial" w:cs="Arial"/>
          <w:sz w:val="24"/>
          <w:szCs w:val="24"/>
        </w:rPr>
        <w:t>,</w:t>
      </w:r>
      <w:r w:rsidR="00B67C48" w:rsidRPr="00833AAD">
        <w:rPr>
          <w:rFonts w:ascii="Arial" w:hAnsi="Arial" w:cs="Arial"/>
          <w:sz w:val="24"/>
          <w:szCs w:val="24"/>
        </w:rPr>
        <w:t xml:space="preserve"> </w:t>
      </w:r>
      <w:r w:rsidR="00DF31B4">
        <w:rPr>
          <w:rFonts w:ascii="Arial" w:hAnsi="Arial" w:cs="Arial"/>
          <w:sz w:val="24"/>
          <w:szCs w:val="24"/>
        </w:rPr>
        <w:t xml:space="preserve">constantes de cada remessa, </w:t>
      </w:r>
      <w:r w:rsidR="00B67C48" w:rsidRPr="00833AAD">
        <w:rPr>
          <w:rFonts w:ascii="Arial" w:hAnsi="Arial" w:cs="Arial"/>
          <w:sz w:val="24"/>
          <w:szCs w:val="24"/>
        </w:rPr>
        <w:t>mediante confirmação da senha de acesso</w:t>
      </w:r>
      <w:r w:rsidR="00FE39D9" w:rsidRPr="00833AAD">
        <w:rPr>
          <w:rFonts w:ascii="Arial" w:hAnsi="Arial" w:cs="Arial"/>
          <w:sz w:val="24"/>
          <w:szCs w:val="24"/>
        </w:rPr>
        <w:t>.</w:t>
      </w:r>
    </w:p>
    <w:p w14:paraId="293B0535" w14:textId="77777777" w:rsidR="00D11F5C" w:rsidRPr="00614484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4484">
        <w:rPr>
          <w:rFonts w:ascii="Arial" w:hAnsi="Arial" w:cs="Arial"/>
          <w:sz w:val="24"/>
          <w:szCs w:val="24"/>
        </w:rPr>
        <w:t xml:space="preserve">§ </w:t>
      </w:r>
      <w:r w:rsidR="00753605" w:rsidRPr="00614484">
        <w:rPr>
          <w:rFonts w:ascii="Arial" w:hAnsi="Arial" w:cs="Arial"/>
          <w:sz w:val="24"/>
          <w:szCs w:val="24"/>
        </w:rPr>
        <w:t>3</w:t>
      </w:r>
      <w:r w:rsidRPr="00614484">
        <w:rPr>
          <w:rFonts w:ascii="Arial" w:hAnsi="Arial" w:cs="Arial"/>
          <w:sz w:val="24"/>
          <w:szCs w:val="24"/>
        </w:rPr>
        <w:t xml:space="preserve">º O recebimento definitivo de cada remessa </w:t>
      </w:r>
      <w:r w:rsidR="00753605" w:rsidRPr="00614484">
        <w:rPr>
          <w:rFonts w:ascii="Arial" w:hAnsi="Arial" w:cs="Arial"/>
          <w:sz w:val="24"/>
          <w:szCs w:val="24"/>
        </w:rPr>
        <w:t>de dados</w:t>
      </w:r>
      <w:r w:rsidRPr="00614484">
        <w:rPr>
          <w:rFonts w:ascii="Arial" w:hAnsi="Arial" w:cs="Arial"/>
          <w:sz w:val="24"/>
          <w:szCs w:val="24"/>
        </w:rPr>
        <w:t xml:space="preserve"> deverá passar na validação efetuada pelas regras internas de consistência do </w:t>
      </w:r>
      <w:r w:rsidR="00753605" w:rsidRPr="00614484">
        <w:rPr>
          <w:rFonts w:ascii="Arial" w:hAnsi="Arial" w:cs="Arial"/>
          <w:sz w:val="24"/>
          <w:szCs w:val="24"/>
        </w:rPr>
        <w:t>SEI-CED</w:t>
      </w:r>
      <w:r w:rsidRPr="00614484">
        <w:rPr>
          <w:rFonts w:ascii="Arial" w:hAnsi="Arial" w:cs="Arial"/>
          <w:sz w:val="24"/>
          <w:szCs w:val="24"/>
        </w:rPr>
        <w:t xml:space="preserve">. </w:t>
      </w:r>
    </w:p>
    <w:p w14:paraId="58439DBD" w14:textId="77777777" w:rsidR="00D11F5C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4484">
        <w:rPr>
          <w:rFonts w:ascii="Arial" w:hAnsi="Arial" w:cs="Arial"/>
          <w:sz w:val="24"/>
          <w:szCs w:val="24"/>
        </w:rPr>
        <w:t xml:space="preserve">§ </w:t>
      </w:r>
      <w:r w:rsidR="00753605" w:rsidRPr="00614484">
        <w:rPr>
          <w:rFonts w:ascii="Arial" w:hAnsi="Arial" w:cs="Arial"/>
          <w:sz w:val="24"/>
          <w:szCs w:val="24"/>
        </w:rPr>
        <w:t>4</w:t>
      </w:r>
      <w:r w:rsidRPr="00614484">
        <w:rPr>
          <w:rFonts w:ascii="Arial" w:hAnsi="Arial" w:cs="Arial"/>
          <w:sz w:val="24"/>
          <w:szCs w:val="24"/>
        </w:rPr>
        <w:t xml:space="preserve">º O processamento dos testes de consistência pelo </w:t>
      </w:r>
      <w:r w:rsidR="00753605" w:rsidRPr="00614484">
        <w:rPr>
          <w:rFonts w:ascii="Arial" w:hAnsi="Arial" w:cs="Arial"/>
          <w:sz w:val="24"/>
          <w:szCs w:val="24"/>
        </w:rPr>
        <w:t>SEI-CED</w:t>
      </w:r>
      <w:r w:rsidRPr="00614484">
        <w:rPr>
          <w:rFonts w:ascii="Arial" w:hAnsi="Arial" w:cs="Arial"/>
          <w:sz w:val="24"/>
          <w:szCs w:val="24"/>
        </w:rPr>
        <w:t>, para validação e confirmação da recepção com sucesso de cada remessa, será efetivado de acordo com a ordem de fecham</w:t>
      </w:r>
      <w:r w:rsidR="00614484" w:rsidRPr="00614484">
        <w:rPr>
          <w:rFonts w:ascii="Arial" w:hAnsi="Arial" w:cs="Arial"/>
          <w:sz w:val="24"/>
          <w:szCs w:val="24"/>
        </w:rPr>
        <w:t>ento do arquivo no Sistema</w:t>
      </w:r>
      <w:r w:rsidRPr="00614484">
        <w:rPr>
          <w:rFonts w:ascii="Arial" w:hAnsi="Arial" w:cs="Arial"/>
          <w:sz w:val="24"/>
          <w:szCs w:val="24"/>
        </w:rPr>
        <w:t>.</w:t>
      </w:r>
    </w:p>
    <w:p w14:paraId="77E730A2" w14:textId="77777777" w:rsidR="008A1D7F" w:rsidRPr="00614484" w:rsidRDefault="008A1D7F" w:rsidP="008A1D7F">
      <w:pPr>
        <w:pStyle w:val="ArtigosOrdinais"/>
        <w:ind w:firstLine="1134"/>
        <w:rPr>
          <w:rFonts w:cs="Arial"/>
          <w:sz w:val="24"/>
        </w:rPr>
      </w:pPr>
      <w:r w:rsidRPr="005F26C3">
        <w:rPr>
          <w:rFonts w:cs="Arial"/>
          <w:sz w:val="24"/>
        </w:rPr>
        <w:t>§ 5º</w:t>
      </w:r>
      <w:r>
        <w:rPr>
          <w:rFonts w:cs="Arial"/>
          <w:sz w:val="24"/>
        </w:rPr>
        <w:t xml:space="preserve"> Para as entidades que comprovarem registro junto à CVM, BM&amp;FBOVESPA, via requerimento por peticionamento eletrônico, será prorrogado o prazo, a que se refere o </w:t>
      </w:r>
      <w:r>
        <w:rPr>
          <w:rFonts w:cs="Arial"/>
          <w:i/>
          <w:sz w:val="24"/>
        </w:rPr>
        <w:t xml:space="preserve">caput </w:t>
      </w:r>
      <w:r>
        <w:rPr>
          <w:rFonts w:cs="Arial"/>
          <w:sz w:val="24"/>
        </w:rPr>
        <w:t xml:space="preserve">deste artigo, sendo que o fechamento da remessa do 1º quadrimestre passará a ser até o último dia útil de agosto, do 2º quadrimestre passará a ser até o último dia útil de novembro e do 3º quadrimestre passará a ser até o último dia útil de abril. </w:t>
      </w:r>
      <w:r>
        <w:rPr>
          <w:rFonts w:cs="Arial"/>
          <w:bCs w:val="0"/>
          <w:sz w:val="24"/>
        </w:rPr>
        <w:t>(</w:t>
      </w:r>
      <w:r>
        <w:rPr>
          <w:rFonts w:cs="Arial"/>
          <w:bCs w:val="0"/>
          <w:color w:val="0000FF"/>
          <w:sz w:val="24"/>
        </w:rPr>
        <w:t>Incluído</w:t>
      </w:r>
      <w:r w:rsidRPr="00BC72A8">
        <w:rPr>
          <w:rFonts w:cs="Arial"/>
          <w:bCs w:val="0"/>
          <w:color w:val="0000FF"/>
          <w:sz w:val="24"/>
        </w:rPr>
        <w:t xml:space="preserve"> pela</w:t>
      </w:r>
      <w:r w:rsidRPr="00BC72A8">
        <w:rPr>
          <w:rFonts w:cs="Arial"/>
          <w:bCs w:val="0"/>
          <w:sz w:val="24"/>
        </w:rPr>
        <w:t xml:space="preserve"> </w:t>
      </w:r>
      <w:hyperlink r:id="rId11" w:history="1">
        <w:r w:rsidRPr="00BC72A8">
          <w:rPr>
            <w:rStyle w:val="Hyperlink"/>
            <w:rFonts w:cs="Arial"/>
            <w:sz w:val="24"/>
          </w:rPr>
          <w:t>Instrução Normativa n. 99</w:t>
        </w:r>
        <w:r w:rsidRPr="00BC72A8">
          <w:rPr>
            <w:rStyle w:val="Hyperlink"/>
            <w:rFonts w:cs="Arial"/>
            <w:bCs w:val="0"/>
            <w:sz w:val="24"/>
          </w:rPr>
          <w:t>/</w:t>
        </w:r>
        <w:r w:rsidRPr="00BC72A8">
          <w:rPr>
            <w:rStyle w:val="Hyperlink"/>
            <w:rFonts w:cs="Arial"/>
            <w:sz w:val="24"/>
          </w:rPr>
          <w:t>2014</w:t>
        </w:r>
      </w:hyperlink>
      <w:r w:rsidRPr="00BC72A8">
        <w:rPr>
          <w:rFonts w:cs="Arial"/>
          <w:bCs w:val="0"/>
          <w:sz w:val="24"/>
        </w:rPr>
        <w:t>)</w:t>
      </w:r>
    </w:p>
    <w:p w14:paraId="3507538C" w14:textId="77777777" w:rsidR="00D11F5C" w:rsidRPr="008E3B9A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4484">
        <w:rPr>
          <w:rFonts w:ascii="Arial" w:hAnsi="Arial" w:cs="Arial"/>
          <w:b/>
          <w:sz w:val="24"/>
          <w:szCs w:val="24"/>
        </w:rPr>
        <w:t xml:space="preserve">Art. </w:t>
      </w:r>
      <w:r w:rsidR="00CD3986">
        <w:rPr>
          <w:rFonts w:ascii="Arial" w:hAnsi="Arial" w:cs="Arial"/>
          <w:b/>
          <w:sz w:val="24"/>
          <w:szCs w:val="24"/>
        </w:rPr>
        <w:t>9</w:t>
      </w:r>
      <w:r w:rsidRPr="00614484">
        <w:rPr>
          <w:rFonts w:ascii="Arial" w:hAnsi="Arial" w:cs="Arial"/>
          <w:b/>
          <w:sz w:val="24"/>
          <w:szCs w:val="24"/>
        </w:rPr>
        <w:t>º</w:t>
      </w:r>
      <w:r w:rsidRPr="00614484">
        <w:rPr>
          <w:rFonts w:ascii="Arial" w:hAnsi="Arial" w:cs="Arial"/>
          <w:sz w:val="24"/>
          <w:szCs w:val="24"/>
        </w:rPr>
        <w:t xml:space="preserve"> O sistema permitirá à entidade efetuar exclusões e correções de dados carregados ao </w:t>
      </w:r>
      <w:r w:rsidR="00753605" w:rsidRPr="00614484">
        <w:rPr>
          <w:rFonts w:ascii="Arial" w:hAnsi="Arial" w:cs="Arial"/>
          <w:sz w:val="24"/>
          <w:szCs w:val="24"/>
        </w:rPr>
        <w:t>SEI-CED</w:t>
      </w:r>
      <w:r w:rsidRPr="00614484">
        <w:rPr>
          <w:rFonts w:ascii="Arial" w:hAnsi="Arial" w:cs="Arial"/>
          <w:sz w:val="24"/>
          <w:szCs w:val="24"/>
        </w:rPr>
        <w:t xml:space="preserve"> unicamente enquanto não efetivado o fechamento da </w:t>
      </w:r>
      <w:r w:rsidRPr="008E3B9A">
        <w:rPr>
          <w:rFonts w:ascii="Arial" w:hAnsi="Arial" w:cs="Arial"/>
          <w:sz w:val="24"/>
          <w:szCs w:val="24"/>
        </w:rPr>
        <w:t>respectiva remessa e antes do aviso de recebimento com sucesso.</w:t>
      </w:r>
    </w:p>
    <w:p w14:paraId="751CED4F" w14:textId="77777777" w:rsidR="00D11F5C" w:rsidRPr="008E3B9A" w:rsidRDefault="00753605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3B9A">
        <w:rPr>
          <w:rFonts w:ascii="Arial" w:hAnsi="Arial" w:cs="Arial"/>
          <w:sz w:val="24"/>
          <w:szCs w:val="24"/>
        </w:rPr>
        <w:t>§ 1º</w:t>
      </w:r>
      <w:r w:rsidR="008E3B9A" w:rsidRPr="008E3B9A">
        <w:rPr>
          <w:rFonts w:ascii="Arial" w:hAnsi="Arial" w:cs="Arial"/>
          <w:sz w:val="24"/>
          <w:szCs w:val="24"/>
        </w:rPr>
        <w:t xml:space="preserve"> A solicitação de</w:t>
      </w:r>
      <w:r w:rsidR="00D11F5C" w:rsidRPr="008E3B9A">
        <w:rPr>
          <w:rFonts w:ascii="Arial" w:hAnsi="Arial" w:cs="Arial"/>
          <w:sz w:val="24"/>
          <w:szCs w:val="24"/>
        </w:rPr>
        <w:t xml:space="preserve"> exclusão do arquivo para correção e novo fechamento somente será possível quanto à última remessa ao </w:t>
      </w:r>
      <w:r w:rsidRPr="008E3B9A">
        <w:rPr>
          <w:rFonts w:ascii="Arial" w:hAnsi="Arial" w:cs="Arial"/>
          <w:sz w:val="24"/>
          <w:szCs w:val="24"/>
        </w:rPr>
        <w:t>SEI-CED</w:t>
      </w:r>
      <w:r w:rsidR="00D11F5C" w:rsidRPr="008E3B9A">
        <w:rPr>
          <w:rFonts w:ascii="Arial" w:hAnsi="Arial" w:cs="Arial"/>
          <w:sz w:val="24"/>
          <w:szCs w:val="24"/>
        </w:rPr>
        <w:t xml:space="preserve"> e enquanto aqueles dados ainda não tiverem sido objeto de qualquer procedimento de análise por parte do Tribunal.</w:t>
      </w:r>
    </w:p>
    <w:p w14:paraId="71C8EC87" w14:textId="77777777" w:rsidR="00D11F5C" w:rsidRPr="008E3B9A" w:rsidRDefault="00753605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3B9A">
        <w:rPr>
          <w:rFonts w:ascii="Arial" w:hAnsi="Arial" w:cs="Arial"/>
          <w:sz w:val="24"/>
          <w:szCs w:val="24"/>
        </w:rPr>
        <w:t xml:space="preserve">§ 2º </w:t>
      </w:r>
      <w:r w:rsidR="00D11F5C" w:rsidRPr="008E3B9A">
        <w:rPr>
          <w:rFonts w:ascii="Arial" w:hAnsi="Arial" w:cs="Arial"/>
          <w:sz w:val="24"/>
          <w:szCs w:val="24"/>
        </w:rPr>
        <w:t>Não serão acatados pedidos de reenvio de fechamento quando as alterações se referirem exclusivamente a eventos contábeis, hipótese em que as retificações deverão ocorrer pelos mecanismos técnicos admitidos, na forma de lançamentos de ajuste, estorno, cancelamento ou anulação, conforme o caso.</w:t>
      </w:r>
    </w:p>
    <w:p w14:paraId="4426E88F" w14:textId="77777777" w:rsidR="007165ED" w:rsidRDefault="006B14EF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3B9A">
        <w:rPr>
          <w:rFonts w:ascii="Arial" w:hAnsi="Arial" w:cs="Arial"/>
          <w:b/>
          <w:sz w:val="24"/>
          <w:szCs w:val="24"/>
        </w:rPr>
        <w:t xml:space="preserve">Art. </w:t>
      </w:r>
      <w:r w:rsidR="00CD3986">
        <w:rPr>
          <w:rFonts w:ascii="Arial" w:hAnsi="Arial" w:cs="Arial"/>
          <w:b/>
          <w:sz w:val="24"/>
          <w:szCs w:val="24"/>
        </w:rPr>
        <w:t>10.</w:t>
      </w:r>
      <w:r w:rsidRPr="008E3B9A">
        <w:rPr>
          <w:rFonts w:ascii="Arial" w:hAnsi="Arial" w:cs="Arial"/>
          <w:sz w:val="24"/>
          <w:szCs w:val="24"/>
        </w:rPr>
        <w:t xml:space="preserve"> Os pedidos, devidamente motivados pelo interessado, de exclusões e correções, após a emissão de ato instrutivo, serão processados por requerimento e apreciados pelo Presidente, após a manifestação da unidade técnica competente, nos termos do art. 525-C, do Regimento Interno</w:t>
      </w:r>
      <w:r w:rsidR="00350641" w:rsidRPr="008E3B9A">
        <w:rPr>
          <w:rFonts w:ascii="Arial" w:hAnsi="Arial" w:cs="Arial"/>
          <w:sz w:val="24"/>
          <w:szCs w:val="24"/>
        </w:rPr>
        <w:t>.</w:t>
      </w:r>
    </w:p>
    <w:p w14:paraId="3382D387" w14:textId="77777777" w:rsidR="00EA2CF6" w:rsidRDefault="00EA2CF6" w:rsidP="00EA2CF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1B3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. </w:t>
      </w:r>
      <w:r w:rsidRPr="00F12656">
        <w:rPr>
          <w:rFonts w:ascii="Arial" w:hAnsi="Arial" w:cs="Arial"/>
          <w:strike/>
          <w:sz w:val="24"/>
          <w:szCs w:val="24"/>
        </w:rPr>
        <w:t>A primeira remessa de dados eletrônicos ao SEI-CED, relativa aos módulos especificados no § 2º do art. 2º desta Instrução, referentes ao primeiro e segundo quadrimestres de 2014, deverá ser efetuada até 30 de setembro do mesmo exercício.</w:t>
      </w:r>
    </w:p>
    <w:p w14:paraId="3CF99E5C" w14:textId="77777777" w:rsidR="00EA2CF6" w:rsidRPr="00BC72A8" w:rsidRDefault="00EA2CF6" w:rsidP="00EA2CF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1B3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. </w:t>
      </w:r>
      <w:r w:rsidRPr="00870893">
        <w:rPr>
          <w:rFonts w:ascii="Arial" w:hAnsi="Arial" w:cs="Arial"/>
          <w:sz w:val="24"/>
          <w:szCs w:val="24"/>
        </w:rPr>
        <w:t xml:space="preserve">As primeiras remessas de dados eletrônicos ao SEI-CED, relativas aos módulos especificados no § 2º do art. 2º desta Instrução, </w:t>
      </w:r>
      <w:r w:rsidRPr="00870893">
        <w:rPr>
          <w:rFonts w:ascii="Arial" w:hAnsi="Arial" w:cs="Arial"/>
          <w:sz w:val="24"/>
          <w:szCs w:val="24"/>
        </w:rPr>
        <w:lastRenderedPageBreak/>
        <w:t>referentes ao primeiro e segundo quadrimestres de 2014: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BC72A8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Pr="00BC72A8">
        <w:rPr>
          <w:rFonts w:ascii="Arial" w:hAnsi="Arial" w:cs="Arial"/>
          <w:bCs/>
          <w:sz w:val="24"/>
          <w:szCs w:val="24"/>
        </w:rPr>
        <w:t xml:space="preserve"> </w:t>
      </w:r>
      <w:hyperlink r:id="rId12" w:history="1">
        <w:r w:rsidRPr="00BC72A8">
          <w:rPr>
            <w:rStyle w:val="Hyperlink"/>
            <w:rFonts w:cs="Arial"/>
            <w:bCs/>
            <w:sz w:val="24"/>
            <w:szCs w:val="24"/>
          </w:rPr>
          <w:t>Instrução Normativa n. 99/2014</w:t>
        </w:r>
      </w:hyperlink>
      <w:r w:rsidRPr="00BC72A8">
        <w:rPr>
          <w:rFonts w:ascii="Arial" w:hAnsi="Arial" w:cs="Arial"/>
          <w:bCs/>
          <w:sz w:val="24"/>
          <w:szCs w:val="24"/>
        </w:rPr>
        <w:t>)</w:t>
      </w:r>
    </w:p>
    <w:p w14:paraId="4F3D11BA" w14:textId="77777777" w:rsidR="00EA2CF6" w:rsidRPr="00BC72A8" w:rsidRDefault="00EA2CF6" w:rsidP="00EA2CF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0893">
        <w:rPr>
          <w:rFonts w:ascii="Arial" w:hAnsi="Arial" w:cs="Arial"/>
          <w:sz w:val="24"/>
          <w:szCs w:val="24"/>
        </w:rPr>
        <w:t>I – deverão ser efetuadas até 30 de novembro do mesmo exercício, para as entidades excetuadas no art. 8º, § 5º;</w:t>
      </w:r>
      <w:r w:rsidRPr="00F126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color w:val="0000FF"/>
          <w:sz w:val="24"/>
          <w:szCs w:val="24"/>
        </w:rPr>
        <w:t>Incluído</w:t>
      </w:r>
      <w:r w:rsidRPr="00BC72A8">
        <w:rPr>
          <w:rFonts w:ascii="Arial" w:hAnsi="Arial" w:cs="Arial"/>
          <w:bCs/>
          <w:color w:val="0000FF"/>
          <w:sz w:val="24"/>
          <w:szCs w:val="24"/>
        </w:rPr>
        <w:t xml:space="preserve"> pela</w:t>
      </w:r>
      <w:r w:rsidRPr="00BC72A8">
        <w:rPr>
          <w:rFonts w:ascii="Arial" w:hAnsi="Arial" w:cs="Arial"/>
          <w:bCs/>
          <w:sz w:val="24"/>
          <w:szCs w:val="24"/>
        </w:rPr>
        <w:t xml:space="preserve"> </w:t>
      </w:r>
      <w:hyperlink r:id="rId13" w:history="1">
        <w:r w:rsidRPr="00BC72A8">
          <w:rPr>
            <w:rStyle w:val="Hyperlink"/>
            <w:rFonts w:cs="Arial"/>
            <w:bCs/>
            <w:sz w:val="24"/>
            <w:szCs w:val="24"/>
          </w:rPr>
          <w:t>Instrução Normativa n. 99/2014</w:t>
        </w:r>
      </w:hyperlink>
      <w:r w:rsidRPr="00BC72A8">
        <w:rPr>
          <w:rFonts w:ascii="Arial" w:hAnsi="Arial" w:cs="Arial"/>
          <w:bCs/>
          <w:sz w:val="24"/>
          <w:szCs w:val="24"/>
        </w:rPr>
        <w:t>)</w:t>
      </w:r>
    </w:p>
    <w:p w14:paraId="74DDF265" w14:textId="77777777" w:rsidR="00EA2CF6" w:rsidRPr="00BC72A8" w:rsidRDefault="00EA2CF6" w:rsidP="00EA2CF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0893">
        <w:rPr>
          <w:rFonts w:ascii="Arial" w:hAnsi="Arial" w:cs="Arial"/>
          <w:sz w:val="24"/>
          <w:szCs w:val="24"/>
        </w:rPr>
        <w:t>II –</w:t>
      </w:r>
      <w:r w:rsidRPr="00870893">
        <w:rPr>
          <w:rFonts w:ascii="Arial" w:hAnsi="Arial" w:cs="Arial"/>
          <w:b/>
          <w:sz w:val="24"/>
          <w:szCs w:val="24"/>
        </w:rPr>
        <w:t xml:space="preserve"> </w:t>
      </w:r>
      <w:r w:rsidRPr="00870893">
        <w:rPr>
          <w:rFonts w:ascii="Arial" w:hAnsi="Arial" w:cs="Arial"/>
          <w:sz w:val="24"/>
          <w:szCs w:val="24"/>
        </w:rPr>
        <w:t>para as demais entidades, deverão ser efetuadas até 30 de setembro do mesmo exercício.</w:t>
      </w:r>
      <w:r w:rsidRPr="0043086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color w:val="0000FF"/>
          <w:sz w:val="24"/>
          <w:szCs w:val="24"/>
        </w:rPr>
        <w:t>Incluído</w:t>
      </w:r>
      <w:r w:rsidRPr="00BC72A8">
        <w:rPr>
          <w:rFonts w:ascii="Arial" w:hAnsi="Arial" w:cs="Arial"/>
          <w:bCs/>
          <w:color w:val="0000FF"/>
          <w:sz w:val="24"/>
          <w:szCs w:val="24"/>
        </w:rPr>
        <w:t xml:space="preserve"> pela</w:t>
      </w:r>
      <w:r w:rsidRPr="00BC72A8">
        <w:rPr>
          <w:rFonts w:ascii="Arial" w:hAnsi="Arial" w:cs="Arial"/>
          <w:bCs/>
          <w:sz w:val="24"/>
          <w:szCs w:val="24"/>
        </w:rPr>
        <w:t xml:space="preserve"> </w:t>
      </w:r>
      <w:hyperlink r:id="rId14" w:history="1">
        <w:r w:rsidRPr="00BC72A8">
          <w:rPr>
            <w:rStyle w:val="Hyperlink"/>
            <w:rFonts w:cs="Arial"/>
            <w:bCs/>
            <w:sz w:val="24"/>
            <w:szCs w:val="24"/>
          </w:rPr>
          <w:t>Instrução Normativa n. 99/2014</w:t>
        </w:r>
      </w:hyperlink>
      <w:r w:rsidRPr="00BC72A8">
        <w:rPr>
          <w:rFonts w:ascii="Arial" w:hAnsi="Arial" w:cs="Arial"/>
          <w:bCs/>
          <w:sz w:val="24"/>
          <w:szCs w:val="24"/>
        </w:rPr>
        <w:t>)</w:t>
      </w:r>
    </w:p>
    <w:p w14:paraId="40DF49FB" w14:textId="77777777" w:rsidR="004B7FDD" w:rsidRDefault="004B7FDD" w:rsidP="00EA2CF6">
      <w:pPr>
        <w:keepNext/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V</w:t>
      </w:r>
    </w:p>
    <w:p w14:paraId="5125EE03" w14:textId="77777777" w:rsidR="004B7FDD" w:rsidRDefault="004B7FDD" w:rsidP="00D005C4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SANÇÕES</w:t>
      </w:r>
    </w:p>
    <w:p w14:paraId="30C28208" w14:textId="77777777" w:rsidR="00045A0E" w:rsidRDefault="004B7FDD" w:rsidP="00D005C4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12. </w:t>
      </w:r>
      <w:r>
        <w:rPr>
          <w:rFonts w:ascii="Arial" w:hAnsi="Arial" w:cs="Arial"/>
          <w:sz w:val="24"/>
          <w:szCs w:val="24"/>
        </w:rPr>
        <w:t>O não cumprimento desta Instrução Normativa pel</w:t>
      </w:r>
      <w:r w:rsidR="00C1631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entidades</w:t>
      </w:r>
      <w:r w:rsidR="002A1CF6">
        <w:rPr>
          <w:rFonts w:ascii="Arial" w:hAnsi="Arial" w:cs="Arial"/>
          <w:sz w:val="24"/>
          <w:szCs w:val="24"/>
        </w:rPr>
        <w:t xml:space="preserve"> sujeita</w:t>
      </w:r>
      <w:r>
        <w:rPr>
          <w:rFonts w:ascii="Arial" w:hAnsi="Arial" w:cs="Arial"/>
          <w:sz w:val="24"/>
          <w:szCs w:val="24"/>
        </w:rPr>
        <w:t xml:space="preserve"> seus representantes legais à aplicação de multa e </w:t>
      </w:r>
      <w:r w:rsidRPr="00340FFD">
        <w:rPr>
          <w:rFonts w:ascii="Arial" w:hAnsi="Arial" w:cs="Arial"/>
          <w:sz w:val="24"/>
          <w:szCs w:val="24"/>
        </w:rPr>
        <w:t xml:space="preserve">impossibilita a </w:t>
      </w:r>
      <w:r>
        <w:rPr>
          <w:rFonts w:ascii="Arial" w:hAnsi="Arial" w:cs="Arial"/>
          <w:sz w:val="24"/>
          <w:szCs w:val="24"/>
        </w:rPr>
        <w:t>obtenção</w:t>
      </w:r>
      <w:r w:rsidRPr="00340FFD">
        <w:rPr>
          <w:rFonts w:ascii="Arial" w:hAnsi="Arial" w:cs="Arial"/>
          <w:sz w:val="24"/>
          <w:szCs w:val="24"/>
        </w:rPr>
        <w:t xml:space="preserve"> de certidões liberatórias, conforme previsto na Lei Complementar nº 113/2005, </w:t>
      </w:r>
      <w:r>
        <w:rPr>
          <w:rFonts w:ascii="Arial" w:hAnsi="Arial" w:cs="Arial"/>
          <w:sz w:val="24"/>
          <w:szCs w:val="24"/>
        </w:rPr>
        <w:t xml:space="preserve">Título II, Capítulo IV, </w:t>
      </w:r>
      <w:r w:rsidR="008920AF">
        <w:rPr>
          <w:rFonts w:ascii="Arial" w:hAnsi="Arial" w:cs="Arial"/>
          <w:sz w:val="24"/>
          <w:szCs w:val="24"/>
        </w:rPr>
        <w:t xml:space="preserve">Seção I, podendo acarretar ainda </w:t>
      </w:r>
      <w:r>
        <w:rPr>
          <w:rFonts w:ascii="Arial" w:hAnsi="Arial" w:cs="Arial"/>
          <w:sz w:val="24"/>
          <w:szCs w:val="24"/>
        </w:rPr>
        <w:t xml:space="preserve">a </w:t>
      </w:r>
      <w:r w:rsidRPr="00340FFD">
        <w:rPr>
          <w:rFonts w:ascii="Arial" w:hAnsi="Arial" w:cs="Arial"/>
          <w:sz w:val="24"/>
          <w:szCs w:val="24"/>
        </w:rPr>
        <w:t>não regular</w:t>
      </w:r>
      <w:r>
        <w:rPr>
          <w:rFonts w:ascii="Arial" w:hAnsi="Arial" w:cs="Arial"/>
          <w:sz w:val="24"/>
          <w:szCs w:val="24"/>
        </w:rPr>
        <w:t>idade da</w:t>
      </w:r>
      <w:r w:rsidRPr="00340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Prestação de </w:t>
      </w:r>
      <w:r w:rsidRPr="006F35A6">
        <w:rPr>
          <w:rFonts w:ascii="Arial" w:hAnsi="Arial" w:cs="Arial"/>
          <w:sz w:val="24"/>
          <w:szCs w:val="24"/>
        </w:rPr>
        <w:t>Contas Anual.</w:t>
      </w:r>
    </w:p>
    <w:p w14:paraId="444327F3" w14:textId="77777777" w:rsidR="009A7213" w:rsidRPr="00045A0E" w:rsidRDefault="0022103E" w:rsidP="006045F8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</w:t>
      </w:r>
      <w:r w:rsidR="009649ED">
        <w:rPr>
          <w:rFonts w:ascii="Arial" w:hAnsi="Arial" w:cs="Arial"/>
          <w:b/>
          <w:sz w:val="24"/>
          <w:szCs w:val="24"/>
        </w:rPr>
        <w:t xml:space="preserve"> V</w:t>
      </w:r>
      <w:r w:rsidR="003C7337">
        <w:rPr>
          <w:rFonts w:ascii="Arial" w:hAnsi="Arial" w:cs="Arial"/>
          <w:b/>
          <w:sz w:val="24"/>
          <w:szCs w:val="24"/>
        </w:rPr>
        <w:t>I</w:t>
      </w:r>
    </w:p>
    <w:p w14:paraId="5F606347" w14:textId="77777777" w:rsidR="009A7213" w:rsidRDefault="009A7213" w:rsidP="00D005C4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 FINAIS</w:t>
      </w:r>
    </w:p>
    <w:p w14:paraId="588196B4" w14:textId="77777777" w:rsidR="001703C7" w:rsidRDefault="001703C7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1886">
        <w:rPr>
          <w:rFonts w:ascii="Arial" w:hAnsi="Arial" w:cs="Arial"/>
          <w:b/>
          <w:sz w:val="24"/>
          <w:szCs w:val="24"/>
        </w:rPr>
        <w:t xml:space="preserve">Art. </w:t>
      </w:r>
      <w:r w:rsidR="00F41886">
        <w:rPr>
          <w:rFonts w:ascii="Arial" w:hAnsi="Arial" w:cs="Arial"/>
          <w:b/>
          <w:sz w:val="24"/>
          <w:szCs w:val="24"/>
        </w:rPr>
        <w:t>1</w:t>
      </w:r>
      <w:r w:rsidR="004005F1">
        <w:rPr>
          <w:rFonts w:ascii="Arial" w:hAnsi="Arial" w:cs="Arial"/>
          <w:b/>
          <w:sz w:val="24"/>
          <w:szCs w:val="24"/>
        </w:rPr>
        <w:t>3</w:t>
      </w:r>
      <w:r w:rsidR="00F41886">
        <w:rPr>
          <w:rFonts w:ascii="Arial" w:hAnsi="Arial" w:cs="Arial"/>
          <w:b/>
          <w:sz w:val="24"/>
          <w:szCs w:val="24"/>
        </w:rPr>
        <w:t>.</w:t>
      </w:r>
      <w:r w:rsidRPr="006F35A6">
        <w:rPr>
          <w:rFonts w:ascii="Arial" w:hAnsi="Arial" w:cs="Arial"/>
          <w:sz w:val="24"/>
          <w:szCs w:val="24"/>
        </w:rPr>
        <w:t xml:space="preserve"> A visualização</w:t>
      </w:r>
      <w:r>
        <w:rPr>
          <w:rFonts w:ascii="Arial" w:hAnsi="Arial" w:cs="Arial"/>
          <w:sz w:val="24"/>
          <w:szCs w:val="24"/>
        </w:rPr>
        <w:t xml:space="preserve"> e/ou </w:t>
      </w:r>
      <w:r w:rsidRPr="009673C8">
        <w:rPr>
          <w:rFonts w:ascii="Arial" w:hAnsi="Arial" w:cs="Arial"/>
          <w:sz w:val="24"/>
          <w:szCs w:val="24"/>
        </w:rPr>
        <w:t>obtenção dos registros não</w:t>
      </w:r>
      <w:r>
        <w:rPr>
          <w:rFonts w:ascii="Arial" w:hAnsi="Arial" w:cs="Arial"/>
          <w:sz w:val="24"/>
          <w:szCs w:val="24"/>
        </w:rPr>
        <w:t xml:space="preserve"> constitui atestado de regularidade das formalidades, da exatidão e fidedignidade dos dados, apenas oferece</w:t>
      </w:r>
      <w:r w:rsidR="00DF1F80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integridade </w:t>
      </w:r>
      <w:r w:rsidRPr="009673C8">
        <w:rPr>
          <w:rFonts w:ascii="Arial" w:hAnsi="Arial" w:cs="Arial"/>
          <w:sz w:val="24"/>
          <w:szCs w:val="24"/>
        </w:rPr>
        <w:t>dos módulos que foram</w:t>
      </w:r>
      <w:r>
        <w:rPr>
          <w:rFonts w:ascii="Arial" w:hAnsi="Arial" w:cs="Arial"/>
          <w:sz w:val="24"/>
          <w:szCs w:val="24"/>
        </w:rPr>
        <w:t xml:space="preserve"> encaminhados</w:t>
      </w:r>
      <w:r w:rsidR="00FF47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7F5725" w14:textId="77777777" w:rsidR="00083F41" w:rsidRDefault="00083F41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1886">
        <w:rPr>
          <w:rFonts w:ascii="Arial" w:hAnsi="Arial" w:cs="Arial"/>
          <w:b/>
          <w:sz w:val="24"/>
          <w:szCs w:val="24"/>
        </w:rPr>
        <w:t xml:space="preserve">Art. </w:t>
      </w:r>
      <w:r w:rsidR="00F41886">
        <w:rPr>
          <w:rFonts w:ascii="Arial" w:hAnsi="Arial" w:cs="Arial"/>
          <w:b/>
          <w:sz w:val="24"/>
          <w:szCs w:val="24"/>
        </w:rPr>
        <w:t>1</w:t>
      </w:r>
      <w:r w:rsidR="004005F1">
        <w:rPr>
          <w:rFonts w:ascii="Arial" w:hAnsi="Arial" w:cs="Arial"/>
          <w:b/>
          <w:sz w:val="24"/>
          <w:szCs w:val="24"/>
        </w:rPr>
        <w:t>4</w:t>
      </w:r>
      <w:r w:rsidR="00F41886">
        <w:rPr>
          <w:rFonts w:ascii="Arial" w:hAnsi="Arial" w:cs="Arial"/>
          <w:b/>
          <w:sz w:val="24"/>
          <w:szCs w:val="24"/>
        </w:rPr>
        <w:t>.</w:t>
      </w:r>
      <w:r w:rsidRPr="001703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presente Instrução Normativa entra em vigor na data de sua publicação.</w:t>
      </w:r>
    </w:p>
    <w:p w14:paraId="763F2BE3" w14:textId="77777777" w:rsidR="00083F41" w:rsidRDefault="00083F41" w:rsidP="006045F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8390A2" w14:textId="77777777" w:rsidR="009A7213" w:rsidRDefault="002D69FB" w:rsidP="00D07439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0B677F">
        <w:rPr>
          <w:rFonts w:ascii="Arial" w:hAnsi="Arial" w:cs="Arial"/>
          <w:sz w:val="24"/>
          <w:szCs w:val="24"/>
        </w:rPr>
        <w:t>Curitiba</w:t>
      </w:r>
      <w:r w:rsidR="009A7213" w:rsidRPr="000B677F">
        <w:rPr>
          <w:rFonts w:ascii="Arial" w:hAnsi="Arial" w:cs="Arial"/>
          <w:sz w:val="24"/>
          <w:szCs w:val="24"/>
        </w:rPr>
        <w:t xml:space="preserve">, </w:t>
      </w:r>
      <w:r w:rsidR="00002B8B">
        <w:rPr>
          <w:rFonts w:ascii="Arial" w:hAnsi="Arial" w:cs="Arial"/>
          <w:sz w:val="24"/>
          <w:szCs w:val="24"/>
        </w:rPr>
        <w:t>19 de dezembro de 2013.</w:t>
      </w:r>
    </w:p>
    <w:p w14:paraId="025089B9" w14:textId="77777777" w:rsidR="00177864" w:rsidRDefault="00177864" w:rsidP="00045A0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66C01CDA" w14:textId="77777777" w:rsidR="0060396E" w:rsidRDefault="0060396E" w:rsidP="00D0743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1FBC33" w14:textId="77777777" w:rsidR="009A7213" w:rsidRDefault="009A7213" w:rsidP="00045A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ARTAGÃO DE MATTOS LEÃO</w:t>
      </w:r>
    </w:p>
    <w:p w14:paraId="2383DBAD" w14:textId="77777777" w:rsidR="009A7213" w:rsidRPr="009A7213" w:rsidRDefault="009A7213" w:rsidP="00045A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9A7213" w:rsidRPr="009A7213" w:rsidSect="00A17887">
      <w:headerReference w:type="default" r:id="rId15"/>
      <w:footnotePr>
        <w:numFmt w:val="chicago"/>
      </w:footnotePr>
      <w:pgSz w:w="11906" w:h="16838"/>
      <w:pgMar w:top="1418" w:right="1701" w:bottom="1418" w:left="170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5EF1" w14:textId="77777777" w:rsidR="00FD2F7C" w:rsidRDefault="00FD2F7C" w:rsidP="001F16B9">
      <w:pPr>
        <w:spacing w:after="0" w:line="240" w:lineRule="auto"/>
      </w:pPr>
      <w:r>
        <w:separator/>
      </w:r>
    </w:p>
  </w:endnote>
  <w:endnote w:type="continuationSeparator" w:id="0">
    <w:p w14:paraId="35615A0C" w14:textId="77777777" w:rsidR="00FD2F7C" w:rsidRDefault="00FD2F7C" w:rsidP="001F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2B3A" w14:textId="77777777" w:rsidR="00FD2F7C" w:rsidRDefault="00FD2F7C" w:rsidP="001F16B9">
      <w:pPr>
        <w:spacing w:after="0" w:line="240" w:lineRule="auto"/>
      </w:pPr>
      <w:r>
        <w:separator/>
      </w:r>
    </w:p>
  </w:footnote>
  <w:footnote w:type="continuationSeparator" w:id="0">
    <w:p w14:paraId="2998DC76" w14:textId="77777777" w:rsidR="00FD2F7C" w:rsidRDefault="00FD2F7C" w:rsidP="001F16B9">
      <w:pPr>
        <w:spacing w:after="0" w:line="240" w:lineRule="auto"/>
      </w:pPr>
      <w:r>
        <w:continuationSeparator/>
      </w:r>
    </w:p>
  </w:footnote>
  <w:footnote w:id="1">
    <w:p w14:paraId="15637961" w14:textId="77777777" w:rsidR="005D5F8C" w:rsidRPr="00B90726" w:rsidRDefault="005D5F8C" w:rsidP="005D5F8C">
      <w:pPr>
        <w:pStyle w:val="Textodenotaderodap"/>
        <w:spacing w:after="0" w:line="240" w:lineRule="auto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B90726">
        <w:rPr>
          <w:rFonts w:ascii="Arial" w:hAnsi="Arial" w:cs="Arial"/>
          <w:b/>
        </w:rPr>
        <w:t>Notas da Biblioteca:</w:t>
      </w:r>
    </w:p>
    <w:bookmarkEnd w:id="0"/>
    <w:p w14:paraId="24344C8A" w14:textId="02951C9B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B90726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E82F07" w:rsidRPr="00B90726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E82F07" w:rsidRPr="00B90726">
          <w:rPr>
            <w:rStyle w:val="Hyperlink"/>
            <w:rFonts w:cs="Arial"/>
            <w:bCs/>
            <w:sz w:val="20"/>
            <w:szCs w:val="20"/>
          </w:rPr>
          <w:t>,</w:t>
        </w:r>
        <w:r w:rsidR="00E82F07" w:rsidRPr="00B90726">
          <w:rPr>
            <w:rStyle w:val="Hyperlink"/>
            <w:rFonts w:cs="Arial"/>
            <w:sz w:val="20"/>
            <w:szCs w:val="20"/>
          </w:rPr>
          <w:t xml:space="preserve"> Curitiba, PR, n. 813, 31 jan. 2014, p. 40-41</w:t>
        </w:r>
      </w:hyperlink>
      <w:r w:rsidR="00E82F07" w:rsidRPr="00B90726">
        <w:rPr>
          <w:rFonts w:ascii="Arial" w:hAnsi="Arial" w:cs="Arial"/>
          <w:sz w:val="20"/>
          <w:szCs w:val="20"/>
        </w:rPr>
        <w:t>.</w:t>
      </w:r>
    </w:p>
    <w:p w14:paraId="05691CDC" w14:textId="65B7AA67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Style w:val="Hyperlink"/>
          <w:rFonts w:cs="Arial"/>
          <w:sz w:val="20"/>
          <w:szCs w:val="20"/>
        </w:rPr>
      </w:pPr>
      <w:r w:rsidRPr="00B90726">
        <w:rPr>
          <w:rFonts w:ascii="Arial" w:hAnsi="Arial" w:cs="Arial"/>
          <w:sz w:val="20"/>
          <w:szCs w:val="20"/>
        </w:rPr>
        <w:t xml:space="preserve">Origem: </w:t>
      </w:r>
      <w:r w:rsidR="008F7349" w:rsidRPr="008F7349">
        <w:rPr>
          <w:rFonts w:ascii="Arial" w:hAnsi="Arial" w:cs="Arial"/>
          <w:sz w:val="20"/>
          <w:szCs w:val="20"/>
        </w:rPr>
        <w:t xml:space="preserve">Processo n. 85189-9/12 – </w:t>
      </w:r>
      <w:hyperlink r:id="rId2" w:history="1">
        <w:r w:rsidR="008F7349" w:rsidRPr="008F7349">
          <w:rPr>
            <w:rStyle w:val="Hyperlink"/>
            <w:rFonts w:cs="Arial"/>
            <w:sz w:val="20"/>
            <w:szCs w:val="20"/>
          </w:rPr>
          <w:t>Acórdão n. 6.676/2013 – Tribunal Pleno.</w:t>
        </w:r>
      </w:hyperlink>
    </w:p>
    <w:p w14:paraId="5CFF429B" w14:textId="77777777" w:rsidR="00B90726" w:rsidRPr="00B90726" w:rsidRDefault="00B90726" w:rsidP="00B90726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FC61BB">
        <w:rPr>
          <w:rFonts w:ascii="Arial" w:hAnsi="Arial" w:cs="Arial"/>
          <w:b/>
          <w:bCs/>
          <w:color w:val="0000FF"/>
          <w:sz w:val="20"/>
          <w:szCs w:val="20"/>
        </w:rPr>
        <w:t>Alterada</w:t>
      </w:r>
      <w:r w:rsidRPr="00B90726">
        <w:rPr>
          <w:rFonts w:ascii="Arial" w:hAnsi="Arial" w:cs="Arial"/>
          <w:b/>
          <w:bCs/>
          <w:sz w:val="20"/>
          <w:szCs w:val="20"/>
        </w:rPr>
        <w:t xml:space="preserve"> por</w:t>
      </w:r>
      <w:r w:rsidRPr="00B90726">
        <w:rPr>
          <w:rFonts w:ascii="Arial" w:hAnsi="Arial" w:cs="Arial"/>
          <w:bCs/>
          <w:sz w:val="20"/>
          <w:szCs w:val="20"/>
        </w:rPr>
        <w:t xml:space="preserve">: </w:t>
      </w:r>
      <w:hyperlink r:id="rId3" w:history="1">
        <w:r w:rsidRPr="00B90726">
          <w:rPr>
            <w:rStyle w:val="Hyperlink"/>
            <w:rFonts w:cs="Arial"/>
            <w:bCs/>
            <w:sz w:val="20"/>
            <w:szCs w:val="20"/>
          </w:rPr>
          <w:t>Instrução Normativa n. 99, de 28 de agosto de 2014</w:t>
        </w:r>
      </w:hyperlink>
      <w:r w:rsidRPr="00B90726">
        <w:rPr>
          <w:rFonts w:ascii="Arial" w:hAnsi="Arial" w:cs="Arial"/>
          <w:bCs/>
          <w:sz w:val="20"/>
          <w:szCs w:val="20"/>
        </w:rPr>
        <w:t>.</w:t>
      </w:r>
    </w:p>
    <w:p w14:paraId="47AB1604" w14:textId="77777777" w:rsidR="00B90726" w:rsidRPr="00B90726" w:rsidRDefault="00B90726" w:rsidP="00B90726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B90726">
        <w:rPr>
          <w:rFonts w:ascii="Arial" w:hAnsi="Arial" w:cs="Arial"/>
          <w:b/>
          <w:bCs/>
          <w:color w:val="FF0000"/>
          <w:sz w:val="20"/>
          <w:szCs w:val="20"/>
        </w:rPr>
        <w:t>Revogada</w:t>
      </w:r>
      <w:r w:rsidRPr="00B90726">
        <w:rPr>
          <w:rFonts w:ascii="Arial" w:hAnsi="Arial" w:cs="Arial"/>
          <w:bCs/>
          <w:sz w:val="20"/>
          <w:szCs w:val="20"/>
        </w:rPr>
        <w:t xml:space="preserve"> por: </w:t>
      </w:r>
      <w:hyperlink r:id="rId4" w:history="1">
        <w:r w:rsidRPr="00B90726">
          <w:rPr>
            <w:rStyle w:val="Hyperlink"/>
            <w:rFonts w:cs="Arial"/>
            <w:bCs/>
            <w:sz w:val="20"/>
            <w:szCs w:val="20"/>
          </w:rPr>
          <w:t>Instrução Normativa n. 113, de 17 de dezembro de 2015</w:t>
        </w:r>
      </w:hyperlink>
      <w:r w:rsidRPr="00B90726">
        <w:rPr>
          <w:rFonts w:ascii="Arial" w:hAnsi="Arial" w:cs="Arial"/>
          <w:bCs/>
          <w:sz w:val="20"/>
          <w:szCs w:val="20"/>
        </w:rPr>
        <w:t>.</w:t>
      </w:r>
    </w:p>
    <w:p w14:paraId="2C84C56B" w14:textId="77777777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B90726">
        <w:rPr>
          <w:rFonts w:ascii="Arial" w:hAnsi="Arial" w:cs="Arial"/>
          <w:b/>
          <w:bCs/>
          <w:sz w:val="20"/>
          <w:szCs w:val="20"/>
        </w:rPr>
        <w:t>Ver também:</w:t>
      </w:r>
    </w:p>
    <w:p w14:paraId="5F15F5B1" w14:textId="77777777" w:rsidR="00B71428" w:rsidRPr="00B90726" w:rsidRDefault="007941C0" w:rsidP="00B90726">
      <w:pPr>
        <w:spacing w:after="0" w:line="240" w:lineRule="auto"/>
        <w:ind w:firstLine="426"/>
        <w:rPr>
          <w:rFonts w:ascii="Arial" w:hAnsi="Arial" w:cs="Arial"/>
          <w:color w:val="C00000"/>
          <w:sz w:val="20"/>
          <w:szCs w:val="20"/>
        </w:rPr>
      </w:pPr>
      <w:hyperlink r:id="rId5" w:history="1">
        <w:r w:rsidR="00B71428" w:rsidRPr="00B90726">
          <w:rPr>
            <w:rStyle w:val="Hyperlink"/>
            <w:rFonts w:cs="Arial"/>
            <w:sz w:val="20"/>
            <w:szCs w:val="20"/>
          </w:rPr>
          <w:t>Instrução Normativa n. 33, de 26 de março de 2009</w:t>
        </w:r>
      </w:hyperlink>
      <w:r w:rsidR="00B71428" w:rsidRPr="00B90726">
        <w:rPr>
          <w:rFonts w:ascii="Arial" w:hAnsi="Arial" w:cs="Arial"/>
          <w:color w:val="C00000"/>
          <w:sz w:val="20"/>
          <w:szCs w:val="20"/>
        </w:rPr>
        <w:t>.</w:t>
      </w:r>
    </w:p>
    <w:p w14:paraId="12E3326D" w14:textId="2AE464DE" w:rsidR="005D5F8C" w:rsidRPr="00B71428" w:rsidRDefault="007941C0" w:rsidP="00B90726">
      <w:pPr>
        <w:spacing w:after="0" w:line="240" w:lineRule="auto"/>
        <w:ind w:firstLine="426"/>
        <w:rPr>
          <w:rFonts w:ascii="Arial" w:hAnsi="Arial" w:cs="Arial"/>
          <w:color w:val="C00000"/>
          <w:sz w:val="18"/>
          <w:szCs w:val="18"/>
        </w:rPr>
      </w:pPr>
      <w:hyperlink r:id="rId6" w:history="1">
        <w:r w:rsidR="00B71428" w:rsidRPr="00B90726">
          <w:rPr>
            <w:rStyle w:val="Hyperlink"/>
            <w:rFonts w:cs="Arial"/>
            <w:sz w:val="20"/>
            <w:szCs w:val="20"/>
          </w:rPr>
          <w:t>Provimento n. 52, de 30 de março de 2004</w:t>
        </w:r>
      </w:hyperlink>
      <w:r w:rsidR="00B71428" w:rsidRPr="00B90726">
        <w:rPr>
          <w:rFonts w:ascii="Arial" w:hAnsi="Arial" w:cs="Arial"/>
          <w:color w:val="C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231" w14:textId="77777777" w:rsidR="002B1718" w:rsidRDefault="007941C0" w:rsidP="002B1718">
    <w:pPr>
      <w:pStyle w:val="Cabealho"/>
      <w:spacing w:before="480" w:after="12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pict w14:anchorId="6D923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15.05pt;margin-top:1.4pt;width:47.7pt;height:56.1pt;z-index:251657728;visibility:visible">
          <v:imagedata r:id="rId1" o:title=" logo TC colorido - medio"/>
          <w10:wrap type="square"/>
        </v:shape>
      </w:pict>
    </w:r>
    <w:r w:rsidR="001D3FCA">
      <w:rPr>
        <w:rFonts w:ascii="Arial" w:hAnsi="Arial" w:cs="Arial"/>
        <w:b/>
        <w:sz w:val="30"/>
        <w:szCs w:val="30"/>
      </w:rPr>
      <w:t xml:space="preserve">    </w:t>
    </w:r>
    <w:r w:rsidR="00507252" w:rsidRPr="00A17887">
      <w:rPr>
        <w:rFonts w:ascii="Arial" w:hAnsi="Arial" w:cs="Arial"/>
        <w:b/>
        <w:sz w:val="28"/>
        <w:szCs w:val="28"/>
      </w:rPr>
      <w:t>TRIBUN</w:t>
    </w:r>
    <w:r w:rsidR="002B1718" w:rsidRPr="00A17887">
      <w:rPr>
        <w:rFonts w:ascii="Arial" w:hAnsi="Arial" w:cs="Arial"/>
        <w:b/>
        <w:sz w:val="28"/>
        <w:szCs w:val="28"/>
      </w:rPr>
      <w:t>AL DE CONTAS DO ESTADO DO PARANÁ</w:t>
    </w:r>
  </w:p>
  <w:p w14:paraId="1DBA8072" w14:textId="77777777" w:rsidR="00A17887" w:rsidRPr="00A17887" w:rsidRDefault="00A17887" w:rsidP="00A17887">
    <w:pPr>
      <w:pStyle w:val="Cabealho"/>
      <w:spacing w:before="120" w:after="120"/>
      <w:ind w:left="1134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1B1"/>
    <w:multiLevelType w:val="hybridMultilevel"/>
    <w:tmpl w:val="4A9EE162"/>
    <w:lvl w:ilvl="0" w:tplc="F44CD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283"/>
    <w:multiLevelType w:val="hybridMultilevel"/>
    <w:tmpl w:val="CF04427A"/>
    <w:lvl w:ilvl="0" w:tplc="A790DBB8">
      <w:start w:val="1"/>
      <w:numFmt w:val="lowerLetter"/>
      <w:lvlText w:val="%1)"/>
      <w:lvlJc w:val="left"/>
      <w:rPr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700736">
    <w:abstractNumId w:val="0"/>
  </w:num>
  <w:num w:numId="2" w16cid:durableId="182958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C91"/>
    <w:rsid w:val="00002B8B"/>
    <w:rsid w:val="00017353"/>
    <w:rsid w:val="00025232"/>
    <w:rsid w:val="000439E9"/>
    <w:rsid w:val="00045A0E"/>
    <w:rsid w:val="00045D7B"/>
    <w:rsid w:val="00077ACE"/>
    <w:rsid w:val="00083583"/>
    <w:rsid w:val="00083F41"/>
    <w:rsid w:val="00087BD3"/>
    <w:rsid w:val="00090989"/>
    <w:rsid w:val="000B2A0E"/>
    <w:rsid w:val="000B405D"/>
    <w:rsid w:val="000B677F"/>
    <w:rsid w:val="000B7AA3"/>
    <w:rsid w:val="000F1BC9"/>
    <w:rsid w:val="000F47D3"/>
    <w:rsid w:val="00111800"/>
    <w:rsid w:val="00115F50"/>
    <w:rsid w:val="001256EF"/>
    <w:rsid w:val="0013450E"/>
    <w:rsid w:val="00143C91"/>
    <w:rsid w:val="00151476"/>
    <w:rsid w:val="00153887"/>
    <w:rsid w:val="001703C7"/>
    <w:rsid w:val="00171258"/>
    <w:rsid w:val="00177864"/>
    <w:rsid w:val="00177A8A"/>
    <w:rsid w:val="00181B1E"/>
    <w:rsid w:val="0018565E"/>
    <w:rsid w:val="001A3B7E"/>
    <w:rsid w:val="001A505C"/>
    <w:rsid w:val="001B1B38"/>
    <w:rsid w:val="001C5708"/>
    <w:rsid w:val="001D3FCA"/>
    <w:rsid w:val="001F16B9"/>
    <w:rsid w:val="0022103E"/>
    <w:rsid w:val="0024535E"/>
    <w:rsid w:val="00246084"/>
    <w:rsid w:val="00280EB8"/>
    <w:rsid w:val="00291415"/>
    <w:rsid w:val="002A1CF6"/>
    <w:rsid w:val="002A4646"/>
    <w:rsid w:val="002A7181"/>
    <w:rsid w:val="002B1718"/>
    <w:rsid w:val="002B555E"/>
    <w:rsid w:val="002C0100"/>
    <w:rsid w:val="002D69FB"/>
    <w:rsid w:val="002D6FE3"/>
    <w:rsid w:val="002F5765"/>
    <w:rsid w:val="002F656F"/>
    <w:rsid w:val="00313C8C"/>
    <w:rsid w:val="00325D84"/>
    <w:rsid w:val="00340FFD"/>
    <w:rsid w:val="00350641"/>
    <w:rsid w:val="00354A22"/>
    <w:rsid w:val="00362BCF"/>
    <w:rsid w:val="003633ED"/>
    <w:rsid w:val="00365F1F"/>
    <w:rsid w:val="003979B3"/>
    <w:rsid w:val="003A6FA5"/>
    <w:rsid w:val="003B6D4B"/>
    <w:rsid w:val="003C2B85"/>
    <w:rsid w:val="003C3953"/>
    <w:rsid w:val="003C3AFD"/>
    <w:rsid w:val="003C7337"/>
    <w:rsid w:val="003D2C08"/>
    <w:rsid w:val="003E7106"/>
    <w:rsid w:val="004005F1"/>
    <w:rsid w:val="0040394C"/>
    <w:rsid w:val="00410C12"/>
    <w:rsid w:val="0041153A"/>
    <w:rsid w:val="00425EC4"/>
    <w:rsid w:val="00455A14"/>
    <w:rsid w:val="0047452A"/>
    <w:rsid w:val="004746D8"/>
    <w:rsid w:val="0047656C"/>
    <w:rsid w:val="004A0899"/>
    <w:rsid w:val="004A4981"/>
    <w:rsid w:val="004B7FDD"/>
    <w:rsid w:val="004C02D6"/>
    <w:rsid w:val="004F7D91"/>
    <w:rsid w:val="00507252"/>
    <w:rsid w:val="00527AAD"/>
    <w:rsid w:val="00532EB5"/>
    <w:rsid w:val="005438F7"/>
    <w:rsid w:val="00550DD0"/>
    <w:rsid w:val="00572744"/>
    <w:rsid w:val="0057653F"/>
    <w:rsid w:val="00577255"/>
    <w:rsid w:val="00581D53"/>
    <w:rsid w:val="005C18A0"/>
    <w:rsid w:val="005C1B55"/>
    <w:rsid w:val="005C3F77"/>
    <w:rsid w:val="005D5F8C"/>
    <w:rsid w:val="005F4B7C"/>
    <w:rsid w:val="005F4DF9"/>
    <w:rsid w:val="005F4FCB"/>
    <w:rsid w:val="0060396E"/>
    <w:rsid w:val="006045F8"/>
    <w:rsid w:val="00614484"/>
    <w:rsid w:val="00617994"/>
    <w:rsid w:val="006219A3"/>
    <w:rsid w:val="00621D43"/>
    <w:rsid w:val="0064053A"/>
    <w:rsid w:val="00661826"/>
    <w:rsid w:val="00672EE4"/>
    <w:rsid w:val="00677EF4"/>
    <w:rsid w:val="006841D9"/>
    <w:rsid w:val="006842DD"/>
    <w:rsid w:val="00685EE3"/>
    <w:rsid w:val="006A0B3B"/>
    <w:rsid w:val="006A326A"/>
    <w:rsid w:val="006B14EF"/>
    <w:rsid w:val="006B5E81"/>
    <w:rsid w:val="006C5815"/>
    <w:rsid w:val="006D024C"/>
    <w:rsid w:val="006F35A6"/>
    <w:rsid w:val="00700C0B"/>
    <w:rsid w:val="007165ED"/>
    <w:rsid w:val="007241B7"/>
    <w:rsid w:val="00726926"/>
    <w:rsid w:val="00753605"/>
    <w:rsid w:val="00753FBC"/>
    <w:rsid w:val="00763692"/>
    <w:rsid w:val="00780039"/>
    <w:rsid w:val="007941C0"/>
    <w:rsid w:val="007958B6"/>
    <w:rsid w:val="007A7F01"/>
    <w:rsid w:val="007B0514"/>
    <w:rsid w:val="007B7B83"/>
    <w:rsid w:val="007D32B5"/>
    <w:rsid w:val="00805B3B"/>
    <w:rsid w:val="00820E6E"/>
    <w:rsid w:val="0083327E"/>
    <w:rsid w:val="00833AAD"/>
    <w:rsid w:val="0083509D"/>
    <w:rsid w:val="00837BFE"/>
    <w:rsid w:val="00847B4C"/>
    <w:rsid w:val="00855BDF"/>
    <w:rsid w:val="00861F42"/>
    <w:rsid w:val="00865245"/>
    <w:rsid w:val="00876B98"/>
    <w:rsid w:val="008920AF"/>
    <w:rsid w:val="00897720"/>
    <w:rsid w:val="008A1CCC"/>
    <w:rsid w:val="008A1D7F"/>
    <w:rsid w:val="008B171B"/>
    <w:rsid w:val="008D05EA"/>
    <w:rsid w:val="008D1F44"/>
    <w:rsid w:val="008D5472"/>
    <w:rsid w:val="008E3B9A"/>
    <w:rsid w:val="008F7349"/>
    <w:rsid w:val="00902F49"/>
    <w:rsid w:val="00913C73"/>
    <w:rsid w:val="00920BE7"/>
    <w:rsid w:val="0095256C"/>
    <w:rsid w:val="009649ED"/>
    <w:rsid w:val="009673C8"/>
    <w:rsid w:val="009763E3"/>
    <w:rsid w:val="00976C0F"/>
    <w:rsid w:val="009978CC"/>
    <w:rsid w:val="009A7213"/>
    <w:rsid w:val="009E1867"/>
    <w:rsid w:val="009F4D70"/>
    <w:rsid w:val="00A02F84"/>
    <w:rsid w:val="00A13C81"/>
    <w:rsid w:val="00A13EAD"/>
    <w:rsid w:val="00A14F4A"/>
    <w:rsid w:val="00A17887"/>
    <w:rsid w:val="00A22609"/>
    <w:rsid w:val="00A3081E"/>
    <w:rsid w:val="00A44F06"/>
    <w:rsid w:val="00A502BA"/>
    <w:rsid w:val="00A51B7F"/>
    <w:rsid w:val="00A777E2"/>
    <w:rsid w:val="00A77A32"/>
    <w:rsid w:val="00AA29E9"/>
    <w:rsid w:val="00AA5FBF"/>
    <w:rsid w:val="00AA7D02"/>
    <w:rsid w:val="00AB340D"/>
    <w:rsid w:val="00AE7E66"/>
    <w:rsid w:val="00AE7EEF"/>
    <w:rsid w:val="00B053F6"/>
    <w:rsid w:val="00B105EB"/>
    <w:rsid w:val="00B21ADD"/>
    <w:rsid w:val="00B24D61"/>
    <w:rsid w:val="00B34424"/>
    <w:rsid w:val="00B41FB4"/>
    <w:rsid w:val="00B54A3D"/>
    <w:rsid w:val="00B60252"/>
    <w:rsid w:val="00B67C48"/>
    <w:rsid w:val="00B71428"/>
    <w:rsid w:val="00B90726"/>
    <w:rsid w:val="00B92954"/>
    <w:rsid w:val="00B930E5"/>
    <w:rsid w:val="00BA12F5"/>
    <w:rsid w:val="00BC2906"/>
    <w:rsid w:val="00BC56F4"/>
    <w:rsid w:val="00BC71F0"/>
    <w:rsid w:val="00BF5BC0"/>
    <w:rsid w:val="00C16313"/>
    <w:rsid w:val="00C2087D"/>
    <w:rsid w:val="00C37474"/>
    <w:rsid w:val="00C42AF2"/>
    <w:rsid w:val="00C45618"/>
    <w:rsid w:val="00C6500C"/>
    <w:rsid w:val="00C9144F"/>
    <w:rsid w:val="00CA7BD0"/>
    <w:rsid w:val="00CB1147"/>
    <w:rsid w:val="00CC200C"/>
    <w:rsid w:val="00CC7A9C"/>
    <w:rsid w:val="00CD27E0"/>
    <w:rsid w:val="00CD3986"/>
    <w:rsid w:val="00CE18C7"/>
    <w:rsid w:val="00CF7A26"/>
    <w:rsid w:val="00D005C4"/>
    <w:rsid w:val="00D0104A"/>
    <w:rsid w:val="00D07439"/>
    <w:rsid w:val="00D11F5C"/>
    <w:rsid w:val="00D12049"/>
    <w:rsid w:val="00D2140B"/>
    <w:rsid w:val="00D778AA"/>
    <w:rsid w:val="00D84214"/>
    <w:rsid w:val="00DA0284"/>
    <w:rsid w:val="00DA283A"/>
    <w:rsid w:val="00DA3A81"/>
    <w:rsid w:val="00DA3F35"/>
    <w:rsid w:val="00DA4AA6"/>
    <w:rsid w:val="00DD1C1F"/>
    <w:rsid w:val="00DD4FF9"/>
    <w:rsid w:val="00DF1F80"/>
    <w:rsid w:val="00DF31B4"/>
    <w:rsid w:val="00E0340C"/>
    <w:rsid w:val="00E11016"/>
    <w:rsid w:val="00E138FC"/>
    <w:rsid w:val="00E168DE"/>
    <w:rsid w:val="00E209FD"/>
    <w:rsid w:val="00E3119B"/>
    <w:rsid w:val="00E416FB"/>
    <w:rsid w:val="00E47430"/>
    <w:rsid w:val="00E70D05"/>
    <w:rsid w:val="00E82F07"/>
    <w:rsid w:val="00E841EF"/>
    <w:rsid w:val="00E91F58"/>
    <w:rsid w:val="00E93F92"/>
    <w:rsid w:val="00EA2CF6"/>
    <w:rsid w:val="00EB0E1F"/>
    <w:rsid w:val="00EB600B"/>
    <w:rsid w:val="00EB6DD6"/>
    <w:rsid w:val="00EC5F8B"/>
    <w:rsid w:val="00EC61D3"/>
    <w:rsid w:val="00EF4127"/>
    <w:rsid w:val="00F41886"/>
    <w:rsid w:val="00F53579"/>
    <w:rsid w:val="00F7313B"/>
    <w:rsid w:val="00F757BA"/>
    <w:rsid w:val="00F77D30"/>
    <w:rsid w:val="00F816D6"/>
    <w:rsid w:val="00F90B21"/>
    <w:rsid w:val="00FB1FE4"/>
    <w:rsid w:val="00FC4F03"/>
    <w:rsid w:val="00FC61BB"/>
    <w:rsid w:val="00FD1E9A"/>
    <w:rsid w:val="00FD2F7C"/>
    <w:rsid w:val="00FE1971"/>
    <w:rsid w:val="00FE39D9"/>
    <w:rsid w:val="00FE7B42"/>
    <w:rsid w:val="00FF47C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D3F2B"/>
  <w15:chartTrackingRefBased/>
  <w15:docId w15:val="{4887E66A-4F9D-40F6-AB0D-66249AB4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1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6B9"/>
  </w:style>
  <w:style w:type="paragraph" w:styleId="Rodap">
    <w:name w:val="footer"/>
    <w:basedOn w:val="Normal"/>
    <w:link w:val="RodapChar"/>
    <w:uiPriority w:val="99"/>
    <w:unhideWhenUsed/>
    <w:rsid w:val="001F1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6B9"/>
  </w:style>
  <w:style w:type="paragraph" w:customStyle="1" w:styleId="ArtigosOrdinais">
    <w:name w:val="ArtigosOrdinais"/>
    <w:basedOn w:val="Normal"/>
    <w:rsid w:val="007165ED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1B7F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5D5F8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5D5F8C"/>
    <w:rPr>
      <w:lang w:eastAsia="en-US"/>
    </w:rPr>
  </w:style>
  <w:style w:type="character" w:styleId="Refdenotaderodap">
    <w:name w:val="footnote reference"/>
    <w:uiPriority w:val="99"/>
    <w:semiHidden/>
    <w:unhideWhenUsed/>
    <w:rsid w:val="005D5F8C"/>
    <w:rPr>
      <w:vertAlign w:val="superscript"/>
    </w:rPr>
  </w:style>
  <w:style w:type="character" w:styleId="Hyperlink">
    <w:name w:val="Hyperlink"/>
    <w:rsid w:val="005D5F8C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B9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provimento-n&#186;-522004/1326/area/10" TargetMode="External"/><Relationship Id="rId13" Type="http://schemas.openxmlformats.org/officeDocument/2006/relationships/hyperlink" Target="http://www1.tce.pr.gov.br/conteudo/instrucao-normativa-n-99-de-28-de-agosto-de-2014/261059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normativa-n-99-de-28-de-agosto-de-2014/261059/area/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-99-de-28-de-agosto-de-2014/261059/area/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1.tce.pr.gov.br/conteudo/instrucao-normativa-n-99-de-28-de-agosto-de-2014/261059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33-de-26-de-marco-de-2009/237440/area/10" TargetMode="External"/><Relationship Id="rId14" Type="http://schemas.openxmlformats.org/officeDocument/2006/relationships/hyperlink" Target="http://www1.tce.pr.gov.br/conteudo/instrucao-normativa-n-99-de-28-de-agosto-de-2014/261059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99-de-28-de-agosto-de-2014/261059/area/10" TargetMode="External"/><Relationship Id="rId2" Type="http://schemas.openxmlformats.org/officeDocument/2006/relationships/hyperlink" Target="https://www1.tce.pr.gov.br/multimidia/2014/1/pdf/00254145.pdf" TargetMode="External"/><Relationship Id="rId1" Type="http://schemas.openxmlformats.org/officeDocument/2006/relationships/hyperlink" Target="http://www1.tce.pr.gov.br/multimidia/2014/1/pdf/00255374.pdf" TargetMode="External"/><Relationship Id="rId6" Type="http://schemas.openxmlformats.org/officeDocument/2006/relationships/hyperlink" Target="http://www1.tce.pr.gov.br/conteudo/provimento-n&#186;-522004/1326/area/10" TargetMode="External"/><Relationship Id="rId5" Type="http://schemas.openxmlformats.org/officeDocument/2006/relationships/hyperlink" Target="http://www1.tce.pr.gov.br/conteudo/instrucao-normativa-n-33-de-26-de-marco-de-2009/237440/area/10" TargetMode="External"/><Relationship Id="rId4" Type="http://schemas.openxmlformats.org/officeDocument/2006/relationships/hyperlink" Target="http://www1.tce.pr.gov.br/conteudo/instrucao-normativa-n-113-de-17-de-dezembro-de-2015/27981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B191-9F06-4FEE-AD15-106A0BD3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Yumi Gohara</dc:creator>
  <cp:keywords/>
  <cp:lastModifiedBy>Yarusya</cp:lastModifiedBy>
  <cp:revision>6</cp:revision>
  <cp:lastPrinted>2014-01-16T16:28:00Z</cp:lastPrinted>
  <dcterms:created xsi:type="dcterms:W3CDTF">2022-06-29T22:10:00Z</dcterms:created>
  <dcterms:modified xsi:type="dcterms:W3CDTF">2022-06-29T22:15:00Z</dcterms:modified>
</cp:coreProperties>
</file>