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FE12" w14:textId="115F04B5" w:rsidR="00777043" w:rsidRDefault="00777043" w:rsidP="00882A58">
      <w:pPr>
        <w:pStyle w:val="Texto"/>
        <w:spacing w:before="240" w:after="120"/>
        <w:ind w:firstLine="0"/>
        <w:jc w:val="center"/>
        <w:rPr>
          <w:rFonts w:cs="Arial"/>
          <w:b/>
          <w:sz w:val="28"/>
          <w:szCs w:val="28"/>
        </w:rPr>
      </w:pPr>
      <w:r w:rsidRPr="00F60A39">
        <w:rPr>
          <w:rFonts w:cs="Arial"/>
          <w:b/>
          <w:sz w:val="28"/>
          <w:szCs w:val="28"/>
        </w:rPr>
        <w:t xml:space="preserve">INSTRUÇÃO </w:t>
      </w:r>
      <w:r>
        <w:rPr>
          <w:rFonts w:cs="Arial"/>
          <w:b/>
          <w:sz w:val="28"/>
          <w:szCs w:val="28"/>
        </w:rPr>
        <w:t>NORMATIVA</w:t>
      </w:r>
      <w:r w:rsidR="005F26C3">
        <w:rPr>
          <w:rFonts w:cs="Arial"/>
          <w:b/>
          <w:sz w:val="28"/>
          <w:szCs w:val="28"/>
        </w:rPr>
        <w:t xml:space="preserve"> Nº 99/2014</w:t>
      </w:r>
      <w:r w:rsidR="008471C1">
        <w:rPr>
          <w:rStyle w:val="Refdenotaderodap"/>
          <w:rFonts w:cs="Arial"/>
          <w:b/>
          <w:sz w:val="28"/>
          <w:szCs w:val="28"/>
        </w:rPr>
        <w:footnoteReference w:id="2"/>
      </w:r>
    </w:p>
    <w:p w14:paraId="0859D082" w14:textId="41B62F58" w:rsidR="001F0B37" w:rsidRDefault="001F0B37" w:rsidP="00B960A2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882A58">
        <w:rPr>
          <w:rFonts w:cs="Arial"/>
          <w:i/>
          <w:szCs w:val="22"/>
        </w:rPr>
        <w:t xml:space="preserve">Altera a </w:t>
      </w:r>
      <w:hyperlink r:id="rId11" w:history="1">
        <w:r w:rsidRPr="00BE2988">
          <w:rPr>
            <w:rStyle w:val="Hyperlink"/>
            <w:rFonts w:cs="Arial"/>
            <w:i/>
            <w:color w:val="0000FF"/>
            <w:szCs w:val="22"/>
          </w:rPr>
          <w:t>Instrução Normativa nº 93/2013</w:t>
        </w:r>
      </w:hyperlink>
      <w:r w:rsidRPr="00BE2988">
        <w:rPr>
          <w:rFonts w:cs="Arial"/>
          <w:i/>
          <w:color w:val="0000FF"/>
          <w:szCs w:val="22"/>
        </w:rPr>
        <w:t>,</w:t>
      </w:r>
      <w:r w:rsidRPr="00882A58">
        <w:rPr>
          <w:rFonts w:cs="Arial"/>
          <w:i/>
          <w:szCs w:val="22"/>
        </w:rPr>
        <w:t xml:space="preserve"> que trata do Sistema Estadual de Informações, e dá outras providências.</w:t>
      </w:r>
    </w:p>
    <w:p w14:paraId="78A0C824" w14:textId="77777777" w:rsidR="001F0B37" w:rsidRPr="00E671F5" w:rsidRDefault="001F0B37" w:rsidP="001F0B37">
      <w:pPr>
        <w:pStyle w:val="Texto"/>
        <w:spacing w:after="120"/>
        <w:ind w:firstLine="1134"/>
        <w:rPr>
          <w:sz w:val="24"/>
        </w:rPr>
      </w:pPr>
      <w:r w:rsidRPr="00882A58">
        <w:rPr>
          <w:bCs/>
          <w:sz w:val="24"/>
        </w:rPr>
        <w:t>O</w:t>
      </w:r>
      <w:r w:rsidRPr="00E671F5">
        <w:rPr>
          <w:b/>
          <w:sz w:val="24"/>
        </w:rPr>
        <w:t xml:space="preserve"> 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 art. 2º, I, da Lei Complementar nº 113, de 15 de dezembro de 2005, e no art. 5º, XIII, do Regimento Interno, e com base no art. 238, c/c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193 a 196, também do Regimento Interno,</w:t>
      </w:r>
    </w:p>
    <w:p w14:paraId="4B2B00C4" w14:textId="77777777" w:rsidR="001F0B37" w:rsidRDefault="001F0B37" w:rsidP="001F0B37">
      <w:pPr>
        <w:pStyle w:val="Texto"/>
        <w:spacing w:after="120"/>
        <w:ind w:firstLine="1134"/>
        <w:rPr>
          <w:rFonts w:cs="Arial"/>
          <w:b/>
          <w:bCs/>
          <w:sz w:val="24"/>
        </w:rPr>
      </w:pPr>
    </w:p>
    <w:p w14:paraId="4BC94A6D" w14:textId="77777777" w:rsidR="001F0B37" w:rsidRPr="00BC72E0" w:rsidRDefault="001F0B37" w:rsidP="001F0B37">
      <w:pPr>
        <w:pStyle w:val="Texto"/>
        <w:spacing w:after="120"/>
        <w:ind w:firstLine="1134"/>
        <w:rPr>
          <w:rFonts w:cs="Arial"/>
          <w:b/>
          <w:bCs/>
          <w:sz w:val="24"/>
        </w:rPr>
      </w:pPr>
      <w:r w:rsidRPr="00BC72E0">
        <w:rPr>
          <w:rFonts w:cs="Arial"/>
          <w:b/>
          <w:bCs/>
          <w:sz w:val="24"/>
        </w:rPr>
        <w:t>RESOLVE</w:t>
      </w:r>
    </w:p>
    <w:p w14:paraId="04390EAB" w14:textId="77777777" w:rsidR="001F0B37" w:rsidRDefault="001F0B37" w:rsidP="001F0B37">
      <w:pPr>
        <w:pStyle w:val="ArtigosOrdinais"/>
        <w:spacing w:after="120"/>
        <w:ind w:firstLine="1134"/>
        <w:rPr>
          <w:rFonts w:cs="Arial"/>
          <w:b/>
          <w:sz w:val="24"/>
        </w:rPr>
      </w:pPr>
    </w:p>
    <w:p w14:paraId="1BF46C26" w14:textId="3B742298" w:rsidR="001F0B37" w:rsidRDefault="001F0B37" w:rsidP="00B960A2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t xml:space="preserve">Art. 1º </w:t>
      </w:r>
      <w:r>
        <w:rPr>
          <w:rFonts w:cs="Arial"/>
          <w:sz w:val="24"/>
        </w:rPr>
        <w:t xml:space="preserve">Os dispositivos da </w:t>
      </w:r>
      <w:hyperlink r:id="rId12" w:history="1">
        <w:r w:rsidRPr="00BE2988">
          <w:rPr>
            <w:rStyle w:val="Hyperlink"/>
            <w:rFonts w:cs="Arial"/>
            <w:color w:val="0000FF"/>
            <w:sz w:val="24"/>
          </w:rPr>
          <w:t>Instrução Normativa nº 93/2013</w:t>
        </w:r>
      </w:hyperlink>
      <w:r>
        <w:rPr>
          <w:rFonts w:cs="Arial"/>
          <w:sz w:val="24"/>
        </w:rPr>
        <w:t>, a seguir enumerados, passam a vigorar com as seguintes alterações:</w:t>
      </w:r>
    </w:p>
    <w:p w14:paraId="0AE59FDC" w14:textId="77777777" w:rsidR="001F0B37" w:rsidRDefault="001F0B37" w:rsidP="00B960A2">
      <w:pPr>
        <w:pStyle w:val="ArtigosOrdinais"/>
        <w:ind w:firstLine="1134"/>
        <w:rPr>
          <w:rFonts w:cs="Arial"/>
          <w:sz w:val="24"/>
        </w:rPr>
      </w:pPr>
      <w:r w:rsidRPr="00BC72E0">
        <w:rPr>
          <w:rFonts w:cs="Arial"/>
          <w:sz w:val="24"/>
        </w:rPr>
        <w:t>“</w:t>
      </w:r>
      <w:r w:rsidRPr="00A7075E">
        <w:rPr>
          <w:rFonts w:cs="Arial"/>
          <w:sz w:val="24"/>
          <w:u w:val="single"/>
        </w:rPr>
        <w:t>Art. 8º.</w:t>
      </w:r>
      <w:r>
        <w:rPr>
          <w:rFonts w:cs="Arial"/>
          <w:sz w:val="24"/>
        </w:rPr>
        <w:t xml:space="preserve"> O fechamento das remessas de dados ao SEI-CED, com informações conforme periodicidade indicada na tabela, será realizado quadrimestralmente, considerando-se como início do 1º quadrimestre de cada exercício, a data de 1º de janeiro, tendo como prazo o último dia útil do mês seguinte.”</w:t>
      </w:r>
    </w:p>
    <w:p w14:paraId="79B07A7B" w14:textId="77777777" w:rsidR="001F0B37" w:rsidRDefault="001F0B37" w:rsidP="00B960A2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“</w:t>
      </w:r>
      <w:r w:rsidRPr="00A7075E">
        <w:rPr>
          <w:rFonts w:ascii="Arial" w:hAnsi="Arial" w:cs="Arial"/>
          <w:u w:val="single"/>
        </w:rPr>
        <w:t>Art. 11.</w:t>
      </w:r>
      <w:r>
        <w:rPr>
          <w:rFonts w:ascii="Arial" w:hAnsi="Arial" w:cs="Arial"/>
        </w:rPr>
        <w:t xml:space="preserve"> As primeiras remessas de dados eletrônicos ao SEI-CED, relativas aos módulos especificados no § 2º do art. 2º desta Instrução, referentes ao primeiro e segundo quadrimestres de 2014:</w:t>
      </w:r>
    </w:p>
    <w:p w14:paraId="0257AE28" w14:textId="77777777" w:rsidR="001F0B37" w:rsidRDefault="001F0B37" w:rsidP="00B960A2">
      <w:pPr>
        <w:spacing w:before="120"/>
        <w:ind w:firstLine="1134"/>
        <w:jc w:val="both"/>
        <w:rPr>
          <w:rFonts w:ascii="Arial" w:hAnsi="Arial" w:cs="Arial"/>
        </w:rPr>
      </w:pPr>
      <w:r w:rsidRPr="005F26C3">
        <w:rPr>
          <w:rFonts w:ascii="Arial" w:hAnsi="Arial" w:cs="Arial"/>
        </w:rPr>
        <w:t xml:space="preserve">I </w:t>
      </w:r>
      <w:r w:rsidR="005F26C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deverão ser efetuadas até 30 de novembro do mesmo exercício, para as entidades excetuadas no art. 8º, §</w:t>
      </w:r>
      <w:r w:rsidR="005F26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5º;</w:t>
      </w:r>
    </w:p>
    <w:p w14:paraId="78C0F68A" w14:textId="77777777" w:rsidR="001F0B37" w:rsidRPr="00BC72E0" w:rsidRDefault="001F0B37" w:rsidP="00B960A2">
      <w:pPr>
        <w:spacing w:before="120"/>
        <w:ind w:firstLine="1134"/>
        <w:jc w:val="both"/>
        <w:rPr>
          <w:rFonts w:cs="Arial"/>
        </w:rPr>
      </w:pPr>
      <w:r w:rsidRPr="00A7075E">
        <w:rPr>
          <w:rFonts w:ascii="Arial" w:hAnsi="Arial" w:cs="Arial"/>
        </w:rPr>
        <w:t>II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para as demais entidades, deverão ser efetuadas até 30 de setembro do mesmo exercício.”</w:t>
      </w:r>
    </w:p>
    <w:p w14:paraId="456E8650" w14:textId="1AAA6537" w:rsidR="001F0B37" w:rsidRDefault="001F0B37" w:rsidP="00B960A2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t xml:space="preserve">Art. 2º </w:t>
      </w:r>
      <w:r>
        <w:rPr>
          <w:rFonts w:cs="Arial"/>
          <w:sz w:val="24"/>
        </w:rPr>
        <w:t xml:space="preserve">Fica incluído na </w:t>
      </w:r>
      <w:hyperlink r:id="rId13" w:history="1">
        <w:r w:rsidRPr="00BE2988">
          <w:rPr>
            <w:rStyle w:val="Hyperlink"/>
            <w:rFonts w:cs="Arial"/>
            <w:color w:val="0000FF"/>
            <w:sz w:val="24"/>
          </w:rPr>
          <w:t>Instrução Normativa nº 93/2013</w:t>
        </w:r>
      </w:hyperlink>
      <w:r>
        <w:rPr>
          <w:rFonts w:cs="Arial"/>
          <w:sz w:val="24"/>
        </w:rPr>
        <w:t xml:space="preserve"> o seguinte dispositivo:</w:t>
      </w:r>
    </w:p>
    <w:p w14:paraId="3C237325" w14:textId="77777777" w:rsidR="001F0B37" w:rsidRDefault="001F0B37" w:rsidP="00B960A2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“</w:t>
      </w:r>
      <w:r>
        <w:rPr>
          <w:rFonts w:cs="Arial"/>
          <w:sz w:val="24"/>
          <w:u w:val="single"/>
        </w:rPr>
        <w:t>Art. 8º.</w:t>
      </w:r>
      <w:r w:rsidRPr="005F26C3">
        <w:rPr>
          <w:rFonts w:cs="Arial"/>
          <w:sz w:val="24"/>
        </w:rPr>
        <w:t xml:space="preserve"> </w:t>
      </w:r>
      <w:r w:rsidRPr="00B556BD">
        <w:rPr>
          <w:rFonts w:cs="Arial"/>
          <w:sz w:val="24"/>
        </w:rPr>
        <w:t>(...).</w:t>
      </w:r>
    </w:p>
    <w:p w14:paraId="3705223E" w14:textId="77777777" w:rsidR="005F26C3" w:rsidRPr="005F26C3" w:rsidRDefault="005F26C3" w:rsidP="00B960A2">
      <w:pPr>
        <w:pStyle w:val="ArtigosOrdinais"/>
        <w:ind w:firstLine="1134"/>
        <w:rPr>
          <w:rFonts w:cs="Arial"/>
          <w:sz w:val="24"/>
        </w:rPr>
      </w:pPr>
      <w:r w:rsidRPr="005F26C3">
        <w:rPr>
          <w:rFonts w:cs="Arial"/>
          <w:sz w:val="24"/>
        </w:rPr>
        <w:t>...</w:t>
      </w:r>
    </w:p>
    <w:p w14:paraId="5AFF6928" w14:textId="6614DDDA" w:rsidR="001F0B37" w:rsidRPr="005C4688" w:rsidRDefault="001F0B37" w:rsidP="00B960A2">
      <w:pPr>
        <w:pStyle w:val="ArtigosOrdinais"/>
        <w:ind w:firstLine="1134"/>
        <w:rPr>
          <w:rFonts w:cs="Arial"/>
          <w:sz w:val="24"/>
        </w:rPr>
      </w:pPr>
      <w:r w:rsidRPr="005F26C3">
        <w:rPr>
          <w:rFonts w:cs="Arial"/>
          <w:sz w:val="24"/>
        </w:rPr>
        <w:t>§</w:t>
      </w:r>
      <w:r w:rsidR="005F26C3" w:rsidRPr="005F26C3">
        <w:rPr>
          <w:rFonts w:cs="Arial"/>
          <w:sz w:val="24"/>
        </w:rPr>
        <w:t xml:space="preserve"> </w:t>
      </w:r>
      <w:r w:rsidRPr="005F26C3">
        <w:rPr>
          <w:rFonts w:cs="Arial"/>
          <w:sz w:val="24"/>
        </w:rPr>
        <w:t>5º</w:t>
      </w:r>
      <w:r>
        <w:rPr>
          <w:rFonts w:cs="Arial"/>
          <w:sz w:val="24"/>
        </w:rPr>
        <w:t xml:space="preserve"> Para as entidades que comprovarem registro junto à CVM, BM&amp;FBOVESPA, via requerimento por peticionamento eletrônico, será </w:t>
      </w:r>
      <w:r>
        <w:rPr>
          <w:rFonts w:cs="Arial"/>
          <w:sz w:val="24"/>
        </w:rPr>
        <w:lastRenderedPageBreak/>
        <w:t xml:space="preserve">prorrogado o prazo, a que se refere o </w:t>
      </w:r>
      <w:r>
        <w:rPr>
          <w:rFonts w:cs="Arial"/>
          <w:i/>
          <w:sz w:val="24"/>
        </w:rPr>
        <w:t xml:space="preserve">caput </w:t>
      </w:r>
      <w:r>
        <w:rPr>
          <w:rFonts w:cs="Arial"/>
          <w:sz w:val="24"/>
        </w:rPr>
        <w:t>deste artigo, sendo que o fechamento da remessa do 1º quadrimestre passará a ser até o último dia útil de agosto, do 2º quadrimestre passará a ser até o último dia útil de novembro e do 3º quadrimestre passará a ser até o último dia útil de abril.”</w:t>
      </w:r>
    </w:p>
    <w:p w14:paraId="19455DD7" w14:textId="77777777" w:rsidR="001F0B37" w:rsidRPr="0078612B" w:rsidRDefault="001F0B37" w:rsidP="00B960A2">
      <w:pPr>
        <w:pStyle w:val="ArtigosOrdinais"/>
        <w:ind w:firstLine="1134"/>
        <w:rPr>
          <w:rFonts w:cs="Arial"/>
          <w:color w:val="000000"/>
          <w:sz w:val="24"/>
        </w:rPr>
      </w:pPr>
      <w:r w:rsidRPr="0078612B">
        <w:rPr>
          <w:rFonts w:cs="Arial"/>
          <w:b/>
          <w:sz w:val="24"/>
        </w:rPr>
        <w:t xml:space="preserve">Art. 3º </w:t>
      </w:r>
      <w:r w:rsidRPr="0078612B">
        <w:rPr>
          <w:rFonts w:cs="Arial"/>
          <w:color w:val="000000"/>
          <w:sz w:val="24"/>
        </w:rPr>
        <w:t>Esta Instrução Normativa entra em vigor na data de sua publicação.</w:t>
      </w:r>
    </w:p>
    <w:p w14:paraId="152DB209" w14:textId="77777777" w:rsidR="001F0B37" w:rsidRDefault="001F0B37" w:rsidP="001F0B37">
      <w:pPr>
        <w:pStyle w:val="Recuodecorpodetexto3"/>
        <w:spacing w:before="360"/>
        <w:ind w:firstLine="1134"/>
        <w:rPr>
          <w:rFonts w:ascii="Arial" w:hAnsi="Arial" w:cs="Arial"/>
          <w:color w:val="000000"/>
        </w:rPr>
      </w:pPr>
    </w:p>
    <w:p w14:paraId="1513CE33" w14:textId="77777777" w:rsidR="001F0B37" w:rsidRPr="001F0B37" w:rsidRDefault="001F0B37" w:rsidP="009E541F">
      <w:pPr>
        <w:pStyle w:val="ArtigosOrdinais"/>
        <w:spacing w:after="120"/>
        <w:jc w:val="center"/>
        <w:rPr>
          <w:rFonts w:cs="Arial"/>
          <w:sz w:val="24"/>
        </w:rPr>
      </w:pPr>
      <w:r w:rsidRPr="001F0B37">
        <w:rPr>
          <w:rFonts w:cs="Arial"/>
          <w:sz w:val="24"/>
        </w:rPr>
        <w:t xml:space="preserve">Curitiba, </w:t>
      </w:r>
      <w:r w:rsidR="005F26C3">
        <w:rPr>
          <w:rFonts w:cs="Arial"/>
          <w:sz w:val="24"/>
        </w:rPr>
        <w:t>28</w:t>
      </w:r>
      <w:r w:rsidRPr="001F0B37">
        <w:rPr>
          <w:rFonts w:cs="Arial"/>
          <w:sz w:val="24"/>
        </w:rPr>
        <w:t xml:space="preserve"> de </w:t>
      </w:r>
      <w:r w:rsidR="005F26C3">
        <w:rPr>
          <w:rFonts w:cs="Arial"/>
          <w:sz w:val="24"/>
        </w:rPr>
        <w:t>agosto</w:t>
      </w:r>
      <w:r w:rsidRPr="001F0B37">
        <w:rPr>
          <w:rFonts w:cs="Arial"/>
          <w:sz w:val="24"/>
        </w:rPr>
        <w:t xml:space="preserve"> de 2014.</w:t>
      </w:r>
    </w:p>
    <w:p w14:paraId="33DA4695" w14:textId="77777777" w:rsidR="001F0B37" w:rsidRDefault="001F0B37" w:rsidP="009E541F">
      <w:pPr>
        <w:pStyle w:val="ArtigosOrdinais"/>
        <w:spacing w:after="120"/>
        <w:jc w:val="center"/>
        <w:rPr>
          <w:rFonts w:cs="Arial"/>
          <w:sz w:val="24"/>
        </w:rPr>
      </w:pPr>
    </w:p>
    <w:p w14:paraId="0948F493" w14:textId="77777777" w:rsidR="009E541F" w:rsidRDefault="009E541F" w:rsidP="009E541F">
      <w:pPr>
        <w:pStyle w:val="ArtigosOrdinais"/>
        <w:spacing w:after="120"/>
        <w:jc w:val="center"/>
        <w:rPr>
          <w:rFonts w:cs="Arial"/>
          <w:sz w:val="24"/>
        </w:rPr>
      </w:pPr>
    </w:p>
    <w:p w14:paraId="57D2839D" w14:textId="77777777" w:rsidR="005F26C3" w:rsidRPr="005F26C3" w:rsidRDefault="001F0B37" w:rsidP="009E541F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  <w:r w:rsidRPr="005F26C3">
        <w:rPr>
          <w:rFonts w:ascii="Arial" w:hAnsi="Arial" w:cs="Arial"/>
        </w:rPr>
        <w:t xml:space="preserve">Conselheiro </w:t>
      </w:r>
      <w:r w:rsidR="005F26C3" w:rsidRPr="005F26C3">
        <w:rPr>
          <w:rFonts w:ascii="Arial" w:hAnsi="Arial" w:cs="Arial"/>
          <w:b/>
          <w:bCs/>
        </w:rPr>
        <w:t>JOSE DURVAL MATTOS DO AMARAL</w:t>
      </w:r>
    </w:p>
    <w:p w14:paraId="421014CC" w14:textId="77777777" w:rsidR="000A0386" w:rsidRDefault="005F26C3" w:rsidP="009E541F">
      <w:pPr>
        <w:pStyle w:val="ArtigosOrdinais"/>
        <w:spacing w:after="120"/>
        <w:jc w:val="center"/>
        <w:rPr>
          <w:rFonts w:cs="Arial"/>
        </w:rPr>
      </w:pPr>
      <w:r w:rsidRPr="005F26C3">
        <w:rPr>
          <w:rFonts w:cs="Arial"/>
          <w:sz w:val="24"/>
        </w:rPr>
        <w:t>Vice-Presidente no exercício da Presidência</w:t>
      </w:r>
    </w:p>
    <w:sectPr w:rsidR="000A0386" w:rsidSect="00334BB8">
      <w:headerReference w:type="default" r:id="rId14"/>
      <w:footerReference w:type="even" r:id="rId15"/>
      <w:footerReference w:type="default" r:id="rId16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4E0A" w14:textId="77777777" w:rsidR="00B56622" w:rsidRDefault="00B56622">
      <w:r>
        <w:separator/>
      </w:r>
    </w:p>
  </w:endnote>
  <w:endnote w:type="continuationSeparator" w:id="0">
    <w:p w14:paraId="2B7E0A32" w14:textId="77777777" w:rsidR="00B56622" w:rsidRDefault="00B56622">
      <w:r>
        <w:continuationSeparator/>
      </w:r>
    </w:p>
  </w:endnote>
  <w:endnote w:type="continuationNotice" w:id="1">
    <w:p w14:paraId="1D240935" w14:textId="77777777" w:rsidR="00B56622" w:rsidRDefault="00B56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52BC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FBAAD3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9F62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21AA" w14:textId="77777777" w:rsidR="00B56622" w:rsidRDefault="00B56622">
      <w:r>
        <w:separator/>
      </w:r>
    </w:p>
  </w:footnote>
  <w:footnote w:type="continuationSeparator" w:id="0">
    <w:p w14:paraId="7E33D160" w14:textId="77777777" w:rsidR="00B56622" w:rsidRDefault="00B56622">
      <w:r>
        <w:continuationSeparator/>
      </w:r>
    </w:p>
  </w:footnote>
  <w:footnote w:type="continuationNotice" w:id="1">
    <w:p w14:paraId="4CB0B56D" w14:textId="77777777" w:rsidR="00B56622" w:rsidRDefault="00B56622"/>
  </w:footnote>
  <w:footnote w:id="2">
    <w:p w14:paraId="28B93434" w14:textId="77777777" w:rsidR="009E1406" w:rsidRPr="005D7679" w:rsidRDefault="008471C1" w:rsidP="009E1406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9E1406" w:rsidRPr="005D7679">
        <w:rPr>
          <w:rFonts w:ascii="Arial" w:hAnsi="Arial" w:cs="Arial"/>
          <w:b/>
        </w:rPr>
        <w:t>Notas da Biblioteca:</w:t>
      </w:r>
    </w:p>
    <w:bookmarkEnd w:id="0"/>
    <w:p w14:paraId="64148A73" w14:textId="53225D41" w:rsidR="009E1406" w:rsidRPr="00AD137D" w:rsidRDefault="009E1406" w:rsidP="00AD137D">
      <w:pPr>
        <w:numPr>
          <w:ilvl w:val="0"/>
          <w:numId w:val="4"/>
        </w:numPr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AD137D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7C38D1" w:rsidRPr="00AD137D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Diário Eletrônico do Tribunal de Contas do Estado do Paraná</w:t>
        </w:r>
        <w:r w:rsidR="007C38D1" w:rsidRPr="00AD137D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965, 16 set. 2014, p. 114</w:t>
        </w:r>
      </w:hyperlink>
      <w:r w:rsidR="007C38D1" w:rsidRPr="00AD137D">
        <w:rPr>
          <w:rFonts w:ascii="Arial" w:hAnsi="Arial" w:cs="Arial"/>
          <w:color w:val="0000FF"/>
          <w:sz w:val="20"/>
          <w:szCs w:val="20"/>
        </w:rPr>
        <w:t>.</w:t>
      </w:r>
    </w:p>
    <w:p w14:paraId="03105CA3" w14:textId="633C620B" w:rsidR="009E1406" w:rsidRPr="00AD137D" w:rsidRDefault="009E1406" w:rsidP="00AD137D">
      <w:pPr>
        <w:pStyle w:val="Textodenotaderodap"/>
        <w:numPr>
          <w:ilvl w:val="0"/>
          <w:numId w:val="4"/>
        </w:numPr>
        <w:ind w:left="426" w:hanging="284"/>
        <w:jc w:val="both"/>
        <w:rPr>
          <w:rFonts w:ascii="Arial" w:hAnsi="Arial" w:cs="Arial"/>
          <w:color w:val="0000FF"/>
        </w:rPr>
      </w:pPr>
      <w:r w:rsidRPr="00AD137D">
        <w:rPr>
          <w:rFonts w:ascii="Arial" w:hAnsi="Arial" w:cs="Arial"/>
        </w:rPr>
        <w:t xml:space="preserve">Origem: </w:t>
      </w:r>
      <w:r w:rsidR="00AD137D" w:rsidRPr="00AD137D">
        <w:rPr>
          <w:rFonts w:ascii="Arial" w:hAnsi="Arial" w:cs="Arial"/>
        </w:rPr>
        <w:t xml:space="preserve">Processo n. 67693-1/14 – </w:t>
      </w:r>
      <w:hyperlink r:id="rId2" w:history="1">
        <w:r w:rsidR="00AD137D" w:rsidRPr="00AD137D">
          <w:rPr>
            <w:rStyle w:val="Hyperlink"/>
            <w:rFonts w:ascii="Arial" w:hAnsi="Arial" w:cs="Arial"/>
            <w:color w:val="0000FF"/>
          </w:rPr>
          <w:t>Acórdão n. 4.911/2014 – Tribunal Pleno.</w:t>
        </w:r>
      </w:hyperlink>
    </w:p>
    <w:p w14:paraId="1C09DB4A" w14:textId="77777777" w:rsidR="00EA797D" w:rsidRPr="00AD137D" w:rsidRDefault="00EA797D" w:rsidP="00AD137D">
      <w:pPr>
        <w:numPr>
          <w:ilvl w:val="0"/>
          <w:numId w:val="4"/>
        </w:numPr>
        <w:ind w:left="426" w:hanging="284"/>
        <w:jc w:val="both"/>
        <w:rPr>
          <w:rFonts w:ascii="Arial" w:hAnsi="Arial" w:cs="Arial"/>
          <w:bCs/>
          <w:color w:val="0000FF"/>
          <w:sz w:val="20"/>
          <w:szCs w:val="20"/>
        </w:rPr>
      </w:pPr>
      <w:r w:rsidRPr="00AD137D">
        <w:rPr>
          <w:rFonts w:ascii="Arial" w:hAnsi="Arial" w:cs="Arial"/>
          <w:b/>
          <w:bCs/>
          <w:sz w:val="20"/>
          <w:szCs w:val="20"/>
        </w:rPr>
        <w:t>Altera:</w:t>
      </w:r>
      <w:r w:rsidRPr="00AD137D">
        <w:rPr>
          <w:rFonts w:ascii="Arial" w:hAnsi="Arial" w:cs="Arial"/>
          <w:bCs/>
          <w:sz w:val="20"/>
          <w:szCs w:val="20"/>
        </w:rPr>
        <w:t xml:space="preserve"> </w:t>
      </w:r>
      <w:hyperlink r:id="rId3" w:history="1">
        <w:r w:rsidRPr="00AD137D">
          <w:rPr>
            <w:rStyle w:val="Hyperlink"/>
            <w:rFonts w:ascii="Arial" w:hAnsi="Arial" w:cs="Arial"/>
            <w:bCs/>
            <w:color w:val="0000FF"/>
            <w:sz w:val="20"/>
            <w:szCs w:val="20"/>
          </w:rPr>
          <w:t>Instrução Normativa n. 93, de 19 de dezembro de 2013.</w:t>
        </w:r>
      </w:hyperlink>
    </w:p>
    <w:p w14:paraId="054444E9" w14:textId="4C47EFC1" w:rsidR="008471C1" w:rsidRPr="00EA797D" w:rsidRDefault="00EA797D" w:rsidP="00AD137D">
      <w:pPr>
        <w:numPr>
          <w:ilvl w:val="0"/>
          <w:numId w:val="4"/>
        </w:numPr>
        <w:ind w:left="426" w:hanging="284"/>
        <w:jc w:val="both"/>
        <w:rPr>
          <w:rFonts w:ascii="Arial" w:hAnsi="Arial" w:cs="Arial"/>
          <w:bCs/>
          <w:sz w:val="16"/>
          <w:szCs w:val="16"/>
        </w:rPr>
      </w:pPr>
      <w:r w:rsidRPr="00AD137D">
        <w:rPr>
          <w:rFonts w:ascii="Arial" w:hAnsi="Arial" w:cs="Arial"/>
          <w:b/>
          <w:bCs/>
          <w:color w:val="FF0000"/>
          <w:sz w:val="20"/>
          <w:szCs w:val="20"/>
        </w:rPr>
        <w:t>Revogada</w:t>
      </w:r>
      <w:r w:rsidRPr="00AD137D">
        <w:rPr>
          <w:rFonts w:ascii="Arial" w:hAnsi="Arial" w:cs="Arial"/>
          <w:bCs/>
          <w:sz w:val="20"/>
          <w:szCs w:val="20"/>
        </w:rPr>
        <w:t xml:space="preserve"> por:</w:t>
      </w:r>
      <w:r w:rsidRPr="00AD137D">
        <w:rPr>
          <w:rFonts w:ascii="Arial" w:hAnsi="Arial" w:cs="Arial"/>
          <w:bCs/>
          <w:color w:val="0000FF"/>
          <w:sz w:val="20"/>
          <w:szCs w:val="20"/>
        </w:rPr>
        <w:t xml:space="preserve"> </w:t>
      </w:r>
      <w:hyperlink r:id="rId4" w:history="1">
        <w:r w:rsidRPr="00AD137D">
          <w:rPr>
            <w:rStyle w:val="Hyperlink"/>
            <w:rFonts w:ascii="Arial" w:hAnsi="Arial" w:cs="Arial"/>
            <w:bCs/>
            <w:color w:val="0000FF"/>
            <w:sz w:val="20"/>
            <w:szCs w:val="20"/>
          </w:rPr>
          <w:t>Instrução Normativa n. 113, de 17 de dezembro de 2015</w:t>
        </w:r>
      </w:hyperlink>
      <w:r w:rsidRPr="00AD137D">
        <w:rPr>
          <w:rFonts w:ascii="Arial" w:hAnsi="Arial" w:cs="Arial"/>
          <w:b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CB91" w14:textId="77777777" w:rsidR="0066249C" w:rsidRDefault="00B56622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72A44E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79B21A31" w14:textId="77777777" w:rsidR="00334BB8" w:rsidRDefault="00334BB8" w:rsidP="004766DF">
    <w:pPr>
      <w:pStyle w:val="Cabealho"/>
      <w:spacing w:before="12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0C5BDCF6" w14:textId="77777777" w:rsidR="002E1F3E" w:rsidRDefault="002E1F3E" w:rsidP="002E1F3E">
    <w:pPr>
      <w:pStyle w:val="Cabealho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8FA"/>
    <w:multiLevelType w:val="hybridMultilevel"/>
    <w:tmpl w:val="240EB132"/>
    <w:lvl w:ilvl="0" w:tplc="52F6274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927B3"/>
    <w:multiLevelType w:val="hybridMultilevel"/>
    <w:tmpl w:val="03F6426A"/>
    <w:lvl w:ilvl="0" w:tplc="4CAAAC3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6781">
    <w:abstractNumId w:val="2"/>
  </w:num>
  <w:num w:numId="2" w16cid:durableId="2091543019">
    <w:abstractNumId w:val="1"/>
  </w:num>
  <w:num w:numId="3" w16cid:durableId="998774526">
    <w:abstractNumId w:val="0"/>
  </w:num>
  <w:num w:numId="4" w16cid:durableId="2010478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36C22"/>
    <w:rsid w:val="00053204"/>
    <w:rsid w:val="000605EE"/>
    <w:rsid w:val="00070A4B"/>
    <w:rsid w:val="00081959"/>
    <w:rsid w:val="00094F58"/>
    <w:rsid w:val="000A0122"/>
    <w:rsid w:val="000A0386"/>
    <w:rsid w:val="000B4E9F"/>
    <w:rsid w:val="000B79B7"/>
    <w:rsid w:val="000C68A9"/>
    <w:rsid w:val="000F06EE"/>
    <w:rsid w:val="001000B9"/>
    <w:rsid w:val="00105BF4"/>
    <w:rsid w:val="0011369C"/>
    <w:rsid w:val="00123DE1"/>
    <w:rsid w:val="0012745F"/>
    <w:rsid w:val="00142ADD"/>
    <w:rsid w:val="00146978"/>
    <w:rsid w:val="00147824"/>
    <w:rsid w:val="001543CD"/>
    <w:rsid w:val="00155EC7"/>
    <w:rsid w:val="001D07D2"/>
    <w:rsid w:val="001D0B09"/>
    <w:rsid w:val="001E2907"/>
    <w:rsid w:val="001F0B37"/>
    <w:rsid w:val="001F297B"/>
    <w:rsid w:val="00252933"/>
    <w:rsid w:val="00283F4D"/>
    <w:rsid w:val="00291D10"/>
    <w:rsid w:val="002A15EE"/>
    <w:rsid w:val="002C0E35"/>
    <w:rsid w:val="002E1F3E"/>
    <w:rsid w:val="002E3E39"/>
    <w:rsid w:val="00300126"/>
    <w:rsid w:val="003108CF"/>
    <w:rsid w:val="00334BB8"/>
    <w:rsid w:val="00352ECA"/>
    <w:rsid w:val="003705BD"/>
    <w:rsid w:val="00374244"/>
    <w:rsid w:val="003939F6"/>
    <w:rsid w:val="003C03F8"/>
    <w:rsid w:val="003C2825"/>
    <w:rsid w:val="00437544"/>
    <w:rsid w:val="004416A7"/>
    <w:rsid w:val="004505CE"/>
    <w:rsid w:val="004604F8"/>
    <w:rsid w:val="00460C5E"/>
    <w:rsid w:val="00464DA4"/>
    <w:rsid w:val="004766DF"/>
    <w:rsid w:val="004B5683"/>
    <w:rsid w:val="004C7958"/>
    <w:rsid w:val="00506D3A"/>
    <w:rsid w:val="005B6E99"/>
    <w:rsid w:val="005D42B6"/>
    <w:rsid w:val="005E595E"/>
    <w:rsid w:val="005F26C3"/>
    <w:rsid w:val="005F77FC"/>
    <w:rsid w:val="006509DA"/>
    <w:rsid w:val="0066249C"/>
    <w:rsid w:val="006817D5"/>
    <w:rsid w:val="006826EE"/>
    <w:rsid w:val="006B3F7F"/>
    <w:rsid w:val="00701946"/>
    <w:rsid w:val="007362B6"/>
    <w:rsid w:val="00754614"/>
    <w:rsid w:val="00773F6B"/>
    <w:rsid w:val="00777043"/>
    <w:rsid w:val="0078612B"/>
    <w:rsid w:val="00787410"/>
    <w:rsid w:val="00790839"/>
    <w:rsid w:val="007B541D"/>
    <w:rsid w:val="007B6480"/>
    <w:rsid w:val="007C38D1"/>
    <w:rsid w:val="007D7C2F"/>
    <w:rsid w:val="007F68E0"/>
    <w:rsid w:val="007F75CF"/>
    <w:rsid w:val="008471C1"/>
    <w:rsid w:val="00871987"/>
    <w:rsid w:val="008719F5"/>
    <w:rsid w:val="00874EBB"/>
    <w:rsid w:val="00881F22"/>
    <w:rsid w:val="00882A58"/>
    <w:rsid w:val="008A01F0"/>
    <w:rsid w:val="008D5003"/>
    <w:rsid w:val="00906E4D"/>
    <w:rsid w:val="00916D5F"/>
    <w:rsid w:val="00940DA6"/>
    <w:rsid w:val="00947334"/>
    <w:rsid w:val="009A1923"/>
    <w:rsid w:val="009B1DE2"/>
    <w:rsid w:val="009B718E"/>
    <w:rsid w:val="009C0475"/>
    <w:rsid w:val="009E1406"/>
    <w:rsid w:val="009E541F"/>
    <w:rsid w:val="00A03286"/>
    <w:rsid w:val="00A640E6"/>
    <w:rsid w:val="00A87661"/>
    <w:rsid w:val="00A953B5"/>
    <w:rsid w:val="00AA4452"/>
    <w:rsid w:val="00AB3FEC"/>
    <w:rsid w:val="00AC706A"/>
    <w:rsid w:val="00AD137D"/>
    <w:rsid w:val="00AD17AE"/>
    <w:rsid w:val="00AD2695"/>
    <w:rsid w:val="00AF7189"/>
    <w:rsid w:val="00B122F7"/>
    <w:rsid w:val="00B22DDC"/>
    <w:rsid w:val="00B33609"/>
    <w:rsid w:val="00B52B88"/>
    <w:rsid w:val="00B52FB3"/>
    <w:rsid w:val="00B56622"/>
    <w:rsid w:val="00B71E34"/>
    <w:rsid w:val="00B960A2"/>
    <w:rsid w:val="00B96EE0"/>
    <w:rsid w:val="00BE2988"/>
    <w:rsid w:val="00C17F9B"/>
    <w:rsid w:val="00C407CD"/>
    <w:rsid w:val="00C474AE"/>
    <w:rsid w:val="00C815D0"/>
    <w:rsid w:val="00C84F53"/>
    <w:rsid w:val="00C87498"/>
    <w:rsid w:val="00CD0DAD"/>
    <w:rsid w:val="00CD3EAB"/>
    <w:rsid w:val="00CE0A9A"/>
    <w:rsid w:val="00D361B6"/>
    <w:rsid w:val="00D50162"/>
    <w:rsid w:val="00D51F81"/>
    <w:rsid w:val="00D64123"/>
    <w:rsid w:val="00D73867"/>
    <w:rsid w:val="00D80342"/>
    <w:rsid w:val="00D86ADD"/>
    <w:rsid w:val="00DA5E5A"/>
    <w:rsid w:val="00DC5C74"/>
    <w:rsid w:val="00DE449D"/>
    <w:rsid w:val="00DF1050"/>
    <w:rsid w:val="00E0734C"/>
    <w:rsid w:val="00E16BE6"/>
    <w:rsid w:val="00E57786"/>
    <w:rsid w:val="00EA797D"/>
    <w:rsid w:val="00EC2AA7"/>
    <w:rsid w:val="00EC4961"/>
    <w:rsid w:val="00EF5FF1"/>
    <w:rsid w:val="00F40F61"/>
    <w:rsid w:val="00F5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6E19"/>
  <w15:chartTrackingRefBased/>
  <w15:docId w15:val="{770FFBDA-1B25-49F5-9048-02235BA0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E5778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57786"/>
    <w:rPr>
      <w:sz w:val="16"/>
      <w:szCs w:val="16"/>
    </w:rPr>
  </w:style>
  <w:style w:type="paragraph" w:customStyle="1" w:styleId="Ementa">
    <w:name w:val="Ementa"/>
    <w:basedOn w:val="Normal"/>
    <w:rsid w:val="00E57786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orpodetexto">
    <w:name w:val="Body Text"/>
    <w:basedOn w:val="Normal"/>
    <w:link w:val="CorpodetextoChar"/>
    <w:rsid w:val="009B1DE2"/>
    <w:pPr>
      <w:spacing w:after="120"/>
    </w:pPr>
  </w:style>
  <w:style w:type="character" w:customStyle="1" w:styleId="CorpodetextoChar">
    <w:name w:val="Corpo de texto Char"/>
    <w:link w:val="Corpodetexto"/>
    <w:rsid w:val="009B1DE2"/>
    <w:rPr>
      <w:sz w:val="24"/>
      <w:szCs w:val="24"/>
    </w:rPr>
  </w:style>
  <w:style w:type="character" w:customStyle="1" w:styleId="RodapChar">
    <w:name w:val="Rodapé Char"/>
    <w:link w:val="Rodap"/>
    <w:rsid w:val="009B1DE2"/>
    <w:rPr>
      <w:sz w:val="24"/>
      <w:szCs w:val="24"/>
    </w:rPr>
  </w:style>
  <w:style w:type="character" w:styleId="Hyperlink">
    <w:name w:val="Hyperlink"/>
    <w:rsid w:val="00036C22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36C2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8471C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471C1"/>
  </w:style>
  <w:style w:type="character" w:styleId="Refdenotaderodap">
    <w:name w:val="footnote reference"/>
    <w:rsid w:val="00847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1.tce.pr.gov.br/conteudo/instrucao-normativa-n-93-de-19-de-dezembro-de-2013/250107/area/5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1.tce.pr.gov.br/conteudo/instrucao-normativa-n-93-de-19-de-dezembro-de-2013/250107/area/5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1.tce.pr.gov.br/conteudo/instrucao-normativa-n-93-de-19-de-dezembro-de-2013/250107/area/5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93-de-19-de-dezembro-de-2013/250107/area/54" TargetMode="External"/><Relationship Id="rId2" Type="http://schemas.openxmlformats.org/officeDocument/2006/relationships/hyperlink" Target="https://www1.tce.pr.gov.br/multimidia/2014/9/pdf/00265972.pdf" TargetMode="External"/><Relationship Id="rId1" Type="http://schemas.openxmlformats.org/officeDocument/2006/relationships/hyperlink" Target="http://www1.tce.pr.gov.br/multimidia/2014/9/pdf/00266379.pdf" TargetMode="External"/><Relationship Id="rId4" Type="http://schemas.openxmlformats.org/officeDocument/2006/relationships/hyperlink" Target="http://www1.tce.pr.gov.br/conteudo/instrucao-normativa-n-113-de-17-de-dezembro-de-2015/279816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D1A41-AF5F-48E9-B396-D5787AB30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0834BCB-D1F0-468E-A6F5-B5DF7132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</cp:lastModifiedBy>
  <cp:revision>17</cp:revision>
  <dcterms:created xsi:type="dcterms:W3CDTF">2022-06-22T20:38:00Z</dcterms:created>
  <dcterms:modified xsi:type="dcterms:W3CDTF">2022-06-30T13:48:00Z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