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C1D5" w14:textId="77777777" w:rsidR="00FC5E2D" w:rsidRPr="000B267B" w:rsidRDefault="00FC5E2D" w:rsidP="000B267B">
      <w:pPr>
        <w:pStyle w:val="Ttulo1"/>
        <w:ind w:left="2124"/>
        <w:rPr>
          <w:rFonts w:ascii="Arial" w:hAnsi="Arial" w:cs="Arial"/>
          <w:sz w:val="28"/>
          <w:szCs w:val="28"/>
        </w:rPr>
      </w:pPr>
    </w:p>
    <w:p w14:paraId="2CC701FD" w14:textId="2CD63811" w:rsidR="002144B5" w:rsidRPr="000B267B" w:rsidRDefault="002144B5" w:rsidP="000B267B">
      <w:pPr>
        <w:pStyle w:val="Ttulo1"/>
        <w:rPr>
          <w:rFonts w:ascii="Arial" w:hAnsi="Arial" w:cs="Arial"/>
          <w:sz w:val="28"/>
          <w:szCs w:val="28"/>
        </w:rPr>
      </w:pPr>
      <w:r w:rsidRPr="000B267B">
        <w:rPr>
          <w:rFonts w:ascii="Arial" w:hAnsi="Arial" w:cs="Arial"/>
          <w:sz w:val="28"/>
          <w:szCs w:val="28"/>
        </w:rPr>
        <w:t xml:space="preserve">INSTRUÇÃO </w:t>
      </w:r>
      <w:r w:rsidR="00706A19" w:rsidRPr="000B267B">
        <w:rPr>
          <w:rFonts w:ascii="Arial" w:hAnsi="Arial" w:cs="Arial"/>
          <w:sz w:val="28"/>
          <w:szCs w:val="28"/>
        </w:rPr>
        <w:t xml:space="preserve">NORMATIVA N° </w:t>
      </w:r>
      <w:r w:rsidR="005C0A88" w:rsidRPr="000B267B">
        <w:rPr>
          <w:rFonts w:ascii="Arial" w:hAnsi="Arial" w:cs="Arial"/>
          <w:sz w:val="28"/>
          <w:szCs w:val="28"/>
        </w:rPr>
        <w:t>28/</w:t>
      </w:r>
      <w:r w:rsidRPr="000B267B">
        <w:rPr>
          <w:rFonts w:ascii="Arial" w:hAnsi="Arial" w:cs="Arial"/>
          <w:sz w:val="28"/>
          <w:szCs w:val="28"/>
        </w:rPr>
        <w:t>200</w:t>
      </w:r>
      <w:r w:rsidR="000C08CA" w:rsidRPr="000B267B">
        <w:rPr>
          <w:rFonts w:ascii="Arial" w:hAnsi="Arial" w:cs="Arial"/>
          <w:sz w:val="28"/>
          <w:szCs w:val="28"/>
        </w:rPr>
        <w:t>8</w:t>
      </w:r>
      <w:r w:rsidR="00447B4D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5766E47C" w14:textId="77777777" w:rsidR="00FC5E2D" w:rsidRDefault="00FC5E2D">
      <w:pPr>
        <w:jc w:val="both"/>
        <w:rPr>
          <w:rFonts w:ascii="Verdana" w:hAnsi="Verdana"/>
        </w:rPr>
      </w:pPr>
    </w:p>
    <w:p w14:paraId="430B532E" w14:textId="26A3D841" w:rsidR="00656022" w:rsidRPr="0091141A" w:rsidRDefault="00C2635D" w:rsidP="0091141A">
      <w:pPr>
        <w:pStyle w:val="Corpodetexto"/>
        <w:spacing w:before="240" w:after="240"/>
        <w:ind w:left="4536"/>
        <w:rPr>
          <w:rFonts w:ascii="Arial" w:hAnsi="Arial" w:cs="Arial"/>
          <w:bCs/>
          <w:i/>
          <w:iCs/>
          <w:sz w:val="22"/>
          <w:szCs w:val="22"/>
        </w:rPr>
      </w:pPr>
      <w:r w:rsidRPr="0091141A">
        <w:rPr>
          <w:rFonts w:ascii="Arial" w:hAnsi="Arial" w:cs="Arial"/>
          <w:bCs/>
          <w:i/>
          <w:iCs/>
          <w:sz w:val="22"/>
          <w:szCs w:val="22"/>
        </w:rPr>
        <w:t>Atualiza</w:t>
      </w:r>
      <w:r w:rsidR="00656022" w:rsidRPr="0091141A">
        <w:rPr>
          <w:rFonts w:ascii="Arial" w:hAnsi="Arial" w:cs="Arial"/>
          <w:bCs/>
          <w:i/>
          <w:iCs/>
          <w:sz w:val="22"/>
          <w:szCs w:val="22"/>
        </w:rPr>
        <w:t xml:space="preserve"> a Agenda de Obrigações</w:t>
      </w:r>
      <w:r w:rsidRPr="0091141A">
        <w:rPr>
          <w:rFonts w:ascii="Arial" w:hAnsi="Arial" w:cs="Arial"/>
          <w:bCs/>
          <w:i/>
          <w:iCs/>
          <w:sz w:val="22"/>
          <w:szCs w:val="22"/>
        </w:rPr>
        <w:t>,</w:t>
      </w:r>
      <w:r w:rsidR="00656022" w:rsidRPr="0091141A">
        <w:rPr>
          <w:rFonts w:ascii="Arial" w:hAnsi="Arial" w:cs="Arial"/>
          <w:bCs/>
          <w:i/>
          <w:iCs/>
          <w:sz w:val="22"/>
          <w:szCs w:val="22"/>
        </w:rPr>
        <w:t xml:space="preserve"> para o exercício de 200</w:t>
      </w:r>
      <w:r w:rsidR="000C08CA" w:rsidRPr="0091141A">
        <w:rPr>
          <w:rFonts w:ascii="Arial" w:hAnsi="Arial" w:cs="Arial"/>
          <w:bCs/>
          <w:i/>
          <w:iCs/>
          <w:sz w:val="22"/>
          <w:szCs w:val="22"/>
        </w:rPr>
        <w:t>9</w:t>
      </w:r>
      <w:r w:rsidR="00656022" w:rsidRPr="0091141A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Pr="0091141A">
        <w:rPr>
          <w:rFonts w:ascii="Arial" w:hAnsi="Arial" w:cs="Arial"/>
          <w:bCs/>
          <w:i/>
          <w:iCs/>
          <w:sz w:val="22"/>
          <w:szCs w:val="22"/>
        </w:rPr>
        <w:t xml:space="preserve">instituída pela </w:t>
      </w:r>
      <w:hyperlink r:id="rId7" w:history="1">
        <w:r w:rsidRPr="00620CCC">
          <w:rPr>
            <w:rStyle w:val="Hyperlink"/>
            <w:rFonts w:ascii="Arial" w:hAnsi="Arial" w:cs="Arial"/>
            <w:bCs/>
            <w:i/>
            <w:iCs/>
            <w:color w:val="0000FF"/>
            <w:sz w:val="22"/>
            <w:szCs w:val="22"/>
          </w:rPr>
          <w:t>Instrução Normativa nº 21/2008</w:t>
        </w:r>
      </w:hyperlink>
      <w:r w:rsidRPr="0091141A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656022" w:rsidRPr="0091141A">
        <w:rPr>
          <w:rFonts w:ascii="Arial" w:hAnsi="Arial" w:cs="Arial"/>
          <w:bCs/>
          <w:i/>
          <w:iCs/>
          <w:sz w:val="22"/>
          <w:szCs w:val="22"/>
        </w:rPr>
        <w:t xml:space="preserve">a ser observada pelos Municípios do Estado do Paraná, </w:t>
      </w:r>
      <w:r w:rsidR="00FC5E2D" w:rsidRPr="0091141A">
        <w:rPr>
          <w:rFonts w:ascii="Arial" w:hAnsi="Arial" w:cs="Arial"/>
          <w:bCs/>
          <w:i/>
          <w:iCs/>
          <w:sz w:val="22"/>
          <w:szCs w:val="22"/>
        </w:rPr>
        <w:t>suas</w:t>
      </w:r>
      <w:r w:rsidR="00656022" w:rsidRPr="0091141A">
        <w:rPr>
          <w:rFonts w:ascii="Arial" w:hAnsi="Arial" w:cs="Arial"/>
          <w:bCs/>
          <w:i/>
          <w:iCs/>
          <w:sz w:val="22"/>
          <w:szCs w:val="22"/>
        </w:rPr>
        <w:t xml:space="preserve"> respectivas entidades da Administração Direta e Indireta</w:t>
      </w:r>
      <w:r w:rsidR="00FC5E2D" w:rsidRPr="0091141A">
        <w:rPr>
          <w:rFonts w:ascii="Arial" w:hAnsi="Arial" w:cs="Arial"/>
          <w:bCs/>
          <w:i/>
          <w:iCs/>
          <w:sz w:val="22"/>
          <w:szCs w:val="22"/>
        </w:rPr>
        <w:t>, Empresas Estatais e Consórcios Intermunicipais</w:t>
      </w:r>
      <w:r w:rsidR="00656022" w:rsidRPr="0091141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482E135" w14:textId="77777777" w:rsidR="00656022" w:rsidRDefault="00656022">
      <w:pPr>
        <w:jc w:val="both"/>
        <w:rPr>
          <w:rFonts w:ascii="Verdana" w:hAnsi="Verdana"/>
        </w:rPr>
      </w:pPr>
    </w:p>
    <w:p w14:paraId="493CA669" w14:textId="2FE68E1E" w:rsidR="00C2635D" w:rsidRPr="0091141A" w:rsidRDefault="00656022" w:rsidP="0091141A">
      <w:pPr>
        <w:pStyle w:val="Corpodetexto"/>
        <w:spacing w:before="240"/>
        <w:ind w:firstLine="1134"/>
        <w:rPr>
          <w:rFonts w:ascii="Arial" w:hAnsi="Arial" w:cs="Arial"/>
          <w:sz w:val="24"/>
          <w:szCs w:val="24"/>
        </w:rPr>
      </w:pPr>
      <w:r w:rsidRPr="0091141A">
        <w:rPr>
          <w:rFonts w:ascii="Arial" w:hAnsi="Arial" w:cs="Arial"/>
          <w:b/>
          <w:bCs/>
          <w:sz w:val="24"/>
          <w:szCs w:val="24"/>
        </w:rPr>
        <w:t>Art. 1º</w:t>
      </w:r>
      <w:r w:rsidRPr="0091141A">
        <w:rPr>
          <w:rFonts w:ascii="Arial" w:hAnsi="Arial" w:cs="Arial"/>
          <w:sz w:val="24"/>
          <w:szCs w:val="24"/>
        </w:rPr>
        <w:t xml:space="preserve"> Fica </w:t>
      </w:r>
      <w:r w:rsidR="00C2635D" w:rsidRPr="0091141A">
        <w:rPr>
          <w:rFonts w:ascii="Arial" w:hAnsi="Arial" w:cs="Arial"/>
          <w:sz w:val="24"/>
          <w:szCs w:val="24"/>
        </w:rPr>
        <w:t xml:space="preserve">atualizada para o exercício de </w:t>
      </w:r>
      <w:smartTag w:uri="urn:schemas-microsoft-com:office:smarttags" w:element="metricconverter">
        <w:smartTagPr>
          <w:attr w:name="ProductID" w:val="2009, a"/>
        </w:smartTagPr>
        <w:r w:rsidR="00C2635D" w:rsidRPr="0091141A">
          <w:rPr>
            <w:rFonts w:ascii="Arial" w:hAnsi="Arial" w:cs="Arial"/>
            <w:sz w:val="24"/>
            <w:szCs w:val="24"/>
          </w:rPr>
          <w:t>2009,</w:t>
        </w:r>
        <w:r w:rsidRPr="0091141A">
          <w:rPr>
            <w:rFonts w:ascii="Arial" w:hAnsi="Arial" w:cs="Arial"/>
            <w:sz w:val="24"/>
            <w:szCs w:val="24"/>
          </w:rPr>
          <w:t xml:space="preserve"> a</w:t>
        </w:r>
      </w:smartTag>
      <w:r w:rsidRPr="0091141A">
        <w:rPr>
          <w:rFonts w:ascii="Arial" w:hAnsi="Arial" w:cs="Arial"/>
          <w:sz w:val="24"/>
          <w:szCs w:val="24"/>
        </w:rPr>
        <w:t xml:space="preserve"> Agenda de Obrigações </w:t>
      </w:r>
      <w:r w:rsidR="00C2635D" w:rsidRPr="0091141A">
        <w:rPr>
          <w:rFonts w:ascii="Arial" w:hAnsi="Arial" w:cs="Arial"/>
          <w:sz w:val="24"/>
          <w:szCs w:val="24"/>
        </w:rPr>
        <w:t>instituída pela</w:t>
      </w:r>
      <w:r w:rsidR="00C2635D" w:rsidRPr="00620CCC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8" w:history="1">
        <w:r w:rsidR="00C2635D" w:rsidRPr="00620CCC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Normativa nº 21/2008</w:t>
        </w:r>
      </w:hyperlink>
      <w:r w:rsidR="00C2635D" w:rsidRPr="0091141A">
        <w:rPr>
          <w:rFonts w:ascii="Arial" w:hAnsi="Arial" w:cs="Arial"/>
          <w:sz w:val="24"/>
          <w:szCs w:val="24"/>
        </w:rPr>
        <w:t>, na forma dos Anexos I, II, III, IV e V, desta Instrução Normativa.</w:t>
      </w:r>
    </w:p>
    <w:p w14:paraId="52AB7A0E" w14:textId="3BF0E9ED" w:rsidR="00656022" w:rsidRPr="0091141A" w:rsidRDefault="00541786" w:rsidP="0091141A">
      <w:pPr>
        <w:pStyle w:val="Corpodetexto"/>
        <w:spacing w:before="240"/>
        <w:ind w:firstLine="1134"/>
        <w:rPr>
          <w:rFonts w:ascii="Arial" w:hAnsi="Arial" w:cs="Arial"/>
          <w:sz w:val="24"/>
          <w:szCs w:val="24"/>
        </w:rPr>
      </w:pPr>
      <w:r w:rsidRPr="0091141A">
        <w:rPr>
          <w:rFonts w:ascii="Arial" w:hAnsi="Arial" w:cs="Arial"/>
          <w:b/>
          <w:bCs/>
          <w:sz w:val="24"/>
          <w:szCs w:val="24"/>
        </w:rPr>
        <w:t>Art. 2º</w:t>
      </w:r>
      <w:r w:rsidRPr="0091141A">
        <w:rPr>
          <w:rFonts w:ascii="Arial" w:hAnsi="Arial" w:cs="Arial"/>
          <w:sz w:val="24"/>
          <w:szCs w:val="24"/>
        </w:rPr>
        <w:t xml:space="preserve"> Esta Instrução Normativa entrará em vigor na data de sua publicação nos Atos Oficiais do Tribunal de Contas do Estado do Paraná.</w:t>
      </w:r>
    </w:p>
    <w:p w14:paraId="1776576F" w14:textId="77777777" w:rsidR="00541786" w:rsidRPr="0091141A" w:rsidRDefault="00541786">
      <w:pPr>
        <w:jc w:val="both"/>
        <w:rPr>
          <w:rFonts w:ascii="Arial" w:hAnsi="Arial" w:cs="Arial"/>
          <w:sz w:val="24"/>
          <w:szCs w:val="24"/>
        </w:rPr>
      </w:pPr>
    </w:p>
    <w:p w14:paraId="320509D4" w14:textId="77777777" w:rsidR="00656022" w:rsidRPr="0091141A" w:rsidRDefault="00656022">
      <w:pPr>
        <w:rPr>
          <w:rFonts w:ascii="Arial" w:hAnsi="Arial" w:cs="Arial"/>
          <w:i/>
          <w:iCs/>
          <w:sz w:val="24"/>
          <w:szCs w:val="24"/>
        </w:rPr>
      </w:pPr>
    </w:p>
    <w:p w14:paraId="0656CEF4" w14:textId="77777777" w:rsidR="00656022" w:rsidRPr="0091141A" w:rsidRDefault="00F36113" w:rsidP="0091141A">
      <w:pPr>
        <w:jc w:val="center"/>
        <w:rPr>
          <w:rFonts w:ascii="Arial" w:hAnsi="Arial" w:cs="Arial"/>
          <w:iCs/>
          <w:sz w:val="24"/>
          <w:szCs w:val="24"/>
        </w:rPr>
      </w:pPr>
      <w:r w:rsidRPr="0091141A">
        <w:rPr>
          <w:rFonts w:ascii="Arial" w:hAnsi="Arial" w:cs="Arial"/>
          <w:iCs/>
          <w:sz w:val="24"/>
          <w:szCs w:val="24"/>
        </w:rPr>
        <w:t>Sala das Sessões</w:t>
      </w:r>
      <w:r w:rsidR="00656022" w:rsidRPr="0091141A">
        <w:rPr>
          <w:rFonts w:ascii="Arial" w:hAnsi="Arial" w:cs="Arial"/>
          <w:iCs/>
          <w:sz w:val="24"/>
          <w:szCs w:val="24"/>
        </w:rPr>
        <w:t>,</w:t>
      </w:r>
      <w:r w:rsidR="00FC5E2D" w:rsidRPr="0091141A">
        <w:rPr>
          <w:rFonts w:ascii="Arial" w:hAnsi="Arial" w:cs="Arial"/>
          <w:iCs/>
          <w:sz w:val="24"/>
          <w:szCs w:val="24"/>
        </w:rPr>
        <w:t xml:space="preserve"> </w:t>
      </w:r>
      <w:r w:rsidRPr="0091141A">
        <w:rPr>
          <w:rFonts w:ascii="Arial" w:hAnsi="Arial" w:cs="Arial"/>
          <w:iCs/>
          <w:sz w:val="24"/>
          <w:szCs w:val="24"/>
        </w:rPr>
        <w:t>em 18</w:t>
      </w:r>
      <w:r w:rsidR="00656022" w:rsidRPr="0091141A">
        <w:rPr>
          <w:rFonts w:ascii="Arial" w:hAnsi="Arial" w:cs="Arial"/>
          <w:iCs/>
          <w:sz w:val="24"/>
          <w:szCs w:val="24"/>
        </w:rPr>
        <w:t xml:space="preserve"> de </w:t>
      </w:r>
      <w:r w:rsidR="00706A19" w:rsidRPr="0091141A">
        <w:rPr>
          <w:rFonts w:ascii="Arial" w:hAnsi="Arial" w:cs="Arial"/>
          <w:iCs/>
          <w:sz w:val="24"/>
          <w:szCs w:val="24"/>
        </w:rPr>
        <w:t>dezembro</w:t>
      </w:r>
      <w:r w:rsidR="00656022" w:rsidRPr="0091141A">
        <w:rPr>
          <w:rFonts w:ascii="Arial" w:hAnsi="Arial" w:cs="Arial"/>
          <w:iCs/>
          <w:sz w:val="24"/>
          <w:szCs w:val="24"/>
        </w:rPr>
        <w:t xml:space="preserve"> de 200</w:t>
      </w:r>
      <w:r w:rsidR="000C08CA" w:rsidRPr="0091141A">
        <w:rPr>
          <w:rFonts w:ascii="Arial" w:hAnsi="Arial" w:cs="Arial"/>
          <w:iCs/>
          <w:sz w:val="24"/>
          <w:szCs w:val="24"/>
        </w:rPr>
        <w:t>8</w:t>
      </w:r>
      <w:r w:rsidR="00656022" w:rsidRPr="0091141A">
        <w:rPr>
          <w:rFonts w:ascii="Arial" w:hAnsi="Arial" w:cs="Arial"/>
          <w:iCs/>
          <w:sz w:val="24"/>
          <w:szCs w:val="24"/>
        </w:rPr>
        <w:t>.</w:t>
      </w:r>
    </w:p>
    <w:p w14:paraId="4B4E1E50" w14:textId="77777777" w:rsidR="00656022" w:rsidRPr="0091141A" w:rsidRDefault="00656022" w:rsidP="0091141A">
      <w:pPr>
        <w:jc w:val="center"/>
        <w:rPr>
          <w:rFonts w:ascii="Arial" w:hAnsi="Arial" w:cs="Arial"/>
          <w:sz w:val="24"/>
          <w:szCs w:val="24"/>
        </w:rPr>
      </w:pPr>
    </w:p>
    <w:p w14:paraId="0EEDBB55" w14:textId="77777777" w:rsidR="00656022" w:rsidRPr="0091141A" w:rsidRDefault="00656022" w:rsidP="0091141A">
      <w:pPr>
        <w:jc w:val="center"/>
        <w:rPr>
          <w:rFonts w:ascii="Arial" w:hAnsi="Arial" w:cs="Arial"/>
          <w:sz w:val="24"/>
          <w:szCs w:val="24"/>
        </w:rPr>
      </w:pPr>
    </w:p>
    <w:p w14:paraId="51385E4E" w14:textId="77777777" w:rsidR="00656022" w:rsidRPr="0091141A" w:rsidRDefault="00656022" w:rsidP="0091141A">
      <w:pPr>
        <w:jc w:val="center"/>
        <w:rPr>
          <w:rFonts w:ascii="Arial" w:hAnsi="Arial" w:cs="Arial"/>
          <w:sz w:val="24"/>
          <w:szCs w:val="24"/>
        </w:rPr>
      </w:pPr>
    </w:p>
    <w:p w14:paraId="7A86B98A" w14:textId="77777777" w:rsidR="00656022" w:rsidRPr="0091141A" w:rsidRDefault="00AA6D03" w:rsidP="009114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141A">
        <w:rPr>
          <w:rFonts w:ascii="Arial" w:hAnsi="Arial" w:cs="Arial"/>
          <w:b/>
          <w:bCs/>
          <w:sz w:val="24"/>
          <w:szCs w:val="24"/>
        </w:rPr>
        <w:t>NESTOR BAPTISTA</w:t>
      </w:r>
    </w:p>
    <w:p w14:paraId="1D88CFDB" w14:textId="77777777" w:rsidR="00656022" w:rsidRPr="0091141A" w:rsidRDefault="00656022" w:rsidP="0091141A">
      <w:pPr>
        <w:jc w:val="center"/>
        <w:rPr>
          <w:rFonts w:ascii="Arial" w:hAnsi="Arial" w:cs="Arial"/>
          <w:sz w:val="24"/>
          <w:szCs w:val="24"/>
        </w:rPr>
      </w:pPr>
      <w:r w:rsidRPr="0091141A">
        <w:rPr>
          <w:rFonts w:ascii="Arial" w:hAnsi="Arial" w:cs="Arial"/>
          <w:sz w:val="24"/>
          <w:szCs w:val="24"/>
        </w:rPr>
        <w:t>P</w:t>
      </w:r>
      <w:r w:rsidR="00136F33" w:rsidRPr="0091141A">
        <w:rPr>
          <w:rFonts w:ascii="Arial" w:hAnsi="Arial" w:cs="Arial"/>
          <w:sz w:val="24"/>
          <w:szCs w:val="24"/>
        </w:rPr>
        <w:t>residente</w:t>
      </w:r>
    </w:p>
    <w:sectPr w:rsidR="00656022" w:rsidRPr="0091141A" w:rsidSect="001E5CFB">
      <w:headerReference w:type="default" r:id="rId9"/>
      <w:footerReference w:type="even" r:id="rId10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BF3A" w14:textId="77777777" w:rsidR="00C16F7E" w:rsidRDefault="00C16F7E">
      <w:r>
        <w:separator/>
      </w:r>
    </w:p>
  </w:endnote>
  <w:endnote w:type="continuationSeparator" w:id="0">
    <w:p w14:paraId="6C2A6FB2" w14:textId="77777777" w:rsidR="00C16F7E" w:rsidRDefault="00C1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9712" w14:textId="77777777" w:rsidR="00AB587A" w:rsidRDefault="00AB58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095579" w14:textId="77777777" w:rsidR="00AB587A" w:rsidRDefault="00AB58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A154" w14:textId="77777777" w:rsidR="00C16F7E" w:rsidRDefault="00C16F7E">
      <w:r>
        <w:separator/>
      </w:r>
    </w:p>
  </w:footnote>
  <w:footnote w:type="continuationSeparator" w:id="0">
    <w:p w14:paraId="5F31B0E8" w14:textId="77777777" w:rsidR="00C16F7E" w:rsidRDefault="00C16F7E">
      <w:r>
        <w:continuationSeparator/>
      </w:r>
    </w:p>
  </w:footnote>
  <w:footnote w:id="1">
    <w:p w14:paraId="686A0A49" w14:textId="77777777" w:rsidR="00447B4D" w:rsidRPr="00B67FCB" w:rsidRDefault="00447B4D" w:rsidP="00447B4D">
      <w:pPr>
        <w:pStyle w:val="Textodenotaderodap"/>
        <w:rPr>
          <w:rFonts w:ascii="Arial" w:hAnsi="Arial" w:cs="Arial"/>
        </w:rPr>
      </w:pPr>
      <w:r w:rsidRPr="00B67FCB">
        <w:rPr>
          <w:rStyle w:val="Refdenotaderodap"/>
          <w:rFonts w:ascii="Arial" w:hAnsi="Arial" w:cs="Arial"/>
        </w:rPr>
        <w:footnoteRef/>
      </w:r>
      <w:r w:rsidRPr="00B67FCB">
        <w:rPr>
          <w:rFonts w:ascii="Arial" w:hAnsi="Arial" w:cs="Arial"/>
        </w:rPr>
        <w:t xml:space="preserve"> </w:t>
      </w:r>
      <w:bookmarkStart w:id="0" w:name="_Hlk9321415"/>
      <w:r w:rsidRPr="00B67FCB">
        <w:rPr>
          <w:rFonts w:ascii="Arial" w:hAnsi="Arial" w:cs="Arial"/>
          <w:b/>
        </w:rPr>
        <w:t>Notas da Biblioteca:</w:t>
      </w:r>
    </w:p>
    <w:bookmarkEnd w:id="0"/>
    <w:p w14:paraId="471973ED" w14:textId="25C4EE93" w:rsidR="00447B4D" w:rsidRPr="00B67FCB" w:rsidRDefault="00447B4D" w:rsidP="0048169F">
      <w:pPr>
        <w:pStyle w:val="Textodenotaderodap"/>
        <w:numPr>
          <w:ilvl w:val="0"/>
          <w:numId w:val="19"/>
        </w:numPr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B67FCB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10690C" w:rsidRPr="00620CCC">
          <w:rPr>
            <w:rStyle w:val="Hyperlink"/>
            <w:rFonts w:ascii="Arial" w:hAnsi="Arial" w:cs="Arial"/>
            <w:b/>
            <w:bCs/>
            <w:color w:val="0000FF"/>
          </w:rPr>
          <w:t>Atos Oficiais do Tribunal de Contas do Estado do Paraná</w:t>
        </w:r>
        <w:r w:rsidR="0010690C" w:rsidRPr="00620CCC">
          <w:rPr>
            <w:rStyle w:val="Hyperlink"/>
            <w:rFonts w:ascii="Arial" w:hAnsi="Arial" w:cs="Arial"/>
            <w:bCs/>
            <w:color w:val="0000FF"/>
          </w:rPr>
          <w:t>,</w:t>
        </w:r>
        <w:r w:rsidR="0010690C" w:rsidRPr="00620CCC">
          <w:rPr>
            <w:rStyle w:val="Hyperlink"/>
            <w:rFonts w:ascii="Arial" w:hAnsi="Arial" w:cs="Arial"/>
            <w:color w:val="0000FF"/>
          </w:rPr>
          <w:t xml:space="preserve"> Curitiba, PR, n. 182, 16 jan. 2009, p. 114-115</w:t>
        </w:r>
      </w:hyperlink>
      <w:r w:rsidR="0010690C" w:rsidRPr="00620CCC">
        <w:rPr>
          <w:rFonts w:ascii="Arial" w:hAnsi="Arial" w:cs="Arial"/>
          <w:color w:val="0000FF"/>
        </w:rPr>
        <w:t>.</w:t>
      </w:r>
    </w:p>
    <w:p w14:paraId="36812A08" w14:textId="500EFEFB" w:rsidR="00447B4D" w:rsidRPr="00620CCC" w:rsidRDefault="00620CCC" w:rsidP="0048169F">
      <w:pPr>
        <w:pStyle w:val="Ttulo1"/>
        <w:numPr>
          <w:ilvl w:val="0"/>
          <w:numId w:val="19"/>
        </w:numPr>
        <w:ind w:left="426" w:hanging="284"/>
        <w:jc w:val="both"/>
        <w:rPr>
          <w:rStyle w:val="Hyperlink"/>
          <w:rFonts w:ascii="Arial" w:hAnsi="Arial" w:cs="Arial"/>
          <w:b w:val="0"/>
          <w:bCs w:val="0"/>
          <w:color w:val="0000FF"/>
        </w:rPr>
      </w:pPr>
      <w:r w:rsidRPr="009C6FCD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B67FCB" w:rsidRPr="00B67FCB">
        <w:rPr>
          <w:rFonts w:ascii="Arial" w:hAnsi="Arial" w:cs="Arial"/>
          <w:b w:val="0"/>
          <w:bCs w:val="0"/>
        </w:rPr>
        <w:t xml:space="preserve">Processo n. 62659-2/08 – </w:t>
      </w:r>
      <w:hyperlink r:id="rId2" w:history="1">
        <w:r w:rsidR="00B67FCB" w:rsidRPr="00620CCC">
          <w:rPr>
            <w:rStyle w:val="Hyperlink"/>
            <w:rFonts w:ascii="Arial" w:hAnsi="Arial" w:cs="Arial"/>
            <w:b w:val="0"/>
            <w:bCs w:val="0"/>
            <w:color w:val="0000FF"/>
          </w:rPr>
          <w:t>Acórdão n. 1.835/2008 – Tribunal Pleno.</w:t>
        </w:r>
      </w:hyperlink>
    </w:p>
    <w:p w14:paraId="31319DB9" w14:textId="3FE60960" w:rsidR="00447B4D" w:rsidRPr="00777221" w:rsidRDefault="006B45A7" w:rsidP="0048169F">
      <w:pPr>
        <w:pStyle w:val="PargrafodaLista"/>
        <w:numPr>
          <w:ilvl w:val="0"/>
          <w:numId w:val="19"/>
        </w:numPr>
        <w:ind w:left="426" w:hanging="284"/>
        <w:jc w:val="both"/>
        <w:rPr>
          <w:rFonts w:ascii="Arial" w:hAnsi="Arial" w:cs="Arial"/>
        </w:rPr>
      </w:pPr>
      <w:r w:rsidRPr="00B67FCB">
        <w:rPr>
          <w:rFonts w:ascii="Arial" w:hAnsi="Arial" w:cs="Arial"/>
          <w:b/>
        </w:rPr>
        <w:t>Atualiza:</w:t>
      </w:r>
      <w:r w:rsidRPr="00B67FCB">
        <w:rPr>
          <w:rFonts w:ascii="Arial" w:hAnsi="Arial" w:cs="Arial"/>
        </w:rPr>
        <w:t xml:space="preserve"> </w:t>
      </w:r>
      <w:hyperlink r:id="rId3" w:history="1">
        <w:r w:rsidRPr="00620CCC">
          <w:rPr>
            <w:rStyle w:val="Hyperlink"/>
            <w:rFonts w:ascii="Arial" w:hAnsi="Arial" w:cs="Arial"/>
            <w:color w:val="0000FF"/>
          </w:rPr>
          <w:t>Instrução Normativa n. 21, de 17 de janeiro de 2008</w:t>
        </w:r>
      </w:hyperlink>
      <w:r w:rsidRPr="00620CCC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0C90" w14:textId="77777777" w:rsidR="001E5CFB" w:rsidRDefault="001E5CFB" w:rsidP="001E5CF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8ECEDF" wp14:editId="28A323B2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325891FE" w14:textId="77777777" w:rsidR="00AB587A" w:rsidRDefault="00AB587A">
    <w:pPr>
      <w:pStyle w:val="Cabealho"/>
      <w:jc w:val="center"/>
    </w:pPr>
  </w:p>
  <w:p w14:paraId="0AE57ED7" w14:textId="77777777" w:rsidR="00AB587A" w:rsidRDefault="00AB58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EB3"/>
    <w:multiLevelType w:val="hybridMultilevel"/>
    <w:tmpl w:val="5A3662EC"/>
    <w:lvl w:ilvl="0" w:tplc="456CCBE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5EC4DF0"/>
    <w:multiLevelType w:val="hybridMultilevel"/>
    <w:tmpl w:val="174C45E2"/>
    <w:lvl w:ilvl="0" w:tplc="0ED66424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07713D1D"/>
    <w:multiLevelType w:val="hybridMultilevel"/>
    <w:tmpl w:val="648E3C76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0ACA0EBA"/>
    <w:multiLevelType w:val="hybridMultilevel"/>
    <w:tmpl w:val="73D4136A"/>
    <w:lvl w:ilvl="0" w:tplc="C2CC7EF2">
      <w:start w:val="1"/>
      <w:numFmt w:val="lowerLetter"/>
      <w:lvlText w:val="%1)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C925C25"/>
    <w:multiLevelType w:val="hybridMultilevel"/>
    <w:tmpl w:val="47E80DB8"/>
    <w:lvl w:ilvl="0" w:tplc="9B4897B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EF6ED5"/>
    <w:multiLevelType w:val="hybridMultilevel"/>
    <w:tmpl w:val="816A2CA6"/>
    <w:lvl w:ilvl="0" w:tplc="95962CD2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186520C"/>
    <w:multiLevelType w:val="hybridMultilevel"/>
    <w:tmpl w:val="5A20E186"/>
    <w:lvl w:ilvl="0" w:tplc="1A2C6FA4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978"/>
    <w:multiLevelType w:val="hybridMultilevel"/>
    <w:tmpl w:val="8A32090A"/>
    <w:lvl w:ilvl="0" w:tplc="ADB6ADD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361D3E9B"/>
    <w:multiLevelType w:val="hybridMultilevel"/>
    <w:tmpl w:val="66042B78"/>
    <w:lvl w:ilvl="0" w:tplc="ADB6ADD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41D95DC4"/>
    <w:multiLevelType w:val="hybridMultilevel"/>
    <w:tmpl w:val="31FE34C4"/>
    <w:lvl w:ilvl="0" w:tplc="2272F568">
      <w:start w:val="1"/>
      <w:numFmt w:val="lowerLetter"/>
      <w:lvlText w:val="%1)"/>
      <w:lvlJc w:val="left"/>
      <w:pPr>
        <w:tabs>
          <w:tab w:val="num" w:pos="1864"/>
        </w:tabs>
        <w:ind w:left="1864" w:hanging="44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472F196D"/>
    <w:multiLevelType w:val="hybridMultilevel"/>
    <w:tmpl w:val="366E97FC"/>
    <w:lvl w:ilvl="0" w:tplc="9202C15A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476A6DF1"/>
    <w:multiLevelType w:val="hybridMultilevel"/>
    <w:tmpl w:val="FE6627D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E97495B"/>
    <w:multiLevelType w:val="hybridMultilevel"/>
    <w:tmpl w:val="CB0E7C54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5" w15:restartNumberingAfterBreak="0">
    <w:nsid w:val="53245AE0"/>
    <w:multiLevelType w:val="hybridMultilevel"/>
    <w:tmpl w:val="2CC00804"/>
    <w:lvl w:ilvl="0" w:tplc="4FBEB3FC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D8E6DF7"/>
    <w:multiLevelType w:val="hybridMultilevel"/>
    <w:tmpl w:val="6400C87E"/>
    <w:lvl w:ilvl="0" w:tplc="F0D237DC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66801B45"/>
    <w:multiLevelType w:val="hybridMultilevel"/>
    <w:tmpl w:val="BFB6524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2E5EF0"/>
    <w:multiLevelType w:val="hybridMultilevel"/>
    <w:tmpl w:val="CC36C712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630592096">
    <w:abstractNumId w:val="8"/>
  </w:num>
  <w:num w:numId="2" w16cid:durableId="278416503">
    <w:abstractNumId w:val="13"/>
  </w:num>
  <w:num w:numId="3" w16cid:durableId="1220046243">
    <w:abstractNumId w:val="5"/>
  </w:num>
  <w:num w:numId="4" w16cid:durableId="1729373895">
    <w:abstractNumId w:val="16"/>
  </w:num>
  <w:num w:numId="5" w16cid:durableId="1474830040">
    <w:abstractNumId w:val="6"/>
  </w:num>
  <w:num w:numId="6" w16cid:durableId="1999773142">
    <w:abstractNumId w:val="11"/>
  </w:num>
  <w:num w:numId="7" w16cid:durableId="1493179879">
    <w:abstractNumId w:val="1"/>
  </w:num>
  <w:num w:numId="8" w16cid:durableId="1527712538">
    <w:abstractNumId w:val="9"/>
  </w:num>
  <w:num w:numId="9" w16cid:durableId="173737469">
    <w:abstractNumId w:val="2"/>
  </w:num>
  <w:num w:numId="10" w16cid:durableId="1855069787">
    <w:abstractNumId w:val="18"/>
  </w:num>
  <w:num w:numId="11" w16cid:durableId="992413570">
    <w:abstractNumId w:val="14"/>
  </w:num>
  <w:num w:numId="12" w16cid:durableId="1065879242">
    <w:abstractNumId w:val="0"/>
  </w:num>
  <w:num w:numId="13" w16cid:durableId="409161500">
    <w:abstractNumId w:val="3"/>
  </w:num>
  <w:num w:numId="14" w16cid:durableId="687752805">
    <w:abstractNumId w:val="17"/>
  </w:num>
  <w:num w:numId="15" w16cid:durableId="1565068333">
    <w:abstractNumId w:val="10"/>
  </w:num>
  <w:num w:numId="16" w16cid:durableId="1418744257">
    <w:abstractNumId w:val="12"/>
  </w:num>
  <w:num w:numId="17" w16cid:durableId="769855832">
    <w:abstractNumId w:val="4"/>
  </w:num>
  <w:num w:numId="18" w16cid:durableId="546113872">
    <w:abstractNumId w:val="7"/>
  </w:num>
  <w:num w:numId="19" w16cid:durableId="892471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C"/>
    <w:rsid w:val="000171FB"/>
    <w:rsid w:val="000B267B"/>
    <w:rsid w:val="000C08CA"/>
    <w:rsid w:val="0010690C"/>
    <w:rsid w:val="00136F33"/>
    <w:rsid w:val="001377E0"/>
    <w:rsid w:val="001E51F0"/>
    <w:rsid w:val="001E5CFB"/>
    <w:rsid w:val="002144B5"/>
    <w:rsid w:val="0023198F"/>
    <w:rsid w:val="00243082"/>
    <w:rsid w:val="00247B5D"/>
    <w:rsid w:val="0038576A"/>
    <w:rsid w:val="003F306E"/>
    <w:rsid w:val="0043077A"/>
    <w:rsid w:val="00447B4D"/>
    <w:rsid w:val="0048169F"/>
    <w:rsid w:val="00541786"/>
    <w:rsid w:val="005A628B"/>
    <w:rsid w:val="005C0A88"/>
    <w:rsid w:val="005C6DFB"/>
    <w:rsid w:val="00620CCC"/>
    <w:rsid w:val="00636540"/>
    <w:rsid w:val="00643A75"/>
    <w:rsid w:val="00656022"/>
    <w:rsid w:val="006B45A7"/>
    <w:rsid w:val="00706A19"/>
    <w:rsid w:val="00773C44"/>
    <w:rsid w:val="00777221"/>
    <w:rsid w:val="00805034"/>
    <w:rsid w:val="00870555"/>
    <w:rsid w:val="0091141A"/>
    <w:rsid w:val="00997394"/>
    <w:rsid w:val="00A304BF"/>
    <w:rsid w:val="00AA6D03"/>
    <w:rsid w:val="00AB587A"/>
    <w:rsid w:val="00B67FCB"/>
    <w:rsid w:val="00BA5844"/>
    <w:rsid w:val="00C16F7E"/>
    <w:rsid w:val="00C2635D"/>
    <w:rsid w:val="00C7592F"/>
    <w:rsid w:val="00D107E1"/>
    <w:rsid w:val="00D522CD"/>
    <w:rsid w:val="00D86164"/>
    <w:rsid w:val="00DC27BC"/>
    <w:rsid w:val="00E94FB2"/>
    <w:rsid w:val="00E9756D"/>
    <w:rsid w:val="00EE1C5C"/>
    <w:rsid w:val="00F20A36"/>
    <w:rsid w:val="00F36113"/>
    <w:rsid w:val="00FA45F2"/>
    <w:rsid w:val="00FB0DAF"/>
    <w:rsid w:val="00FC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F9DA31"/>
  <w15:chartTrackingRefBased/>
  <w15:docId w15:val="{47836ECD-73BF-4480-A846-22323CB7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Tahoma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color w:val="0000FF"/>
    </w:rPr>
  </w:style>
  <w:style w:type="paragraph" w:styleId="Textodebalo">
    <w:name w:val="Balloon Text"/>
    <w:basedOn w:val="Normal"/>
    <w:semiHidden/>
    <w:rsid w:val="00DC27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5CFB"/>
  </w:style>
  <w:style w:type="paragraph" w:styleId="Textodenotaderodap">
    <w:name w:val="footnote text"/>
    <w:basedOn w:val="Normal"/>
    <w:link w:val="TextodenotaderodapChar"/>
    <w:rsid w:val="00447B4D"/>
  </w:style>
  <w:style w:type="character" w:customStyle="1" w:styleId="TextodenotaderodapChar">
    <w:name w:val="Texto de nota de rodapé Char"/>
    <w:basedOn w:val="Fontepargpadro"/>
    <w:link w:val="Textodenotaderodap"/>
    <w:rsid w:val="00447B4D"/>
  </w:style>
  <w:style w:type="character" w:styleId="Refdenotaderodap">
    <w:name w:val="footnote reference"/>
    <w:basedOn w:val="Fontepargpadro"/>
    <w:rsid w:val="00447B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47B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B45A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3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212008/1211/area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212008/1211/area/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212008/1211/area/10" TargetMode="External"/><Relationship Id="rId2" Type="http://schemas.openxmlformats.org/officeDocument/2006/relationships/hyperlink" Target="https://www1.tce.pr.gov.br/multimidia/2009/1/pdf/00017716.pdf" TargetMode="External"/><Relationship Id="rId1" Type="http://schemas.openxmlformats.org/officeDocument/2006/relationships/hyperlink" Target="http://www1.tce.pr.gov.br/multimidia/2009/1/pdf/000004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</cp:lastModifiedBy>
  <cp:revision>15</cp:revision>
  <cp:lastPrinted>2004-01-19T13:08:00Z</cp:lastPrinted>
  <dcterms:created xsi:type="dcterms:W3CDTF">2022-06-08T19:24:00Z</dcterms:created>
  <dcterms:modified xsi:type="dcterms:W3CDTF">2022-06-21T21:21:00Z</dcterms:modified>
</cp:coreProperties>
</file>