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B94A" w14:textId="1B3288B0" w:rsidR="00C4361C" w:rsidRPr="007135B3" w:rsidRDefault="00C4361C" w:rsidP="00C4361C">
      <w:pPr>
        <w:pStyle w:val="Assina"/>
        <w:spacing w:before="0" w:after="0" w:line="240" w:lineRule="auto"/>
        <w:rPr>
          <w:rFonts w:ascii="Arial" w:hAnsi="Arial" w:cs="Arial"/>
          <w:b/>
          <w:sz w:val="28"/>
          <w:szCs w:val="28"/>
        </w:rPr>
      </w:pPr>
      <w:r w:rsidRPr="007135B3">
        <w:rPr>
          <w:rFonts w:ascii="Arial" w:hAnsi="Arial" w:cs="Arial"/>
          <w:b/>
          <w:sz w:val="28"/>
          <w:szCs w:val="28"/>
        </w:rPr>
        <w:t xml:space="preserve">INSTRUÇÃO NORMATIVA Nº </w:t>
      </w:r>
      <w:r w:rsidR="002D129E" w:rsidRPr="007135B3">
        <w:rPr>
          <w:rFonts w:ascii="Arial" w:hAnsi="Arial" w:cs="Arial"/>
          <w:b/>
          <w:sz w:val="28"/>
          <w:szCs w:val="28"/>
        </w:rPr>
        <w:t>138/2018</w:t>
      </w:r>
      <w:r w:rsidR="001B4718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20AC2EA4" w14:textId="77777777" w:rsidR="00C4361C" w:rsidRPr="009F7635" w:rsidRDefault="00DB4327" w:rsidP="00F308C0">
      <w:pPr>
        <w:pStyle w:val="Assina"/>
        <w:spacing w:before="360" w:after="360" w:line="240" w:lineRule="auto"/>
        <w:ind w:left="3969"/>
        <w:jc w:val="both"/>
        <w:rPr>
          <w:rFonts w:ascii="Arial" w:hAnsi="Arial" w:cs="Arial"/>
          <w:i/>
          <w:sz w:val="22"/>
          <w:szCs w:val="22"/>
        </w:rPr>
      </w:pPr>
      <w:r w:rsidRPr="009F7635">
        <w:rPr>
          <w:rFonts w:ascii="Arial" w:hAnsi="Arial" w:cs="Arial"/>
          <w:i/>
          <w:sz w:val="22"/>
          <w:szCs w:val="22"/>
        </w:rPr>
        <w:t>Estabelece</w:t>
      </w:r>
      <w:r w:rsidR="00C4361C" w:rsidRPr="009F7635">
        <w:rPr>
          <w:rFonts w:ascii="Arial" w:hAnsi="Arial" w:cs="Arial"/>
          <w:i/>
          <w:sz w:val="22"/>
          <w:szCs w:val="22"/>
        </w:rPr>
        <w:t xml:space="preserve"> o escopo de análise</w:t>
      </w:r>
      <w:r w:rsidRPr="009F7635">
        <w:rPr>
          <w:rFonts w:ascii="Arial" w:hAnsi="Arial" w:cs="Arial"/>
          <w:i/>
          <w:sz w:val="22"/>
          <w:szCs w:val="22"/>
        </w:rPr>
        <w:t xml:space="preserve"> para as Prestações de</w:t>
      </w:r>
      <w:r w:rsidR="00C4361C" w:rsidRPr="009F7635">
        <w:rPr>
          <w:rFonts w:ascii="Arial" w:hAnsi="Arial" w:cs="Arial"/>
          <w:i/>
          <w:sz w:val="22"/>
          <w:szCs w:val="22"/>
        </w:rPr>
        <w:t xml:space="preserve"> </w:t>
      </w:r>
      <w:r w:rsidRPr="009F7635">
        <w:rPr>
          <w:rFonts w:ascii="Arial" w:hAnsi="Arial" w:cs="Arial"/>
          <w:i/>
          <w:sz w:val="22"/>
          <w:szCs w:val="22"/>
        </w:rPr>
        <w:t xml:space="preserve">Contas Anuais </w:t>
      </w:r>
      <w:r w:rsidR="003E5778" w:rsidRPr="009F7635">
        <w:rPr>
          <w:rFonts w:ascii="Arial" w:hAnsi="Arial" w:cs="Arial"/>
          <w:i/>
          <w:sz w:val="22"/>
          <w:szCs w:val="22"/>
        </w:rPr>
        <w:t>dos Municípios do Estado do Paraná, compreendendo os Poderes Legislativo e Executivo, suas administrações direta e indireta, Consórcios Intermunicipais, Empresas Públicas, Sociedades de Economia Mista e Fundações Públicas de Direito Privado, e dá outras providências.</w:t>
      </w:r>
    </w:p>
    <w:p w14:paraId="08860C7E" w14:textId="27665347" w:rsidR="00C4361C" w:rsidRPr="00400780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O </w:t>
      </w:r>
      <w:r w:rsidRPr="00400780">
        <w:rPr>
          <w:rFonts w:ascii="Arial" w:hAnsi="Arial" w:cs="Arial"/>
          <w:b/>
        </w:rPr>
        <w:t>TRIBUNAL DE CONTAS DO ESTADO DO PARANÁ</w:t>
      </w:r>
      <w:r w:rsidRPr="00400780">
        <w:rPr>
          <w:rFonts w:ascii="Arial" w:hAnsi="Arial" w:cs="Arial"/>
        </w:rPr>
        <w:t>, no uso das atribuições contidas no artigo 2º, I, da Lei Complementar n.º 113, de 15 de dezembro de 2005, e com base nos artigos 5º, XIII, 193 a 196, 216, § 2º, e 226, § 2º, do Regimento Interno,</w:t>
      </w:r>
      <w:r w:rsidR="00A10821">
        <w:rPr>
          <w:rFonts w:ascii="Arial" w:hAnsi="Arial" w:cs="Arial"/>
        </w:rPr>
        <w:t xml:space="preserve"> </w:t>
      </w:r>
      <w:r w:rsidR="00A10821" w:rsidRPr="00A10821">
        <w:rPr>
          <w:rFonts w:ascii="Arial" w:hAnsi="Arial" w:cs="Arial"/>
        </w:rPr>
        <w:t xml:space="preserve">e considerando o </w:t>
      </w:r>
      <w:hyperlink r:id="rId7" w:history="1">
        <w:r w:rsidR="00A10821" w:rsidRPr="0036151E">
          <w:rPr>
            <w:rStyle w:val="Hyperlink"/>
            <w:rFonts w:ascii="Arial" w:hAnsi="Arial" w:cs="Arial"/>
          </w:rPr>
          <w:t>Acórdão nº 73/18 – Tribunal Pleno</w:t>
        </w:r>
      </w:hyperlink>
      <w:r w:rsidR="00A10821" w:rsidRPr="00A10821">
        <w:rPr>
          <w:rFonts w:ascii="Arial" w:hAnsi="Arial" w:cs="Arial"/>
        </w:rPr>
        <w:t>, Processo nº 837723/17</w:t>
      </w:r>
      <w:r w:rsidR="00A10821">
        <w:rPr>
          <w:rFonts w:ascii="Arial" w:hAnsi="Arial" w:cs="Arial"/>
        </w:rPr>
        <w:t>,</w:t>
      </w:r>
    </w:p>
    <w:p w14:paraId="1999F91F" w14:textId="77777777" w:rsidR="00C4361C" w:rsidRPr="00400780" w:rsidRDefault="00C4361C" w:rsidP="007F24BE">
      <w:pPr>
        <w:pStyle w:val="Assina"/>
        <w:spacing w:before="240" w:after="240" w:line="240" w:lineRule="auto"/>
        <w:ind w:firstLine="1134"/>
        <w:jc w:val="both"/>
        <w:rPr>
          <w:rFonts w:ascii="Arial" w:hAnsi="Arial" w:cs="Arial"/>
          <w:b/>
        </w:rPr>
      </w:pPr>
      <w:r w:rsidRPr="00400780">
        <w:rPr>
          <w:rFonts w:ascii="Arial" w:hAnsi="Arial" w:cs="Arial"/>
          <w:b/>
        </w:rPr>
        <w:t>RESOLVE</w:t>
      </w:r>
    </w:p>
    <w:p w14:paraId="42F6C858" w14:textId="77777777" w:rsidR="003E5778" w:rsidRPr="00CA42B6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CA42B6">
        <w:rPr>
          <w:rFonts w:ascii="Arial" w:hAnsi="Arial" w:cs="Arial"/>
          <w:b/>
        </w:rPr>
        <w:t>Art. 1º</w:t>
      </w:r>
      <w:r w:rsidRPr="00400780">
        <w:rPr>
          <w:rFonts w:ascii="Arial" w:hAnsi="Arial" w:cs="Arial"/>
        </w:rPr>
        <w:t xml:space="preserve"> Esta Instrução Normativa estabelece </w:t>
      </w:r>
      <w:r w:rsidR="003E5778" w:rsidRPr="00CA42B6">
        <w:rPr>
          <w:rFonts w:ascii="Arial" w:hAnsi="Arial" w:cs="Arial"/>
        </w:rPr>
        <w:t>o escopo de análise para as Prestações de Contas Anuais dos Municípios do Estado do Paraná, compreendendo os Poderes Legislativo e Executivo, suas administrações direta e indireta, consórcios intermunicipais, empresas públicas, sociedades de economia mista e fundações públicas de direito privado.</w:t>
      </w:r>
    </w:p>
    <w:p w14:paraId="1070A6A6" w14:textId="77777777" w:rsidR="00C4361C" w:rsidRPr="00400780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§ 1º Para efeito das normas desta Instrução e da respectiva </w:t>
      </w:r>
      <w:r w:rsidR="003E5778">
        <w:rPr>
          <w:rFonts w:ascii="Arial" w:hAnsi="Arial" w:cs="Arial"/>
        </w:rPr>
        <w:t>P</w:t>
      </w:r>
      <w:r w:rsidRPr="00400780">
        <w:rPr>
          <w:rFonts w:ascii="Arial" w:hAnsi="Arial" w:cs="Arial"/>
        </w:rPr>
        <w:t xml:space="preserve">restação de </w:t>
      </w:r>
      <w:r w:rsidR="003E5778">
        <w:rPr>
          <w:rFonts w:ascii="Arial" w:hAnsi="Arial" w:cs="Arial"/>
        </w:rPr>
        <w:t>C</w:t>
      </w:r>
      <w:r w:rsidRPr="00400780">
        <w:rPr>
          <w:rFonts w:ascii="Arial" w:hAnsi="Arial" w:cs="Arial"/>
        </w:rPr>
        <w:t xml:space="preserve">ontas </w:t>
      </w:r>
      <w:r w:rsidR="003E5778">
        <w:rPr>
          <w:rFonts w:ascii="Arial" w:hAnsi="Arial" w:cs="Arial"/>
        </w:rPr>
        <w:t>A</w:t>
      </w:r>
      <w:r w:rsidR="00CA42B6">
        <w:rPr>
          <w:rFonts w:ascii="Arial" w:hAnsi="Arial" w:cs="Arial"/>
        </w:rPr>
        <w:t>nual</w:t>
      </w:r>
      <w:r w:rsidRPr="00400780">
        <w:rPr>
          <w:rFonts w:ascii="Arial" w:hAnsi="Arial" w:cs="Arial"/>
        </w:rPr>
        <w:t>, a Administração Indireta abrange:</w:t>
      </w:r>
    </w:p>
    <w:p w14:paraId="4CB5D724" w14:textId="77777777" w:rsidR="00C4361C" w:rsidRPr="00400780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I </w:t>
      </w:r>
      <w:r w:rsidR="0067425C">
        <w:rPr>
          <w:rFonts w:ascii="Arial" w:hAnsi="Arial" w:cs="Arial"/>
        </w:rPr>
        <w:t>– f</w:t>
      </w:r>
      <w:r w:rsidRPr="00400780">
        <w:rPr>
          <w:rFonts w:ascii="Arial" w:hAnsi="Arial" w:cs="Arial"/>
        </w:rPr>
        <w:t>undos com contabilidade descentralizada;</w:t>
      </w:r>
    </w:p>
    <w:p w14:paraId="770B59B0" w14:textId="77777777" w:rsidR="00C4361C" w:rsidRPr="00400780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II </w:t>
      </w:r>
      <w:r w:rsidR="0067425C">
        <w:rPr>
          <w:rFonts w:ascii="Arial" w:hAnsi="Arial" w:cs="Arial"/>
        </w:rPr>
        <w:t>– a</w:t>
      </w:r>
      <w:r w:rsidRPr="00400780">
        <w:rPr>
          <w:rFonts w:ascii="Arial" w:hAnsi="Arial" w:cs="Arial"/>
        </w:rPr>
        <w:t>utarquias;</w:t>
      </w:r>
    </w:p>
    <w:p w14:paraId="097CBE6F" w14:textId="77777777" w:rsidR="00C4361C" w:rsidRPr="00400780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III </w:t>
      </w:r>
      <w:r w:rsidR="0067425C">
        <w:rPr>
          <w:rFonts w:ascii="Arial" w:hAnsi="Arial" w:cs="Arial"/>
        </w:rPr>
        <w:t>– f</w:t>
      </w:r>
      <w:r w:rsidRPr="00400780">
        <w:rPr>
          <w:rFonts w:ascii="Arial" w:hAnsi="Arial" w:cs="Arial"/>
        </w:rPr>
        <w:t>undações de direito público;</w:t>
      </w:r>
    </w:p>
    <w:p w14:paraId="11A267CB" w14:textId="77777777" w:rsidR="00C4361C" w:rsidRPr="00400780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IV </w:t>
      </w:r>
      <w:r w:rsidR="0067425C">
        <w:rPr>
          <w:rFonts w:ascii="Arial" w:hAnsi="Arial" w:cs="Arial"/>
        </w:rPr>
        <w:t>– c</w:t>
      </w:r>
      <w:r w:rsidRPr="00400780">
        <w:rPr>
          <w:rFonts w:ascii="Arial" w:hAnsi="Arial" w:cs="Arial"/>
        </w:rPr>
        <w:t>onsórcios intermunicipais e entidades congêneres;</w:t>
      </w:r>
    </w:p>
    <w:p w14:paraId="1E748474" w14:textId="77777777" w:rsidR="00C4361C" w:rsidRPr="00400780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V </w:t>
      </w:r>
      <w:r w:rsidR="0067425C">
        <w:rPr>
          <w:rFonts w:ascii="Arial" w:hAnsi="Arial" w:cs="Arial"/>
        </w:rPr>
        <w:t>– e</w:t>
      </w:r>
      <w:r w:rsidRPr="00400780">
        <w:rPr>
          <w:rFonts w:ascii="Arial" w:hAnsi="Arial" w:cs="Arial"/>
        </w:rPr>
        <w:t>mpresas públicas;</w:t>
      </w:r>
    </w:p>
    <w:p w14:paraId="770A2855" w14:textId="77777777" w:rsidR="00C4361C" w:rsidRPr="00400780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VI </w:t>
      </w:r>
      <w:r w:rsidR="0067425C">
        <w:rPr>
          <w:rFonts w:ascii="Arial" w:hAnsi="Arial" w:cs="Arial"/>
        </w:rPr>
        <w:t>– s</w:t>
      </w:r>
      <w:r w:rsidRPr="00400780">
        <w:rPr>
          <w:rFonts w:ascii="Arial" w:hAnsi="Arial" w:cs="Arial"/>
        </w:rPr>
        <w:t>ociedades de economia mista;</w:t>
      </w:r>
    </w:p>
    <w:p w14:paraId="5BBA4F0C" w14:textId="77777777" w:rsidR="00C4361C" w:rsidRPr="00400780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VII </w:t>
      </w:r>
      <w:r w:rsidR="0067425C">
        <w:rPr>
          <w:rFonts w:ascii="Arial" w:hAnsi="Arial" w:cs="Arial"/>
        </w:rPr>
        <w:t>– f</w:t>
      </w:r>
      <w:r w:rsidRPr="00400780">
        <w:rPr>
          <w:rFonts w:ascii="Arial" w:hAnsi="Arial" w:cs="Arial"/>
        </w:rPr>
        <w:t>undações públicas de direito privado.</w:t>
      </w:r>
    </w:p>
    <w:p w14:paraId="1577571A" w14:textId="77777777" w:rsidR="00CA42B6" w:rsidRPr="00CA42B6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400780">
        <w:rPr>
          <w:rFonts w:ascii="Arial" w:hAnsi="Arial" w:cs="Arial"/>
        </w:rPr>
        <w:t xml:space="preserve">§ 2º Para efeito </w:t>
      </w:r>
      <w:r w:rsidR="00CA42B6" w:rsidRPr="00CA42B6">
        <w:rPr>
          <w:rFonts w:ascii="Arial" w:hAnsi="Arial" w:cs="Arial"/>
        </w:rPr>
        <w:t>de análise da Prestação de Contas Anual a ser realizada pela Coordenadoria de Fiscalização Municipal (COFIM), considera-se:</w:t>
      </w:r>
    </w:p>
    <w:p w14:paraId="1E554ED3" w14:textId="77777777" w:rsidR="00CA42B6" w:rsidRPr="00CA42B6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CA42B6">
        <w:rPr>
          <w:rFonts w:ascii="Arial" w:hAnsi="Arial" w:cs="Arial"/>
        </w:rPr>
        <w:t>I – Escopo: o conjunto de aspectos temáticos para ordenação da análise;</w:t>
      </w:r>
    </w:p>
    <w:p w14:paraId="49BDA7FA" w14:textId="77777777" w:rsidR="00CA42B6" w:rsidRPr="00CA42B6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CA42B6">
        <w:rPr>
          <w:rFonts w:ascii="Arial" w:hAnsi="Arial" w:cs="Arial"/>
        </w:rPr>
        <w:lastRenderedPageBreak/>
        <w:t>II – Itens de análise: rol das matérias objeto da análise.</w:t>
      </w:r>
    </w:p>
    <w:p w14:paraId="0BE20BEC" w14:textId="77777777" w:rsidR="00CA42B6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CA42B6">
        <w:rPr>
          <w:rFonts w:ascii="Arial" w:hAnsi="Arial" w:cs="Arial"/>
          <w:b/>
        </w:rPr>
        <w:t>Art. 2º</w:t>
      </w:r>
      <w:r w:rsidRPr="00CA42B6">
        <w:rPr>
          <w:rFonts w:ascii="Arial" w:hAnsi="Arial" w:cs="Arial"/>
        </w:rPr>
        <w:t xml:space="preserve"> O escopo </w:t>
      </w:r>
      <w:r w:rsidR="00CA42B6" w:rsidRPr="00CA42B6">
        <w:rPr>
          <w:rFonts w:ascii="Arial" w:hAnsi="Arial" w:cs="Arial"/>
        </w:rPr>
        <w:t>disposto nesta Instrução Normativa possui natureza ordenatória dos itens da análise para efeito da parametrização do analisador eletrônico.</w:t>
      </w:r>
    </w:p>
    <w:p w14:paraId="79F01800" w14:textId="77777777" w:rsidR="00CA42B6" w:rsidRPr="00CA42B6" w:rsidRDefault="002123DB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único.</w:t>
      </w:r>
      <w:r w:rsidR="00CA42B6" w:rsidRPr="00CA42B6">
        <w:rPr>
          <w:rFonts w:ascii="Arial" w:hAnsi="Arial" w:cs="Arial"/>
        </w:rPr>
        <w:t xml:space="preserve"> O escopo das Prestações de Contas Anuais dos Poderes Legislativo e Executivo, suas administrações direta e indireta, consórcios intermunicipais, empresas públicas, sociedades de economia mista e fundações públicas de direito privado será composto pelos itens de análise dispostos nos Anexos I, II e III desta Instrução Normativa.</w:t>
      </w:r>
    </w:p>
    <w:p w14:paraId="0AD5ABD8" w14:textId="77777777" w:rsidR="00CA42B6" w:rsidRDefault="00C4361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</w:rPr>
      </w:pPr>
      <w:r w:rsidRPr="00CA42B6">
        <w:rPr>
          <w:rFonts w:ascii="Arial" w:hAnsi="Arial" w:cs="Arial"/>
          <w:b/>
        </w:rPr>
        <w:t>Art. 3º</w:t>
      </w:r>
      <w:r w:rsidRPr="00CA42B6">
        <w:rPr>
          <w:rFonts w:ascii="Arial" w:hAnsi="Arial" w:cs="Arial"/>
        </w:rPr>
        <w:t xml:space="preserve"> A análise </w:t>
      </w:r>
      <w:r w:rsidR="00CA42B6" w:rsidRPr="00CA42B6">
        <w:rPr>
          <w:rFonts w:ascii="Arial" w:hAnsi="Arial" w:cs="Arial"/>
        </w:rPr>
        <w:t>da Prestação de Contas Anual será efetuada por instrução de caráter opinativo, destinada a subsidiar o julgamento ou o parecer prévio a ser emitido pelo órgão colegiado competente deste Tribunal.</w:t>
      </w:r>
    </w:p>
    <w:p w14:paraId="422E2A0D" w14:textId="77777777" w:rsidR="00191750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b/>
          <w:szCs w:val="24"/>
        </w:rPr>
        <w:t>Art. 4°</w:t>
      </w:r>
      <w:r w:rsidRPr="00076BA3">
        <w:rPr>
          <w:rFonts w:ascii="Arial" w:hAnsi="Arial" w:cs="Arial"/>
          <w:szCs w:val="24"/>
        </w:rPr>
        <w:t xml:space="preserve"> Observado o que dispõem o art. 16 da Lei Complementar Estadual nº 113/2005 e os </w:t>
      </w:r>
      <w:proofErr w:type="spellStart"/>
      <w:r w:rsidRPr="00076BA3">
        <w:rPr>
          <w:rFonts w:ascii="Arial" w:hAnsi="Arial" w:cs="Arial"/>
          <w:szCs w:val="24"/>
        </w:rPr>
        <w:t>arts</w:t>
      </w:r>
      <w:proofErr w:type="spellEnd"/>
      <w:r w:rsidRPr="00076BA3">
        <w:rPr>
          <w:rFonts w:ascii="Arial" w:hAnsi="Arial" w:cs="Arial"/>
          <w:szCs w:val="24"/>
        </w:rPr>
        <w:t>. 245, 352 e 353 do Regimento Interno, a instrução conclusiva consignará alguma das seguintes conclusões quanto ao resultado das contas:</w:t>
      </w:r>
    </w:p>
    <w:p w14:paraId="0010117D" w14:textId="77777777" w:rsidR="00CA42B6" w:rsidRPr="00076BA3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szCs w:val="24"/>
        </w:rPr>
        <w:t>I – Regulares;</w:t>
      </w:r>
    </w:p>
    <w:p w14:paraId="037B96F2" w14:textId="77777777" w:rsidR="00191750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szCs w:val="24"/>
        </w:rPr>
        <w:t>II – Regulares com ressalva(s);</w:t>
      </w:r>
    </w:p>
    <w:p w14:paraId="375A6DAD" w14:textId="77777777" w:rsidR="00CA42B6" w:rsidRPr="00076BA3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szCs w:val="24"/>
        </w:rPr>
        <w:t>III – Irregulares.</w:t>
      </w:r>
    </w:p>
    <w:p w14:paraId="232E49FA" w14:textId="77777777" w:rsidR="00CA42B6" w:rsidRPr="00076BA3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szCs w:val="24"/>
        </w:rPr>
        <w:t>§ 1º Na hipótese de conclusão pela irregularidade das contas, a instrução evidenciará e delimitará as responsabilidades, bem como identificará os responsáveis pelos fatos analisados, observado o disposto no art. 352, II a V, do Regimento Interno</w:t>
      </w:r>
      <w:r>
        <w:rPr>
          <w:rFonts w:ascii="Arial" w:hAnsi="Arial" w:cs="Arial"/>
          <w:szCs w:val="24"/>
        </w:rPr>
        <w:t>.</w:t>
      </w:r>
    </w:p>
    <w:p w14:paraId="41D8D210" w14:textId="77777777" w:rsidR="00CA42B6" w:rsidRPr="00076BA3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szCs w:val="24"/>
        </w:rPr>
        <w:t>§ 2º O opinativo pela irregularidade ou pela regularidade com ressalva(s) indicará as sanções e medidas legais aplicáveis.</w:t>
      </w:r>
    </w:p>
    <w:p w14:paraId="35FF8C46" w14:textId="77777777" w:rsidR="00CA42B6" w:rsidRPr="00076BA3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b/>
          <w:szCs w:val="24"/>
        </w:rPr>
        <w:t>Art. 5°</w:t>
      </w:r>
      <w:r w:rsidRPr="00076BA3">
        <w:rPr>
          <w:rFonts w:ascii="Arial" w:hAnsi="Arial" w:cs="Arial"/>
          <w:szCs w:val="24"/>
        </w:rPr>
        <w:t xml:space="preserve"> A análise da Prestação de Contas Anual não vincula exames futuros sobre a matéria e não implica em convalidação ou saneamento de fatos ou apontamentos não abrangidos pelo escopo.</w:t>
      </w:r>
    </w:p>
    <w:p w14:paraId="27B538D1" w14:textId="0461BCB5" w:rsidR="00CA42B6" w:rsidRPr="00076BA3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b/>
          <w:szCs w:val="24"/>
        </w:rPr>
        <w:t>Art. 6º</w:t>
      </w:r>
      <w:r w:rsidRPr="00076BA3">
        <w:rPr>
          <w:rFonts w:ascii="Arial" w:hAnsi="Arial" w:cs="Arial"/>
          <w:szCs w:val="24"/>
        </w:rPr>
        <w:t xml:space="preserve"> Os fatos não abrangidos pelo escopo serão apurados em outros procedimentos de fiscalização, preferencialmente por meio da Malha Eletrônica, conforme </w:t>
      </w:r>
      <w:hyperlink r:id="rId8" w:history="1">
        <w:r w:rsidRPr="00ED299D">
          <w:rPr>
            <w:rStyle w:val="Hyperlink"/>
            <w:rFonts w:ascii="Arial" w:hAnsi="Arial" w:cs="Arial"/>
            <w:szCs w:val="24"/>
          </w:rPr>
          <w:t>Instrução Normativa nº 122/</w:t>
        </w:r>
        <w:r w:rsidR="001D2474" w:rsidRPr="00ED299D">
          <w:rPr>
            <w:rStyle w:val="Hyperlink"/>
            <w:rFonts w:ascii="Arial" w:hAnsi="Arial" w:cs="Arial"/>
            <w:szCs w:val="24"/>
          </w:rPr>
          <w:t>20</w:t>
        </w:r>
        <w:r w:rsidRPr="00ED299D">
          <w:rPr>
            <w:rStyle w:val="Hyperlink"/>
            <w:rFonts w:ascii="Arial" w:hAnsi="Arial" w:cs="Arial"/>
            <w:szCs w:val="24"/>
          </w:rPr>
          <w:t>16</w:t>
        </w:r>
      </w:hyperlink>
      <w:r w:rsidRPr="00076BA3">
        <w:rPr>
          <w:rFonts w:ascii="Arial" w:hAnsi="Arial" w:cs="Arial"/>
          <w:szCs w:val="24"/>
        </w:rPr>
        <w:t>, ou outra ferramenta que vier a substitui-la.</w:t>
      </w:r>
    </w:p>
    <w:p w14:paraId="6E51662A" w14:textId="77777777" w:rsidR="00CA42B6" w:rsidRPr="00076BA3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076BA3">
        <w:rPr>
          <w:rFonts w:ascii="Arial" w:hAnsi="Arial" w:cs="Arial"/>
          <w:b/>
          <w:szCs w:val="24"/>
        </w:rPr>
        <w:t>Art. 7º</w:t>
      </w:r>
      <w:r w:rsidRPr="00076BA3">
        <w:rPr>
          <w:rFonts w:ascii="Arial" w:hAnsi="Arial" w:cs="Arial"/>
          <w:szCs w:val="24"/>
        </w:rPr>
        <w:t xml:space="preserve"> Os documentos que comporão os autos da Prestação de Contas Anual serão especificados em ato normativo próprio.</w:t>
      </w:r>
    </w:p>
    <w:p w14:paraId="43C95AF5" w14:textId="77777777" w:rsidR="00CA42B6" w:rsidRPr="00B43102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B43102">
        <w:rPr>
          <w:rFonts w:ascii="Arial" w:hAnsi="Arial" w:cs="Arial"/>
          <w:b/>
          <w:szCs w:val="24"/>
        </w:rPr>
        <w:t>Art. 8º</w:t>
      </w:r>
      <w:r w:rsidR="002004A8" w:rsidRPr="002004A8">
        <w:rPr>
          <w:rFonts w:ascii="Arial" w:hAnsi="Arial" w:cs="Arial"/>
          <w:szCs w:val="24"/>
        </w:rPr>
        <w:t xml:space="preserve"> </w:t>
      </w:r>
      <w:r w:rsidRPr="00B43102">
        <w:rPr>
          <w:rFonts w:ascii="Arial" w:hAnsi="Arial" w:cs="Arial"/>
          <w:szCs w:val="24"/>
        </w:rPr>
        <w:t xml:space="preserve">Os prazos para protocolização das Prestações de Contas Anuais estão previstos nos </w:t>
      </w:r>
      <w:proofErr w:type="spellStart"/>
      <w:r w:rsidRPr="00B43102">
        <w:rPr>
          <w:rFonts w:ascii="Arial" w:hAnsi="Arial" w:cs="Arial"/>
          <w:szCs w:val="24"/>
        </w:rPr>
        <w:t>arts</w:t>
      </w:r>
      <w:proofErr w:type="spellEnd"/>
      <w:r w:rsidRPr="00B43102">
        <w:rPr>
          <w:rFonts w:ascii="Arial" w:hAnsi="Arial" w:cs="Arial"/>
          <w:szCs w:val="24"/>
        </w:rPr>
        <w:t xml:space="preserve">. 23, § 1º, e 25 da Lei Complementar Estadual nº 113/2005, bem como no art. 225, </w:t>
      </w:r>
      <w:r w:rsidRPr="00B43102">
        <w:rPr>
          <w:rFonts w:ascii="Arial" w:hAnsi="Arial" w:cs="Arial"/>
          <w:i/>
          <w:szCs w:val="24"/>
        </w:rPr>
        <w:t>caput</w:t>
      </w:r>
      <w:r w:rsidRPr="00B43102">
        <w:rPr>
          <w:rFonts w:ascii="Arial" w:hAnsi="Arial" w:cs="Arial"/>
          <w:szCs w:val="24"/>
        </w:rPr>
        <w:t xml:space="preserve"> e parágrafo único, do Regimento Interno.</w:t>
      </w:r>
    </w:p>
    <w:p w14:paraId="1EB35308" w14:textId="77777777" w:rsidR="00CA42B6" w:rsidRPr="00B43102" w:rsidRDefault="00F9737E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A42B6" w:rsidRPr="00B43102">
        <w:rPr>
          <w:rFonts w:ascii="Arial" w:hAnsi="Arial" w:cs="Arial"/>
          <w:szCs w:val="24"/>
        </w:rPr>
        <w:t>I – A inobservância aos prazos sujeita o responsável pelo encaminhamento da Prestação de Contas Anual à multa administrativa prevista no art. 87, III, ‘a’, da Lei Complementar Estadual nº 113/2005.</w:t>
      </w:r>
    </w:p>
    <w:p w14:paraId="34273F8D" w14:textId="77777777" w:rsidR="00231EAB" w:rsidRDefault="00F9737E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 </w:t>
      </w:r>
      <w:r w:rsidR="00CA42B6" w:rsidRPr="00B43102">
        <w:rPr>
          <w:rFonts w:ascii="Arial" w:hAnsi="Arial" w:cs="Arial"/>
          <w:szCs w:val="24"/>
        </w:rPr>
        <w:t xml:space="preserve">II – Observado o disposto no art. 216, § 1º e art. 216-A do Regimento Interno, o </w:t>
      </w:r>
      <w:r w:rsidR="00CA42B6" w:rsidRPr="00B43102">
        <w:rPr>
          <w:rFonts w:ascii="Arial" w:hAnsi="Arial" w:cs="Arial"/>
        </w:rPr>
        <w:t xml:space="preserve">não atendimento ao prazo estabelecido em Agenda de Obrigações para entrega dos dados do Sistema de Informações Municipais – Acompanhamento Mensal (SIM-AM) também sujeita o responsável pela entrega à multa administrativa </w:t>
      </w:r>
      <w:r w:rsidR="00CA42B6" w:rsidRPr="00B43102">
        <w:rPr>
          <w:rFonts w:ascii="Arial" w:hAnsi="Arial" w:cs="Arial"/>
          <w:szCs w:val="24"/>
        </w:rPr>
        <w:t>prevista no art. 87, III, ‘b’, da Lei Complementar Estadual nº 113/2005.</w:t>
      </w:r>
    </w:p>
    <w:p w14:paraId="6B7ED8D9" w14:textId="3B2FCF0F" w:rsidR="00CA42B6" w:rsidRDefault="00CA42B6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  <w:r w:rsidRPr="00120E6B">
        <w:rPr>
          <w:rFonts w:ascii="Arial" w:hAnsi="Arial" w:cs="Arial"/>
          <w:b/>
          <w:szCs w:val="24"/>
        </w:rPr>
        <w:t>Art. 9º</w:t>
      </w:r>
      <w:r w:rsidRPr="00120E6B">
        <w:rPr>
          <w:rFonts w:ascii="Arial" w:hAnsi="Arial" w:cs="Arial"/>
          <w:szCs w:val="24"/>
        </w:rPr>
        <w:t xml:space="preserve"> Esta Instrução Normativa entrará em vigor na data de sua publicação.</w:t>
      </w:r>
    </w:p>
    <w:p w14:paraId="4C578EC8" w14:textId="77777777" w:rsidR="00F30E4C" w:rsidRPr="00120E6B" w:rsidRDefault="00F30E4C" w:rsidP="005662F5">
      <w:pPr>
        <w:pStyle w:val="Assina"/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</w:p>
    <w:p w14:paraId="7C51F59D" w14:textId="77777777" w:rsidR="00CA42B6" w:rsidRPr="00B43102" w:rsidRDefault="00CA42B6" w:rsidP="00F30E4C">
      <w:pPr>
        <w:pStyle w:val="Assina"/>
        <w:spacing w:before="360" w:after="0" w:line="240" w:lineRule="auto"/>
        <w:rPr>
          <w:rFonts w:ascii="Arial" w:hAnsi="Arial" w:cs="Arial"/>
          <w:szCs w:val="24"/>
        </w:rPr>
      </w:pPr>
      <w:r w:rsidRPr="00B43102">
        <w:rPr>
          <w:rFonts w:ascii="Arial" w:hAnsi="Arial" w:cs="Arial"/>
          <w:szCs w:val="24"/>
        </w:rPr>
        <w:t xml:space="preserve">Curitiba, </w:t>
      </w:r>
      <w:r w:rsidR="002D129E">
        <w:rPr>
          <w:rFonts w:ascii="Arial" w:hAnsi="Arial" w:cs="Arial"/>
          <w:szCs w:val="24"/>
        </w:rPr>
        <w:t>6</w:t>
      </w:r>
      <w:r w:rsidRPr="00B43102">
        <w:rPr>
          <w:rFonts w:ascii="Arial" w:hAnsi="Arial" w:cs="Arial"/>
          <w:szCs w:val="24"/>
        </w:rPr>
        <w:t xml:space="preserve"> de </w:t>
      </w:r>
      <w:r w:rsidR="002D129E">
        <w:rPr>
          <w:rFonts w:ascii="Arial" w:hAnsi="Arial" w:cs="Arial"/>
          <w:szCs w:val="24"/>
        </w:rPr>
        <w:t>fevereiro de 2018</w:t>
      </w:r>
      <w:r w:rsidRPr="00B43102">
        <w:rPr>
          <w:rFonts w:ascii="Arial" w:hAnsi="Arial" w:cs="Arial"/>
          <w:szCs w:val="24"/>
        </w:rPr>
        <w:t>.</w:t>
      </w:r>
    </w:p>
    <w:p w14:paraId="6F4880BE" w14:textId="77777777" w:rsidR="002D129E" w:rsidRPr="002D129E" w:rsidRDefault="002D129E" w:rsidP="002D129E">
      <w:pPr>
        <w:spacing w:before="360" w:line="240" w:lineRule="auto"/>
        <w:ind w:firstLine="0"/>
        <w:jc w:val="center"/>
        <w:rPr>
          <w:rFonts w:ascii="Arial" w:hAnsi="Arial" w:cs="Arial"/>
          <w:color w:val="808080"/>
          <w:szCs w:val="22"/>
        </w:rPr>
      </w:pPr>
      <w:r w:rsidRPr="002D129E">
        <w:rPr>
          <w:rFonts w:ascii="Arial" w:hAnsi="Arial" w:cs="Arial"/>
          <w:color w:val="808080"/>
          <w:szCs w:val="22"/>
        </w:rPr>
        <w:t>- assinatura digital -</w:t>
      </w:r>
    </w:p>
    <w:p w14:paraId="4B7FEAD7" w14:textId="77777777" w:rsidR="002D129E" w:rsidRPr="002D129E" w:rsidRDefault="002D129E" w:rsidP="002D129E">
      <w:pPr>
        <w:spacing w:line="240" w:lineRule="auto"/>
        <w:ind w:firstLine="0"/>
        <w:jc w:val="center"/>
        <w:rPr>
          <w:rFonts w:ascii="Arial" w:hAnsi="Arial" w:cs="Arial"/>
          <w:b/>
          <w:szCs w:val="22"/>
        </w:rPr>
      </w:pPr>
      <w:r w:rsidRPr="002D129E">
        <w:rPr>
          <w:rFonts w:ascii="Arial" w:hAnsi="Arial" w:cs="Arial"/>
          <w:b/>
          <w:szCs w:val="22"/>
        </w:rPr>
        <w:t>JOSÉ DURVAL MATTOS DO AMARAL</w:t>
      </w:r>
    </w:p>
    <w:p w14:paraId="056110A7" w14:textId="77777777" w:rsidR="002004A8" w:rsidRPr="002D129E" w:rsidRDefault="002D129E" w:rsidP="002D129E">
      <w:pPr>
        <w:pStyle w:val="Assina"/>
        <w:spacing w:before="0" w:after="0" w:line="240" w:lineRule="auto"/>
        <w:rPr>
          <w:rFonts w:ascii="Arial" w:hAnsi="Arial" w:cs="Arial"/>
          <w:bCs/>
          <w:iCs/>
          <w:szCs w:val="24"/>
        </w:rPr>
      </w:pPr>
      <w:r w:rsidRPr="002D129E">
        <w:rPr>
          <w:rFonts w:ascii="Arial" w:hAnsi="Arial" w:cs="Arial"/>
          <w:szCs w:val="22"/>
        </w:rPr>
        <w:t>Presidente</w:t>
      </w:r>
    </w:p>
    <w:p w14:paraId="77C88246" w14:textId="77777777" w:rsidR="00C4361C" w:rsidRPr="0065594D" w:rsidRDefault="002004A8" w:rsidP="0065594D">
      <w:pPr>
        <w:autoSpaceDE/>
        <w:autoSpaceDN/>
        <w:spacing w:before="0" w:after="0" w:line="24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  <w:bCs/>
          <w:iCs/>
          <w:szCs w:val="24"/>
        </w:rPr>
        <w:br w:type="page"/>
      </w:r>
      <w:r w:rsidR="00C4361C" w:rsidRPr="0065594D">
        <w:rPr>
          <w:rFonts w:ascii="Arial" w:hAnsi="Arial" w:cs="Arial"/>
          <w:b/>
          <w:bCs/>
        </w:rPr>
        <w:lastRenderedPageBreak/>
        <w:t xml:space="preserve">INSTRUÇÃO NORMATIVA Nº </w:t>
      </w:r>
      <w:r w:rsidR="0065594D">
        <w:rPr>
          <w:rFonts w:ascii="Arial" w:hAnsi="Arial" w:cs="Arial"/>
          <w:b/>
          <w:bCs/>
        </w:rPr>
        <w:t>138/2018</w:t>
      </w:r>
      <w:r w:rsidR="00C4361C" w:rsidRPr="0065594D">
        <w:rPr>
          <w:rFonts w:ascii="Arial" w:hAnsi="Arial" w:cs="Arial"/>
          <w:b/>
          <w:bCs/>
        </w:rPr>
        <w:t xml:space="preserve"> –</w:t>
      </w:r>
      <w:r w:rsidR="00400780" w:rsidRPr="0065594D">
        <w:rPr>
          <w:rFonts w:ascii="Arial" w:hAnsi="Arial" w:cs="Arial"/>
          <w:b/>
          <w:bCs/>
        </w:rPr>
        <w:t xml:space="preserve"> </w:t>
      </w:r>
      <w:r w:rsidR="00C4361C" w:rsidRPr="0065594D">
        <w:rPr>
          <w:rFonts w:ascii="Arial" w:hAnsi="Arial" w:cs="Arial"/>
          <w:b/>
          <w:bCs/>
        </w:rPr>
        <w:t>ESCOPO PCA 201</w:t>
      </w:r>
      <w:r w:rsidR="000F6573" w:rsidRPr="0065594D">
        <w:rPr>
          <w:rFonts w:ascii="Arial" w:hAnsi="Arial" w:cs="Arial"/>
          <w:b/>
          <w:bCs/>
        </w:rPr>
        <w:t>7</w:t>
      </w:r>
    </w:p>
    <w:p w14:paraId="623AACB1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</w:p>
    <w:p w14:paraId="7FFFE67A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400780">
        <w:rPr>
          <w:rFonts w:ascii="Arial" w:hAnsi="Arial" w:cs="Arial"/>
          <w:b/>
          <w:bCs/>
          <w:szCs w:val="24"/>
        </w:rPr>
        <w:t>ANEXO I</w:t>
      </w:r>
    </w:p>
    <w:p w14:paraId="1739D0E8" w14:textId="77777777" w:rsidR="00C4361C" w:rsidRPr="0065594D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szCs w:val="24"/>
        </w:rPr>
      </w:pPr>
    </w:p>
    <w:p w14:paraId="20100E0E" w14:textId="77777777" w:rsidR="00C4361C" w:rsidRPr="00400780" w:rsidRDefault="00C4361C" w:rsidP="0065594D">
      <w:pPr>
        <w:adjustRightInd w:val="0"/>
        <w:spacing w:before="0" w:after="120" w:line="240" w:lineRule="auto"/>
        <w:ind w:firstLine="0"/>
        <w:rPr>
          <w:rFonts w:ascii="Arial" w:hAnsi="Arial" w:cs="Arial"/>
          <w:szCs w:val="24"/>
        </w:rPr>
      </w:pPr>
      <w:r w:rsidRPr="00400780">
        <w:rPr>
          <w:rFonts w:ascii="Arial" w:hAnsi="Arial" w:cs="Arial"/>
          <w:b/>
          <w:bCs/>
          <w:szCs w:val="24"/>
        </w:rPr>
        <w:t xml:space="preserve">Aplicabilidade: </w:t>
      </w:r>
      <w:r w:rsidRPr="00400780">
        <w:rPr>
          <w:rFonts w:ascii="Arial" w:hAnsi="Arial" w:cs="Arial"/>
          <w:szCs w:val="24"/>
        </w:rPr>
        <w:t xml:space="preserve">Poderes </w:t>
      </w:r>
      <w:r w:rsidR="000F6573">
        <w:rPr>
          <w:rFonts w:ascii="Arial" w:hAnsi="Arial" w:cs="Arial"/>
          <w:szCs w:val="24"/>
        </w:rPr>
        <w:t xml:space="preserve">Legislativo e </w:t>
      </w:r>
      <w:r w:rsidRPr="00400780">
        <w:rPr>
          <w:rFonts w:ascii="Arial" w:hAnsi="Arial" w:cs="Arial"/>
          <w:szCs w:val="24"/>
        </w:rPr>
        <w:t>Executivo e respectivas entidades da administração indireta, compreendendo: fundos com contabilidade descentralizada; autarquias; fundações de direito público; consórcios intermunicipais e entidades congêneres.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"/>
        <w:gridCol w:w="1704"/>
        <w:gridCol w:w="10"/>
        <w:gridCol w:w="2268"/>
        <w:gridCol w:w="1953"/>
        <w:gridCol w:w="352"/>
        <w:gridCol w:w="357"/>
        <w:gridCol w:w="360"/>
        <w:gridCol w:w="1077"/>
      </w:tblGrid>
      <w:tr w:rsidR="00400780" w:rsidRPr="00400780" w14:paraId="7E1B06BE" w14:textId="77777777" w:rsidTr="00C4361C">
        <w:trPr>
          <w:trHeight w:val="93"/>
          <w:tblHeader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E44A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Seq.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9D0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Escopo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436D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Itens de Análise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5D1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Fundamento legal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8FC0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PE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7750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PL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2B9B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AI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903C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pacing w:val="-8"/>
                <w:sz w:val="20"/>
              </w:rPr>
              <w:t>Consórcios</w:t>
            </w:r>
          </w:p>
        </w:tc>
      </w:tr>
      <w:tr w:rsidR="00400780" w:rsidRPr="00400780" w14:paraId="234B7D01" w14:textId="77777777" w:rsidTr="00C4361C">
        <w:trPr>
          <w:trHeight w:val="35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99A9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18"/>
                <w:szCs w:val="24"/>
              </w:rPr>
              <w:t>1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E54E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18"/>
                <w:szCs w:val="24"/>
              </w:rPr>
              <w:t>Controle Interno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8D04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>1.1 – Encaminhamento do Relatório do Controle Interno</w:t>
            </w:r>
            <w:r w:rsidR="002004A8">
              <w:rPr>
                <w:rFonts w:ascii="Arial" w:hAnsi="Arial" w:cs="Arial"/>
                <w:sz w:val="18"/>
                <w:szCs w:val="24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CEB0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4º a 8º, Capítulo III, da LOTC (LCE nº 113/05)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EF8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0E9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1522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C399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0CBDBAF4" w14:textId="77777777" w:rsidTr="00C4361C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6096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3070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F946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>1.2 - O Relatório do Controle Interno apresenta o conteúdo mínimo prescrito pelo Tribunal</w:t>
            </w:r>
            <w:r w:rsidR="002004A8">
              <w:rPr>
                <w:rFonts w:ascii="Arial" w:hAnsi="Arial" w:cs="Arial"/>
                <w:sz w:val="18"/>
                <w:szCs w:val="24"/>
              </w:rPr>
              <w:t>.</w:t>
            </w:r>
            <w:r w:rsidRPr="00400780">
              <w:rPr>
                <w:rFonts w:ascii="Arial" w:hAnsi="Arial" w:cs="Arial"/>
                <w:sz w:val="18"/>
                <w:szCs w:val="24"/>
              </w:rPr>
              <w:t xml:space="preserve">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E24B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4º a 7º, Capítulo III, da LOTC (LCE nº 113/05)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5ECC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5BD9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865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E69C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73922154" w14:textId="77777777" w:rsidTr="00C4361C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D2AB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D485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C975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>1.3 – O Relatório do Controle Interno apresenta irregularidade passível de</w:t>
            </w:r>
            <w:r w:rsidR="002004A8">
              <w:rPr>
                <w:rFonts w:ascii="Arial" w:hAnsi="Arial" w:cs="Arial"/>
                <w:sz w:val="18"/>
                <w:szCs w:val="24"/>
              </w:rPr>
              <w:t xml:space="preserve"> desaprovação das contas anuais.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70DC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24"/>
              </w:rPr>
            </w:pP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31, 70 e 74 da Constituição Federal c/c </w:t>
            </w: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4º a 6º, Capítulo III, da LOTC (LCE nº 113/05)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7C5D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F0D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9DD9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8DC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79554D89" w14:textId="77777777" w:rsidTr="00C4361C">
        <w:trPr>
          <w:trHeight w:val="35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795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b/>
                <w:bCs/>
                <w:sz w:val="18"/>
                <w:szCs w:val="24"/>
              </w:rPr>
              <w:t>2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F91C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b/>
                <w:bCs/>
                <w:sz w:val="18"/>
                <w:szCs w:val="24"/>
              </w:rPr>
              <w:t>Resultado Orçamentário/</w:t>
            </w:r>
          </w:p>
          <w:p w14:paraId="0A4DA6B4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b/>
                <w:bCs/>
                <w:sz w:val="18"/>
                <w:szCs w:val="24"/>
              </w:rPr>
              <w:t>Financeiro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00DC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 xml:space="preserve">2.1 – Resultado orçamentário/financeiro de fontes não vinculadas a programas, convênios, operações de créditos e RPPS. Análise da situação consolidada do Poder Executivo. </w:t>
            </w:r>
          </w:p>
          <w:p w14:paraId="218ADDFA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>Obs.: O demonstrativo do resultado deverá conter todas as fontes (livres e vinculadas), porém a restrição será gerada em razão de déficit nas fontes livres.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826E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18"/>
                <w:szCs w:val="24"/>
              </w:rPr>
            </w:pPr>
            <w:r w:rsidRPr="00400780">
              <w:rPr>
                <w:rFonts w:ascii="Arial" w:hAnsi="Arial" w:cs="Arial"/>
                <w:sz w:val="18"/>
                <w:szCs w:val="24"/>
              </w:rPr>
              <w:t xml:space="preserve">Art. 1º, §1º, c/c </w:t>
            </w:r>
            <w:proofErr w:type="spellStart"/>
            <w:r w:rsidRPr="00400780">
              <w:rPr>
                <w:rFonts w:ascii="Arial" w:hAnsi="Arial" w:cs="Arial"/>
                <w:sz w:val="18"/>
                <w:szCs w:val="24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18"/>
                <w:szCs w:val="24"/>
              </w:rPr>
              <w:t xml:space="preserve">. 9º e 13 da LC nº 101/00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A229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BD76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50A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F449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39894921" w14:textId="77777777" w:rsidTr="00C4361C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89BD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F300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0A97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2.2 – Repasses de recursos financeiros ao Poder Legislativo Municipal acima do previsto constitucionalmente e/ou no orçamento.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F030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29-A e 168 da Constituição Federal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3727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B9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C2B6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80C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7E892D42" w14:textId="77777777" w:rsidTr="00C4361C">
        <w:trPr>
          <w:trHeight w:val="1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53F9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6142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E6BD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2.3 - Divergências nos registros de transferências constitucionais dos repas</w:t>
            </w:r>
            <w:r w:rsidR="002004A8">
              <w:rPr>
                <w:rFonts w:ascii="Arial" w:hAnsi="Arial" w:cs="Arial"/>
                <w:sz w:val="20"/>
              </w:rPr>
              <w:t>ses de FPM, ICMS, IPVA e FUNDEB.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9843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39 e 91 da Lei Federal nº 4320/64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ED45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7357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B36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9992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6AC4AD34" w14:textId="77777777" w:rsidTr="00C4361C">
        <w:trPr>
          <w:trHeight w:val="946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382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480D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Resultado Patrimonial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D565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3.1 – Encaminhamento do Balanço Patrimonial emitido pelo Sistema de Contabilidade da Entidade e de sua respectiva publicação. Considera ainda a </w:t>
            </w:r>
            <w:r w:rsidRPr="00400780">
              <w:rPr>
                <w:rFonts w:ascii="Arial" w:hAnsi="Arial" w:cs="Arial"/>
                <w:sz w:val="20"/>
              </w:rPr>
              <w:lastRenderedPageBreak/>
              <w:t xml:space="preserve">hipótese de a publicação não atender às especificações. </w:t>
            </w:r>
          </w:p>
          <w:p w14:paraId="3BF03FC9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Obs.: O demonstrativo deverá estar ass</w:t>
            </w:r>
            <w:r w:rsidR="0021524B" w:rsidRPr="00400780">
              <w:rPr>
                <w:rFonts w:ascii="Arial" w:hAnsi="Arial" w:cs="Arial"/>
                <w:sz w:val="20"/>
              </w:rPr>
              <w:t>inado pelo contador responsável</w:t>
            </w:r>
            <w:r w:rsidR="002004A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CF6D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lastRenderedPageBreak/>
              <w:t xml:space="preserve">Art. 105 e 106, Capítulo IV, da Lei 4.320/64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2E10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EEC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653D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AA0E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320F0B95" w14:textId="77777777" w:rsidTr="00C4361C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A718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F94B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8738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3.2 – Divergências de saldos em quaisquer das classes ou grupos do Balanço Patrimonial emitido pelo Sistema de Contabilidade da Entidade e</w:t>
            </w:r>
            <w:r w:rsidR="0021524B" w:rsidRPr="00400780">
              <w:rPr>
                <w:rFonts w:ascii="Arial" w:hAnsi="Arial" w:cs="Arial"/>
                <w:sz w:val="20"/>
              </w:rPr>
              <w:t xml:space="preserve"> os dados enviados pelo SIM/AM.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2211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105 e 106 da Lei 4.320/64; Art. 24, §2º, da LCE nº 113/05 c/c Art. 215, §4º, do Regimento Interno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E542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D664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83C2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839E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480C4DF5" w14:textId="77777777" w:rsidTr="00C4361C">
        <w:trPr>
          <w:trHeight w:val="538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1C0A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54FE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Aplicação no ensino básico municipal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784E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4.1 – Aplicação do índice mínimo de 25% em manutenção e desenvolviment</w:t>
            </w:r>
            <w:r w:rsidR="0021524B" w:rsidRPr="00400780">
              <w:rPr>
                <w:rFonts w:ascii="Arial" w:hAnsi="Arial" w:cs="Arial"/>
                <w:sz w:val="20"/>
              </w:rPr>
              <w:t>o da educação básica municipal.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0E9E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212 da Constituição Federal c/c Lei Federal nº 11.494/07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ABC5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5BD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4990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BD34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6BA90D7A" w14:textId="77777777" w:rsidTr="00C4361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7BAF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AD95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1222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4.2 – Aplicação de no mínimo 60% dos recursos do FUNDE</w:t>
            </w:r>
            <w:r w:rsidR="0021524B" w:rsidRPr="00400780">
              <w:rPr>
                <w:rFonts w:ascii="Arial" w:hAnsi="Arial" w:cs="Arial"/>
                <w:sz w:val="20"/>
              </w:rPr>
              <w:t>B na remuneração do magistério.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7680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22 da Lei Federal nº 11.494/07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BF4D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CCA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2125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79A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40F2C9B2" w14:textId="77777777" w:rsidTr="00C4361C">
        <w:trPr>
          <w:trHeight w:val="9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ED71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E617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241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4.3 – Aplicação de no mínimo 95% dos recursos do FUNDEB no exercício da arrecadação. Saldo deixado de aplicar no primeiro trimestre do </w:t>
            </w:r>
            <w:r w:rsidR="0021524B" w:rsidRPr="00400780">
              <w:rPr>
                <w:rFonts w:ascii="Arial" w:hAnsi="Arial" w:cs="Arial"/>
                <w:sz w:val="20"/>
              </w:rPr>
              <w:t>exercício seguinte excede a 5%.</w:t>
            </w:r>
          </w:p>
          <w:p w14:paraId="608566C4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Obs.: Item a ser apontado como restrição no caso de não ser atingido o índice mínimo de 25% (4.1) </w:t>
            </w:r>
            <w:r w:rsidR="0021524B" w:rsidRPr="00400780">
              <w:rPr>
                <w:rFonts w:ascii="Arial" w:hAnsi="Arial" w:cs="Arial"/>
                <w:sz w:val="20"/>
              </w:rPr>
              <w:t>e o índice mínimo de 60% (4.2).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5068" w14:textId="77777777" w:rsidR="00C4361C" w:rsidRPr="00400780" w:rsidRDefault="00C4361C" w:rsidP="002004A8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Art. 21, caput e §</w:t>
            </w:r>
            <w:r w:rsidR="001D5119">
              <w:rPr>
                <w:rFonts w:ascii="Arial" w:hAnsi="Arial" w:cs="Arial"/>
                <w:sz w:val="20"/>
              </w:rPr>
              <w:t xml:space="preserve"> </w:t>
            </w:r>
            <w:r w:rsidRPr="00400780">
              <w:rPr>
                <w:rFonts w:ascii="Arial" w:hAnsi="Arial" w:cs="Arial"/>
                <w:sz w:val="20"/>
              </w:rPr>
              <w:t xml:space="preserve">2º, da Lei Federal nº 11.494/07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9281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27EC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400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4EB1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EF6F044" w14:textId="77777777" w:rsidTr="00C4361C">
        <w:trPr>
          <w:trHeight w:val="47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92F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189B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Aplicação em ações de saúde municipal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0AF39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5.1 – Aplicação do índice mínimo de 15% em se</w:t>
            </w:r>
            <w:r w:rsidR="008549BC">
              <w:rPr>
                <w:rFonts w:ascii="Arial" w:hAnsi="Arial" w:cs="Arial"/>
                <w:sz w:val="20"/>
              </w:rPr>
              <w:t>rviços e ações de saúde pública.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1165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198 da Constituição Federal c/c Art. 7º da LC nº 141/2012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3AE9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A14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8770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BA0B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37ABAF13" w14:textId="77777777" w:rsidTr="00C4361C">
        <w:trPr>
          <w:trHeight w:val="1293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4A5A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3CE1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Gestão do Regime Próprio de Previdência Social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69F1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6.1 – Encaminhamento do Certificado de Regularidade Previdenciária – CRP, emitido pelo Ministério da Previdência Social vigente na d</w:t>
            </w:r>
            <w:r w:rsidR="0021524B" w:rsidRPr="00400780">
              <w:rPr>
                <w:rFonts w:ascii="Arial" w:hAnsi="Arial" w:cs="Arial"/>
                <w:sz w:val="20"/>
              </w:rPr>
              <w:t>ata da prestação de contas</w:t>
            </w:r>
            <w:r w:rsidR="008549B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131A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Decreto Federal nº 3.788/01 c/c Lei Federal nº 9.717/98 e Art. 27 da Portaria MPS 402/08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8A0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60F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107C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4675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6B8F1673" w14:textId="77777777" w:rsidTr="00C4361C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4B10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7283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F34A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6.2 Percentual da taxa da obrigação patronal inferior à contribuição do servidor ou inferior a </w:t>
            </w:r>
            <w:r w:rsidRPr="00400780">
              <w:rPr>
                <w:rFonts w:ascii="Arial" w:hAnsi="Arial" w:cs="Arial"/>
                <w:sz w:val="20"/>
              </w:rPr>
              <w:lastRenderedPageBreak/>
              <w:t>11%</w:t>
            </w:r>
            <w:r w:rsidR="008549B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46B6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lastRenderedPageBreak/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2º e 3º da Lei nº 9.717/98 c/c Art. 3º, III, da Portaria MPS nº 402/08 e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lastRenderedPageBreak/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>. 26 e 28 da Orientação Normativa nº02/2009-SPS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6C0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lastRenderedPageBreak/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9C4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82D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5D67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721FD031" w14:textId="77777777" w:rsidTr="00C4361C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3867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C6B8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7210" w14:textId="77777777" w:rsidR="00140D5D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6.3 Encaminhamento da Lei que formaliza a opção escolhida para equacionamento do déficit, sendo exemplos: o aumento da alíquota ou a criação de alíquota complementar</w:t>
            </w:r>
            <w:r w:rsidR="008549B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94F8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>. 9º da Lei nº 9.717/98 c/c Art. 19 da Portaria MPS nº 403/2008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E10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E22B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8BFA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AF24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6FC72FA9" w14:textId="77777777" w:rsidTr="00C4361C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D904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59FA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9866" w14:textId="77777777" w:rsidR="00C4361C" w:rsidRDefault="00C4361C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6.4 – Pagamento de aportes para cobertura do déficit atuarial na forma apurada no Laudo Atuarial</w:t>
            </w:r>
          </w:p>
          <w:p w14:paraId="2A774CF5" w14:textId="77777777" w:rsidR="00140D5D" w:rsidRPr="00400780" w:rsidRDefault="00140D5D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2CEB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>. 9º da Lei nº 9.717/98 c/c Art. 18 e 19 da Portaria MPS 403/2008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0C02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A45C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2C2C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6A27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39435B4D" w14:textId="77777777" w:rsidTr="00C4361C">
        <w:trPr>
          <w:trHeight w:val="133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49E6" w14:textId="77777777" w:rsidR="00C4361C" w:rsidRPr="00400780" w:rsidRDefault="00140D5D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DECA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pacing w:val="-4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pacing w:val="-4"/>
                <w:sz w:val="20"/>
              </w:rPr>
              <w:t>Aspectos Fiscais - Lei de Responsabilidade Fiscal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A3E1" w14:textId="77777777" w:rsidR="00C4361C" w:rsidRPr="00400780" w:rsidRDefault="00140D5D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4361C" w:rsidRPr="00400780">
              <w:rPr>
                <w:rFonts w:ascii="Arial" w:hAnsi="Arial" w:cs="Arial"/>
                <w:sz w:val="20"/>
              </w:rPr>
              <w:t xml:space="preserve">.1 – Limite de despesas com pessoal – retorno ao limite e/ou redução de 1/3 nos prazos legais </w:t>
            </w:r>
          </w:p>
          <w:p w14:paraId="38B1C6EE" w14:textId="77777777" w:rsidR="00140D5D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Obs.: O cálculo levará em consideração as terceirizações de serviços nas áreas de saúde e ed</w:t>
            </w:r>
            <w:r w:rsidR="0021524B" w:rsidRPr="00400780">
              <w:rPr>
                <w:rFonts w:ascii="Arial" w:hAnsi="Arial" w:cs="Arial"/>
                <w:sz w:val="20"/>
              </w:rPr>
              <w:t>ucação – art. 18, § 1º, da LRF.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6A49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23 da Lei Complementar nº 101/00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337C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E207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1969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9615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0D359F7C" w14:textId="77777777" w:rsidTr="00C4361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713C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09F4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927B" w14:textId="77777777" w:rsidR="00C4361C" w:rsidRPr="00400780" w:rsidRDefault="00140D5D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4361C" w:rsidRPr="00400780">
              <w:rPr>
                <w:rFonts w:ascii="Arial" w:hAnsi="Arial" w:cs="Arial"/>
                <w:sz w:val="20"/>
              </w:rPr>
              <w:t>.2 – Realização da Audiência Pública para avaliação das metas fiscais</w:t>
            </w:r>
            <w:r w:rsidR="008549BC">
              <w:rPr>
                <w:rFonts w:ascii="Arial" w:hAnsi="Arial" w:cs="Arial"/>
                <w:sz w:val="20"/>
              </w:rPr>
              <w:t>.</w:t>
            </w:r>
            <w:r w:rsidR="00C4361C" w:rsidRPr="00400780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6567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9º, §4º, da Lei Complementar nº 101/00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0FC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8289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7B51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9916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7BD05D06" w14:textId="77777777" w:rsidTr="00C4361C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1E41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8505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EFC0" w14:textId="77777777" w:rsidR="00C4361C" w:rsidRPr="00400780" w:rsidRDefault="00140D5D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4361C" w:rsidRPr="00400780">
              <w:rPr>
                <w:rFonts w:ascii="Arial" w:hAnsi="Arial" w:cs="Arial"/>
                <w:sz w:val="20"/>
              </w:rPr>
              <w:t>.3 – Limite para a Dívida Consolidada – retorno ao limite e/ou re</w:t>
            </w:r>
            <w:r w:rsidR="0021524B" w:rsidRPr="00400780">
              <w:rPr>
                <w:rFonts w:ascii="Arial" w:hAnsi="Arial" w:cs="Arial"/>
                <w:sz w:val="20"/>
              </w:rPr>
              <w:t>dução de 25% nos prazos legais.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77E9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3º, II, da Resolução nº 40/01 do Senado Federal c/c </w:t>
            </w: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30, I, e 31 da Lei Complementar nº 101/00 e Art. 52, VI, da Constituição Federal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F35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5EAB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AEF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5840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1358614B" w14:textId="77777777" w:rsidTr="00C4361C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DDA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729C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B047" w14:textId="77777777" w:rsidR="00C4361C" w:rsidRPr="00400780" w:rsidRDefault="00140D5D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4361C" w:rsidRPr="00400780">
              <w:rPr>
                <w:rFonts w:ascii="Arial" w:hAnsi="Arial" w:cs="Arial"/>
                <w:sz w:val="20"/>
              </w:rPr>
              <w:t>.4 – Publicação dos Relatórios Resumidos da Execução Orçamentár</w:t>
            </w:r>
            <w:r w:rsidR="0021524B" w:rsidRPr="00400780">
              <w:rPr>
                <w:rFonts w:ascii="Arial" w:hAnsi="Arial" w:cs="Arial"/>
                <w:sz w:val="20"/>
              </w:rPr>
              <w:t xml:space="preserve">ia – RREO, no exercício de </w:t>
            </w:r>
            <w:r w:rsidR="0021524B" w:rsidRPr="002E1913">
              <w:rPr>
                <w:rFonts w:ascii="Arial" w:hAnsi="Arial" w:cs="Arial"/>
                <w:sz w:val="20"/>
              </w:rPr>
              <w:t>201</w:t>
            </w:r>
            <w:r w:rsidR="002E1913" w:rsidRPr="002E1913">
              <w:rPr>
                <w:rFonts w:ascii="Arial" w:hAnsi="Arial" w:cs="Arial"/>
                <w:sz w:val="20"/>
              </w:rPr>
              <w:t>7</w:t>
            </w:r>
            <w:r w:rsidR="008549B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52F6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52 e 53 da Lei Complementar nº 101/00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5F90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F9F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6795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7E9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7183BD21" w14:textId="77777777" w:rsidTr="00C4361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2614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B112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pacing w:val="-4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3D747" w14:textId="77777777" w:rsidR="00C4361C" w:rsidRPr="00400780" w:rsidRDefault="00140D5D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4361C" w:rsidRPr="00400780">
              <w:rPr>
                <w:rFonts w:ascii="Arial" w:hAnsi="Arial" w:cs="Arial"/>
                <w:sz w:val="20"/>
              </w:rPr>
              <w:t>.5 – Publicação dos Relatórios de Gestão Fis</w:t>
            </w:r>
            <w:r w:rsidR="0021524B" w:rsidRPr="00400780">
              <w:rPr>
                <w:rFonts w:ascii="Arial" w:hAnsi="Arial" w:cs="Arial"/>
                <w:sz w:val="20"/>
              </w:rPr>
              <w:t xml:space="preserve">cal – RGF, no exercício de </w:t>
            </w:r>
            <w:r w:rsidR="0021524B" w:rsidRPr="002E1913">
              <w:rPr>
                <w:rFonts w:ascii="Arial" w:hAnsi="Arial" w:cs="Arial"/>
                <w:sz w:val="20"/>
              </w:rPr>
              <w:t>201</w:t>
            </w:r>
            <w:r w:rsidR="002E1913">
              <w:rPr>
                <w:rFonts w:ascii="Arial" w:hAnsi="Arial" w:cs="Arial"/>
                <w:sz w:val="20"/>
              </w:rPr>
              <w:t>7</w:t>
            </w:r>
            <w:r w:rsidR="008549BC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B388" w14:textId="77777777" w:rsidR="00C4361C" w:rsidRPr="00400780" w:rsidRDefault="00C4361C" w:rsidP="008549BC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54 e 55, § 2º, da Lei Complementar nº 101/00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423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3C8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356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ED6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3951EF31" w14:textId="77777777" w:rsidTr="00C4361C">
        <w:trPr>
          <w:trHeight w:val="650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8D54" w14:textId="77777777" w:rsidR="00C4361C" w:rsidRPr="00400780" w:rsidRDefault="00140D5D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B08B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Gestão do Legislativo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CD51" w14:textId="77777777" w:rsidR="00C4361C" w:rsidRPr="00400780" w:rsidRDefault="00140D5D" w:rsidP="009E5B72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C4361C" w:rsidRPr="00400780">
              <w:rPr>
                <w:rFonts w:ascii="Arial" w:hAnsi="Arial" w:cs="Arial"/>
                <w:sz w:val="20"/>
              </w:rPr>
              <w:t>.1 – Extrapolação do teto constit</w:t>
            </w:r>
            <w:r w:rsidR="0021524B" w:rsidRPr="00400780">
              <w:rPr>
                <w:rFonts w:ascii="Arial" w:hAnsi="Arial" w:cs="Arial"/>
                <w:sz w:val="20"/>
              </w:rPr>
              <w:t>ucional para despesas da Câmara</w:t>
            </w:r>
            <w:r w:rsidR="009E5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69FB" w14:textId="77777777" w:rsidR="00C4361C" w:rsidRPr="00400780" w:rsidRDefault="00C4361C" w:rsidP="009E5B72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29-A da Constituição Federal, com a redação dada pela EC nº 58/2009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7595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633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49B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1F92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5007565C" w14:textId="77777777" w:rsidTr="00C4361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0BC3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ECF7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9141" w14:textId="77777777" w:rsidR="00C4361C" w:rsidRPr="00400780" w:rsidRDefault="00140D5D" w:rsidP="009E5B72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C4361C" w:rsidRPr="00400780">
              <w:rPr>
                <w:rFonts w:ascii="Arial" w:hAnsi="Arial" w:cs="Arial"/>
                <w:sz w:val="20"/>
              </w:rPr>
              <w:t>.2 – Extrapolação do limite para despesas com a folha de</w:t>
            </w:r>
            <w:r w:rsidR="0021524B" w:rsidRPr="00400780">
              <w:rPr>
                <w:rFonts w:ascii="Arial" w:hAnsi="Arial" w:cs="Arial"/>
                <w:sz w:val="20"/>
              </w:rPr>
              <w:t xml:space="preserve"> </w:t>
            </w:r>
            <w:r w:rsidR="0021524B" w:rsidRPr="00400780">
              <w:rPr>
                <w:rFonts w:ascii="Arial" w:hAnsi="Arial" w:cs="Arial"/>
                <w:sz w:val="20"/>
              </w:rPr>
              <w:lastRenderedPageBreak/>
              <w:t>pagamento</w:t>
            </w:r>
            <w:r w:rsidR="009E5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3612" w14:textId="77777777" w:rsidR="00C4361C" w:rsidRPr="00400780" w:rsidRDefault="00C4361C" w:rsidP="009E5B72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lastRenderedPageBreak/>
              <w:t xml:space="preserve">Art. 29-A da Constituição Federal, com a redação dada </w:t>
            </w:r>
            <w:r w:rsidRPr="00400780">
              <w:rPr>
                <w:rFonts w:ascii="Arial" w:hAnsi="Arial" w:cs="Arial"/>
                <w:sz w:val="20"/>
              </w:rPr>
              <w:lastRenderedPageBreak/>
              <w:t xml:space="preserve">pela EC nº 58/2009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00A4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84F2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0AE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68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1FEBFF60" w14:textId="77777777" w:rsidTr="00C4361C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D9EB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E5AF" w14:textId="77777777" w:rsidR="00C4361C" w:rsidRPr="00400780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5831" w14:textId="77777777" w:rsidR="00C4361C" w:rsidRPr="00400780" w:rsidRDefault="00140D5D" w:rsidP="009E5B72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C4361C" w:rsidRPr="00400780">
              <w:rPr>
                <w:rFonts w:ascii="Arial" w:hAnsi="Arial" w:cs="Arial"/>
                <w:sz w:val="20"/>
              </w:rPr>
              <w:t>.3 – Existência de superávit/déficit financeiro</w:t>
            </w:r>
            <w:r w:rsidR="0021524B" w:rsidRPr="00400780">
              <w:rPr>
                <w:rFonts w:ascii="Arial" w:hAnsi="Arial" w:cs="Arial"/>
                <w:sz w:val="20"/>
              </w:rPr>
              <w:t xml:space="preserve"> na fonte 001 – recursos livres</w:t>
            </w:r>
            <w:r w:rsidR="009E5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460A" w14:textId="77777777" w:rsidR="00C4361C" w:rsidRPr="00400780" w:rsidRDefault="00C4361C" w:rsidP="009E5B72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400780">
              <w:rPr>
                <w:rFonts w:ascii="Arial" w:hAnsi="Arial" w:cs="Arial"/>
                <w:sz w:val="20"/>
              </w:rPr>
              <w:t>Arts</w:t>
            </w:r>
            <w:proofErr w:type="spellEnd"/>
            <w:r w:rsidRPr="00400780">
              <w:rPr>
                <w:rFonts w:ascii="Arial" w:hAnsi="Arial" w:cs="Arial"/>
                <w:sz w:val="20"/>
              </w:rPr>
              <w:t xml:space="preserve">. 29-A, 165 e 168 da Constituição Federal c/c Art. 22 da Instrução Normativa nº 89/2013-TCEPR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B93D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1734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E8A6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2270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00780" w:rsidRPr="00400780" w14:paraId="02F624AA" w14:textId="77777777" w:rsidTr="00C4361C">
        <w:trPr>
          <w:trHeight w:val="35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D3CD" w14:textId="77777777" w:rsidR="00C4361C" w:rsidRPr="00400780" w:rsidRDefault="00140D5D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35B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Aspectos Financeiros dos Consórcios</w:t>
            </w:r>
          </w:p>
        </w:tc>
        <w:tc>
          <w:tcPr>
            <w:tcW w:w="1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89F1" w14:textId="77777777" w:rsidR="00C4361C" w:rsidRPr="00400780" w:rsidRDefault="00140D5D" w:rsidP="009E5B72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  <w:r w:rsidR="00C4361C" w:rsidRPr="00400780">
              <w:rPr>
                <w:rFonts w:ascii="Arial" w:hAnsi="Arial" w:cs="Arial"/>
                <w:sz w:val="20"/>
              </w:rPr>
              <w:t>.1 – Diferenças detectadas entre os valores repassados pelos municípios consorciados com os val</w:t>
            </w:r>
            <w:r w:rsidR="0021524B" w:rsidRPr="00400780">
              <w:rPr>
                <w:rFonts w:ascii="Arial" w:hAnsi="Arial" w:cs="Arial"/>
                <w:sz w:val="20"/>
              </w:rPr>
              <w:t>ores registrados pelo Consórcio</w:t>
            </w:r>
            <w:r w:rsidR="002E191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C1F0" w14:textId="77777777" w:rsidR="00C4361C" w:rsidRPr="00400780" w:rsidRDefault="00C4361C" w:rsidP="009E5B72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 xml:space="preserve">Art. 8º da Lei nº 11.107/05 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D06E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E74D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388F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9A4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  <w:tr w:rsidR="00400780" w:rsidRPr="00400780" w14:paraId="136956FA" w14:textId="77777777" w:rsidTr="00C4361C">
        <w:trPr>
          <w:trHeight w:val="622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3971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1</w:t>
            </w:r>
            <w:r w:rsidR="00140D5D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79ED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b/>
                <w:bCs/>
                <w:sz w:val="20"/>
              </w:rPr>
              <w:t>Transparência na Gestão Fiscal dos Consórcios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235B" w14:textId="77777777" w:rsidR="00C4361C" w:rsidRPr="00400780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1</w:t>
            </w:r>
            <w:r w:rsidR="00140D5D">
              <w:rPr>
                <w:rFonts w:ascii="Arial" w:hAnsi="Arial" w:cs="Arial"/>
                <w:sz w:val="20"/>
              </w:rPr>
              <w:t>0</w:t>
            </w:r>
            <w:r w:rsidRPr="00400780">
              <w:rPr>
                <w:rFonts w:ascii="Arial" w:hAnsi="Arial" w:cs="Arial"/>
                <w:sz w:val="20"/>
              </w:rPr>
              <w:t xml:space="preserve">.1 – Divulgação em meio eletrônico de acesso público do orçamento do Consórcio, do contrato de rateio, das demonstrações contábeis e dos demonstrativos fiscais, </w:t>
            </w:r>
            <w:r w:rsidR="0021524B" w:rsidRPr="00400780">
              <w:rPr>
                <w:rFonts w:ascii="Arial" w:hAnsi="Arial" w:cs="Arial"/>
                <w:sz w:val="20"/>
              </w:rPr>
              <w:t>realizadas no exercício de 201</w:t>
            </w:r>
            <w:r w:rsidR="002E1913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44FB" w14:textId="77777777" w:rsidR="00C4361C" w:rsidRPr="00400780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Art. 14 da Portaria STN nº 274/16 c/c Art. 48 da LC 101/2000 e Art. 8º da Lei nº 12.527/2011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2D1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4968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C737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57CD" w14:textId="77777777" w:rsidR="00C4361C" w:rsidRPr="00400780" w:rsidRDefault="00C4361C" w:rsidP="002E7217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400780">
              <w:rPr>
                <w:rFonts w:ascii="Arial" w:hAnsi="Arial" w:cs="Arial"/>
                <w:sz w:val="20"/>
              </w:rPr>
              <w:t>X</w:t>
            </w:r>
          </w:p>
        </w:tc>
      </w:tr>
    </w:tbl>
    <w:p w14:paraId="4B3A5FE7" w14:textId="77777777" w:rsidR="006913DE" w:rsidRPr="00400780" w:rsidRDefault="00C4361C" w:rsidP="006913DE">
      <w:pPr>
        <w:pStyle w:val="Default"/>
        <w:jc w:val="center"/>
        <w:rPr>
          <w:color w:val="auto"/>
        </w:rPr>
      </w:pPr>
      <w:r w:rsidRPr="00400780">
        <w:rPr>
          <w:color w:val="auto"/>
        </w:rPr>
        <w:br w:type="page"/>
      </w:r>
      <w:r w:rsidR="006913DE" w:rsidRPr="00400780">
        <w:rPr>
          <w:b/>
          <w:bCs/>
          <w:color w:val="auto"/>
        </w:rPr>
        <w:lastRenderedPageBreak/>
        <w:t xml:space="preserve">INSTRUÇÃO NORMATIVA Nº </w:t>
      </w:r>
      <w:r w:rsidR="0065594D">
        <w:rPr>
          <w:b/>
          <w:bCs/>
          <w:color w:val="auto"/>
        </w:rPr>
        <w:t>138</w:t>
      </w:r>
      <w:r w:rsidR="006913DE" w:rsidRPr="00400780">
        <w:rPr>
          <w:b/>
          <w:bCs/>
          <w:color w:val="auto"/>
        </w:rPr>
        <w:t>/201</w:t>
      </w:r>
      <w:r w:rsidR="0065594D">
        <w:rPr>
          <w:b/>
          <w:bCs/>
          <w:color w:val="auto"/>
        </w:rPr>
        <w:t>8</w:t>
      </w:r>
      <w:r w:rsidR="006913DE" w:rsidRPr="00400780">
        <w:rPr>
          <w:b/>
          <w:bCs/>
          <w:color w:val="auto"/>
        </w:rPr>
        <w:t xml:space="preserve"> – ESCOPO PCA 201</w:t>
      </w:r>
      <w:r w:rsidR="006913DE">
        <w:rPr>
          <w:b/>
          <w:bCs/>
          <w:color w:val="auto"/>
        </w:rPr>
        <w:t>7</w:t>
      </w:r>
    </w:p>
    <w:p w14:paraId="197E0BC5" w14:textId="77777777" w:rsidR="00C4361C" w:rsidRPr="006913DE" w:rsidRDefault="00C4361C" w:rsidP="006913DE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</w:p>
    <w:p w14:paraId="139638CB" w14:textId="77777777" w:rsidR="00C4361C" w:rsidRPr="00400780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400780">
        <w:rPr>
          <w:rFonts w:ascii="Arial" w:hAnsi="Arial" w:cs="Arial"/>
          <w:b/>
          <w:bCs/>
          <w:szCs w:val="24"/>
        </w:rPr>
        <w:t>ANEXO II</w:t>
      </w:r>
    </w:p>
    <w:p w14:paraId="050D8E61" w14:textId="77777777" w:rsidR="00C4361C" w:rsidRPr="0065594D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szCs w:val="24"/>
        </w:rPr>
      </w:pPr>
    </w:p>
    <w:p w14:paraId="741BCF6A" w14:textId="77777777" w:rsidR="00C4361C" w:rsidRPr="00400780" w:rsidRDefault="00C4361C" w:rsidP="0065594D">
      <w:pPr>
        <w:pStyle w:val="Assina"/>
        <w:spacing w:before="0" w:after="120" w:line="240" w:lineRule="auto"/>
        <w:jc w:val="both"/>
        <w:rPr>
          <w:rFonts w:ascii="Arial" w:hAnsi="Arial" w:cs="Arial"/>
          <w:szCs w:val="24"/>
        </w:rPr>
      </w:pPr>
      <w:r w:rsidRPr="00400780">
        <w:rPr>
          <w:rFonts w:ascii="Arial" w:hAnsi="Arial" w:cs="Arial"/>
          <w:b/>
          <w:bCs/>
          <w:szCs w:val="24"/>
        </w:rPr>
        <w:t xml:space="preserve">Aplicabilidade: </w:t>
      </w:r>
      <w:r w:rsidRPr="00400780">
        <w:rPr>
          <w:rFonts w:ascii="Arial" w:hAnsi="Arial" w:cs="Arial"/>
          <w:szCs w:val="24"/>
        </w:rPr>
        <w:t>Empresas Públicas, Sociedades de Economia Mista e Fundações Públicas de Direito Privado (Fundações Estatais).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1"/>
        <w:gridCol w:w="1329"/>
        <w:gridCol w:w="3989"/>
        <w:gridCol w:w="2551"/>
      </w:tblGrid>
      <w:tr w:rsidR="00400780" w:rsidRPr="006913DE" w14:paraId="0E438CF3" w14:textId="77777777" w:rsidTr="002E7217">
        <w:trPr>
          <w:trHeight w:val="99"/>
          <w:tblHeader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0DD7" w14:textId="77777777" w:rsidR="00C4361C" w:rsidRPr="006913DE" w:rsidRDefault="00C4361C" w:rsidP="00C4361C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Seq.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E684" w14:textId="77777777" w:rsidR="00C4361C" w:rsidRPr="006913DE" w:rsidRDefault="00C4361C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 xml:space="preserve">Escopo 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47FF" w14:textId="77777777" w:rsidR="00C4361C" w:rsidRPr="006913DE" w:rsidRDefault="00C4361C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 xml:space="preserve">Itens de Análise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C6A6" w14:textId="77777777" w:rsidR="00C4361C" w:rsidRPr="006913DE" w:rsidRDefault="00C4361C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 xml:space="preserve">Fundamento legal </w:t>
            </w:r>
          </w:p>
        </w:tc>
      </w:tr>
      <w:tr w:rsidR="00400780" w:rsidRPr="006913DE" w14:paraId="469EEC38" w14:textId="77777777" w:rsidTr="002E7217"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F40F" w14:textId="77777777" w:rsidR="00C4361C" w:rsidRPr="006913DE" w:rsidRDefault="00C4361C" w:rsidP="00C4361C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BC9D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Aspectos de Gestão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5B2B9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1.1 – Encaminhamento do Relatório da Administração descrevendo os fatos relevante</w:t>
            </w:r>
            <w:r w:rsidR="002E1913" w:rsidRPr="006913DE">
              <w:rPr>
                <w:rFonts w:ascii="Arial" w:hAnsi="Arial" w:cs="Arial"/>
                <w:sz w:val="20"/>
              </w:rPr>
              <w:t>s ocorridos no exercício social.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14F6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Art. 133, I, da Lei Federal nº 6.404/76 </w:t>
            </w:r>
          </w:p>
        </w:tc>
      </w:tr>
      <w:tr w:rsidR="00400780" w:rsidRPr="006913DE" w14:paraId="22272BC9" w14:textId="77777777" w:rsidTr="002E7217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0BCA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305A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E315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1.2 – Conteúdo do Relatório da Administração apresenta a avaliação dos resultados quantitativos e qualitativos da gestão, especialmente nos aspectos da eficácia e eficiência no cumprimento dos objetivos sociais</w:t>
            </w:r>
            <w:r w:rsidR="002E1913" w:rsidRPr="006913DE">
              <w:rPr>
                <w:rFonts w:ascii="Arial" w:hAnsi="Arial" w:cs="Arial"/>
                <w:sz w:val="20"/>
              </w:rPr>
              <w:t>.</w:t>
            </w:r>
            <w:r w:rsidRPr="006913D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762C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Art. 133, I, da Lei Federal nº 6.404/76 </w:t>
            </w:r>
          </w:p>
        </w:tc>
      </w:tr>
      <w:tr w:rsidR="00400780" w:rsidRPr="006913DE" w14:paraId="26A61959" w14:textId="77777777" w:rsidTr="002E72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8187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0B22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F131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1.3 – Incremento do Passivo a Descobert</w:t>
            </w:r>
            <w:r w:rsidR="002E1913" w:rsidRPr="006913DE">
              <w:rPr>
                <w:rFonts w:ascii="Arial" w:hAnsi="Arial" w:cs="Arial"/>
                <w:sz w:val="20"/>
              </w:rPr>
              <w:t>o (Patrimônio Líquido Negativo).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B67A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Art. 182 c/c </w:t>
            </w: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153 a 160 da Lei Federal nº 6.404/76 </w:t>
            </w:r>
          </w:p>
        </w:tc>
      </w:tr>
      <w:tr w:rsidR="00400780" w:rsidRPr="006913DE" w14:paraId="425BD52B" w14:textId="77777777" w:rsidTr="002E7217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398F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EEB3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3B5F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1.4 – Encaminhamento da relação dos créditos a receber do Ativo Circulante contendo o nome, valor e data do vencimento, devendo a totalização conferir com o dem</w:t>
            </w:r>
            <w:r w:rsidR="002E1913" w:rsidRPr="006913DE">
              <w:rPr>
                <w:rFonts w:ascii="Arial" w:hAnsi="Arial" w:cs="Arial"/>
                <w:sz w:val="20"/>
              </w:rPr>
              <w:t>onstrado no Balanço Patrimonial.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662F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178, § 1º, I, e 179, I, da Lei Federal nº 6.404/76 </w:t>
            </w:r>
          </w:p>
        </w:tc>
      </w:tr>
      <w:tr w:rsidR="00400780" w:rsidRPr="006913DE" w14:paraId="1155EDC9" w14:textId="77777777" w:rsidTr="002E72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A005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D202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69AD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1.5 – Existência de créditos a receb</w:t>
            </w:r>
            <w:r w:rsidR="002E1913" w:rsidRPr="006913DE">
              <w:rPr>
                <w:rFonts w:ascii="Arial" w:hAnsi="Arial" w:cs="Arial"/>
                <w:sz w:val="20"/>
              </w:rPr>
              <w:t>er vencidos no Ativo Circulante.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C83F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178, § 1º, I, e 179, I, c/c 153 a 160 da Lei Federal nº 6.404/76 </w:t>
            </w:r>
          </w:p>
        </w:tc>
      </w:tr>
      <w:tr w:rsidR="00400780" w:rsidRPr="006913DE" w14:paraId="123D0361" w14:textId="77777777" w:rsidTr="002E7217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E3C8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2621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9BDA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1.6 – Encaminhamento da relação dos créditos a receber do Ativo Não Circulante – Realizável a Longo Prazo, contendo o nome, valor e data do vencimento, devendo a totalização conferir com o demonstrado no Balanço Patrimonial</w:t>
            </w:r>
            <w:r w:rsidR="002E1913" w:rsidRPr="006913DE">
              <w:rPr>
                <w:rFonts w:ascii="Arial" w:hAnsi="Arial" w:cs="Arial"/>
                <w:sz w:val="20"/>
              </w:rPr>
              <w:t>.</w:t>
            </w:r>
            <w:r w:rsidRPr="006913D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C832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178, § 1º, II, e 179, II, da Lei Federal nº 6.404/76 </w:t>
            </w:r>
          </w:p>
        </w:tc>
      </w:tr>
      <w:tr w:rsidR="00400780" w:rsidRPr="006913DE" w14:paraId="077D74B9" w14:textId="77777777" w:rsidTr="002E72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5237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E7BE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1CBE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1.7 – Existência de créditos a receber n</w:t>
            </w:r>
            <w:r w:rsidR="002E1913" w:rsidRPr="006913DE">
              <w:rPr>
                <w:rFonts w:ascii="Arial" w:hAnsi="Arial" w:cs="Arial"/>
                <w:sz w:val="20"/>
              </w:rPr>
              <w:t>o Ativo Não Circulante vencidos.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921E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178, § 1º, II, e 179, II, c/c 153 a 160 da Lei Federal nº 6.404/76 </w:t>
            </w:r>
          </w:p>
        </w:tc>
      </w:tr>
      <w:tr w:rsidR="00400780" w:rsidRPr="006913DE" w14:paraId="488E4D6A" w14:textId="77777777" w:rsidTr="002E7217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9F4A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E208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0208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1.8 – Encaminhamento da relação das obrigações do Passivo Circulante contendo o nome, valor e data do vencimento, devendo a totalização conferir com o dem</w:t>
            </w:r>
            <w:r w:rsidR="002E1913" w:rsidRPr="006913DE">
              <w:rPr>
                <w:rFonts w:ascii="Arial" w:hAnsi="Arial" w:cs="Arial"/>
                <w:sz w:val="20"/>
              </w:rPr>
              <w:t>onstrado no Balanço Patrimonial.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BE6D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178, § 2º, I, e 180 da Lei Federal nº 6.404/76 </w:t>
            </w:r>
          </w:p>
        </w:tc>
      </w:tr>
      <w:tr w:rsidR="00400780" w:rsidRPr="006913DE" w14:paraId="3A354FC1" w14:textId="77777777" w:rsidTr="002E72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B1FA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8ED3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07AC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1.9 – Existência de obrigações</w:t>
            </w:r>
            <w:r w:rsidR="002E1913" w:rsidRPr="006913DE">
              <w:rPr>
                <w:rFonts w:ascii="Arial" w:hAnsi="Arial" w:cs="Arial"/>
                <w:sz w:val="20"/>
              </w:rPr>
              <w:t xml:space="preserve"> no Passivo Circulante vencidas.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3537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178, § 2º, I, e 180 c/c 153 a 160 da Lei Federal nº 6.404/76 </w:t>
            </w:r>
          </w:p>
        </w:tc>
      </w:tr>
      <w:tr w:rsidR="00400780" w:rsidRPr="006913DE" w14:paraId="665FC7BD" w14:textId="77777777" w:rsidTr="002E7217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719C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46FD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1F2B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1.10 – Encaminhamento da relação das obrigações do Passivo Não Circulante contendo o nome, valor e data de vencimento, devendo a totalização conferir com o dem</w:t>
            </w:r>
            <w:r w:rsidR="002E1913" w:rsidRPr="006913DE">
              <w:rPr>
                <w:rFonts w:ascii="Arial" w:hAnsi="Arial" w:cs="Arial"/>
                <w:sz w:val="20"/>
              </w:rPr>
              <w:t>onstrado no Balanço Patrimonial.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847F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178, § 2º, II, e 180 da Lei Federal nº 6.404/76 </w:t>
            </w:r>
          </w:p>
        </w:tc>
      </w:tr>
      <w:tr w:rsidR="00400780" w:rsidRPr="006913DE" w14:paraId="333EFD3A" w14:textId="77777777" w:rsidTr="002E72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8211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88F0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32F5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1.11 – Existência de obrigações no </w:t>
            </w:r>
            <w:r w:rsidR="002E1913" w:rsidRPr="006913DE">
              <w:rPr>
                <w:rFonts w:ascii="Arial" w:hAnsi="Arial" w:cs="Arial"/>
                <w:sz w:val="20"/>
              </w:rPr>
              <w:t>Passivo Não Circulante vencidas.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BDB2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178, § 2º, II e 180 c/c 153 a 160 da Lei Federal nº 6.404/76 </w:t>
            </w:r>
          </w:p>
        </w:tc>
      </w:tr>
      <w:tr w:rsidR="00400780" w:rsidRPr="006913DE" w14:paraId="7C624D35" w14:textId="77777777" w:rsidTr="002E7217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051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8987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B910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1.12 – Encaminhamento do Parecer do Conselho Fiscal sobre as contas do exercício</w:t>
            </w:r>
            <w:r w:rsidR="002E1913" w:rsidRPr="006913DE">
              <w:rPr>
                <w:rFonts w:ascii="Arial" w:hAnsi="Arial" w:cs="Arial"/>
                <w:sz w:val="20"/>
              </w:rPr>
              <w:t>.</w:t>
            </w:r>
            <w:r w:rsidRPr="006913D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7D6B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Art. 163, VII, da Lei Federal nº 6.404/76 </w:t>
            </w:r>
          </w:p>
        </w:tc>
      </w:tr>
      <w:tr w:rsidR="00400780" w:rsidRPr="006913DE" w14:paraId="0E3F8F09" w14:textId="77777777" w:rsidTr="002E7217">
        <w:trPr>
          <w:trHeight w:val="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D433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A2BC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E9F4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1.13 – O Parecer do Conselho Fiscal aponta irregularidades</w:t>
            </w:r>
            <w:r w:rsidR="002E1913" w:rsidRPr="006913D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FF71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Art. 163, VII, da Lei Federal nº 6.404/76 </w:t>
            </w:r>
          </w:p>
        </w:tc>
      </w:tr>
      <w:tr w:rsidR="00400780" w:rsidRPr="006913DE" w14:paraId="7D9EDA33" w14:textId="77777777" w:rsidTr="002E7217">
        <w:trPr>
          <w:trHeight w:val="688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FED9" w14:textId="77777777" w:rsidR="00C4361C" w:rsidRPr="006913DE" w:rsidRDefault="00C4361C" w:rsidP="00C4361C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959C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Aspectos Contábeis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6626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2.1 – Encaminhamento das demonstrações financeiras emitidas pela Contabilidade, assinadas pelos administradores e contabilista responsável, e das respectivas publicações</w:t>
            </w:r>
            <w:r w:rsidR="002E1913" w:rsidRPr="006913DE">
              <w:rPr>
                <w:rFonts w:ascii="Arial" w:hAnsi="Arial" w:cs="Arial"/>
                <w:sz w:val="20"/>
              </w:rPr>
              <w:t>.</w:t>
            </w:r>
            <w:r w:rsidRPr="006913D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AFE6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176, 177, § 4º, e 289 da Lei Federal nº 6.404/76 </w:t>
            </w:r>
          </w:p>
        </w:tc>
      </w:tr>
      <w:tr w:rsidR="00400780" w:rsidRPr="006913DE" w14:paraId="4B1AA7A3" w14:textId="77777777" w:rsidTr="002E72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D9F3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3033" w14:textId="77777777" w:rsidR="00C4361C" w:rsidRPr="006913DE" w:rsidRDefault="00C4361C" w:rsidP="002E1913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BDBD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2.2 – A publicação das demonstrações financeiras atende às especificações da Lei nº 6.404/76</w:t>
            </w:r>
            <w:r w:rsidR="002E1913" w:rsidRPr="006913DE">
              <w:rPr>
                <w:rFonts w:ascii="Arial" w:hAnsi="Arial" w:cs="Arial"/>
                <w:sz w:val="20"/>
              </w:rPr>
              <w:t>.</w:t>
            </w:r>
            <w:r w:rsidRPr="006913D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D1C1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176, I a V, §§ 1º e 4º, e 289 da Lei Federal nº 6.404/76 </w:t>
            </w:r>
          </w:p>
        </w:tc>
      </w:tr>
      <w:tr w:rsidR="00400780" w:rsidRPr="006913DE" w14:paraId="62055A05" w14:textId="77777777" w:rsidTr="002E7217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FFD7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BCF6" w14:textId="77777777" w:rsidR="00C4361C" w:rsidRPr="006913DE" w:rsidRDefault="00C4361C" w:rsidP="002E1913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0BC0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2.3 – Divergências de saldos em quaisquer das classes ou grupos do Balanço Patrimonial emitido pelo Sistema de Contabilidade da Entidade e os dados enviados pelo SIM-AM.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8B2E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178 a 182, 184-A da Lei Federal nº 6.404/76 </w:t>
            </w:r>
          </w:p>
        </w:tc>
      </w:tr>
      <w:tr w:rsidR="00400780" w:rsidRPr="006913DE" w14:paraId="1A1DC0AD" w14:textId="77777777" w:rsidTr="002E7217">
        <w:trPr>
          <w:trHeight w:val="756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6AD4" w14:textId="77777777" w:rsidR="00C4361C" w:rsidRPr="006913DE" w:rsidRDefault="00C4361C" w:rsidP="00C4361C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07E8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Controle Interno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0E4D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3.1 – Encaminhamento d</w:t>
            </w:r>
            <w:r w:rsidR="002E1913" w:rsidRPr="006913DE">
              <w:rPr>
                <w:rFonts w:ascii="Arial" w:hAnsi="Arial" w:cs="Arial"/>
                <w:sz w:val="20"/>
              </w:rPr>
              <w:t>o Relatório do Controle Interno.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613A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4º a 8º, Capítulo III, da LOTC (LCE nº 113/05) </w:t>
            </w:r>
          </w:p>
        </w:tc>
      </w:tr>
      <w:tr w:rsidR="00400780" w:rsidRPr="006913DE" w14:paraId="56AAFC60" w14:textId="77777777" w:rsidTr="002E7217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5ED4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A469" w14:textId="77777777" w:rsidR="00C4361C" w:rsidRPr="006913DE" w:rsidRDefault="00C4361C" w:rsidP="002E1913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2F3B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3.2 – O Relatório do Controle Interno apresenta os conteúdos mínimos prescritos pelo Tribunal</w:t>
            </w:r>
            <w:r w:rsidR="002E1913" w:rsidRPr="006913DE">
              <w:rPr>
                <w:rFonts w:ascii="Arial" w:hAnsi="Arial" w:cs="Arial"/>
                <w:sz w:val="20"/>
              </w:rPr>
              <w:t>.</w:t>
            </w:r>
            <w:r w:rsidRPr="006913D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C82C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4º a 7º, Capítulo III, da LOTC (LCE nº 113/05) </w:t>
            </w:r>
          </w:p>
        </w:tc>
      </w:tr>
      <w:tr w:rsidR="00400780" w:rsidRPr="006913DE" w14:paraId="3C271B1D" w14:textId="77777777" w:rsidTr="002E7217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D825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0B83" w14:textId="77777777" w:rsidR="00C4361C" w:rsidRPr="006913DE" w:rsidRDefault="00C4361C" w:rsidP="002E1913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7509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3.3 – O Relatório do Controle Interno apresenta irregularidade passível de desaprovação da gestão</w:t>
            </w:r>
            <w:r w:rsidR="002E1913" w:rsidRPr="006913DE">
              <w:rPr>
                <w:rFonts w:ascii="Arial" w:hAnsi="Arial" w:cs="Arial"/>
                <w:sz w:val="20"/>
              </w:rPr>
              <w:t>.</w:t>
            </w:r>
            <w:r w:rsidRPr="006913D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8F1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4º a 6º, Capítulo III, da LOTC (LCE nº 113/05) </w:t>
            </w:r>
          </w:p>
        </w:tc>
      </w:tr>
      <w:tr w:rsidR="00400780" w:rsidRPr="006913DE" w14:paraId="55695F55" w14:textId="77777777" w:rsidTr="002E7217">
        <w:trPr>
          <w:trHeight w:val="94"/>
        </w:trPr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0139" w14:textId="77777777" w:rsidR="00C4361C" w:rsidRPr="006913DE" w:rsidRDefault="00C4361C" w:rsidP="00C4361C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D1CE" w14:textId="77777777" w:rsidR="00C4361C" w:rsidRPr="006913DE" w:rsidRDefault="006C6D88" w:rsidP="002E1913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Aspectos L</w:t>
            </w:r>
            <w:r w:rsidR="00C4361C" w:rsidRPr="006913DE">
              <w:rPr>
                <w:rFonts w:ascii="Arial" w:hAnsi="Arial" w:cs="Arial"/>
                <w:b/>
                <w:bCs/>
                <w:sz w:val="20"/>
              </w:rPr>
              <w:t>egais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AD77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4.1 – Encaminhamento do Parecer da Auditoria Independente para os casos em que a legislação exige</w:t>
            </w:r>
            <w:r w:rsidR="002E1913" w:rsidRPr="006913D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213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Art. 177, §§ 3º e 6º, da Lei Federal nº 6.404/76</w:t>
            </w:r>
          </w:p>
        </w:tc>
      </w:tr>
      <w:tr w:rsidR="00400780" w:rsidRPr="006913DE" w14:paraId="6D0775B8" w14:textId="77777777" w:rsidTr="002E72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3512" w14:textId="77777777" w:rsidR="00C4361C" w:rsidRPr="006913DE" w:rsidRDefault="00C4361C" w:rsidP="00C4361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C150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08BC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4.2 – Parecer da Auditoria Independente com ressalvas ou adverso</w:t>
            </w:r>
            <w:r w:rsidR="002E1913" w:rsidRPr="006913DE">
              <w:rPr>
                <w:rFonts w:ascii="Arial" w:hAnsi="Arial" w:cs="Arial"/>
                <w:sz w:val="20"/>
              </w:rPr>
              <w:t>.</w:t>
            </w:r>
            <w:r w:rsidRPr="006913D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D2B7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Art. 177, §§ 3º e 6º, da Lei Federal nº 6.404/76 </w:t>
            </w:r>
          </w:p>
        </w:tc>
      </w:tr>
    </w:tbl>
    <w:p w14:paraId="523BF95F" w14:textId="77777777" w:rsidR="006913DE" w:rsidRPr="00400780" w:rsidRDefault="00C4361C" w:rsidP="006913DE">
      <w:pPr>
        <w:pStyle w:val="Default"/>
        <w:jc w:val="center"/>
        <w:rPr>
          <w:color w:val="auto"/>
        </w:rPr>
      </w:pPr>
      <w:r w:rsidRPr="00400780">
        <w:rPr>
          <w:b/>
          <w:bCs/>
          <w:color w:val="auto"/>
          <w:sz w:val="28"/>
          <w:szCs w:val="28"/>
        </w:rPr>
        <w:br w:type="page"/>
      </w:r>
      <w:r w:rsidR="006913DE" w:rsidRPr="00400780">
        <w:rPr>
          <w:b/>
          <w:bCs/>
          <w:color w:val="auto"/>
        </w:rPr>
        <w:lastRenderedPageBreak/>
        <w:t xml:space="preserve">INSTRUÇÃO NORMATIVA Nº </w:t>
      </w:r>
      <w:r w:rsidR="0065594D">
        <w:rPr>
          <w:b/>
          <w:bCs/>
          <w:color w:val="auto"/>
        </w:rPr>
        <w:t>138/2018</w:t>
      </w:r>
      <w:r w:rsidR="006913DE" w:rsidRPr="00400780">
        <w:rPr>
          <w:b/>
          <w:bCs/>
          <w:color w:val="auto"/>
        </w:rPr>
        <w:t xml:space="preserve"> – ESCOPO PCA 201</w:t>
      </w:r>
      <w:r w:rsidR="006913DE">
        <w:rPr>
          <w:b/>
          <w:bCs/>
          <w:color w:val="auto"/>
        </w:rPr>
        <w:t>7</w:t>
      </w:r>
    </w:p>
    <w:p w14:paraId="61DA9025" w14:textId="77777777" w:rsidR="00C4361C" w:rsidRPr="00FD223A" w:rsidRDefault="00C4361C" w:rsidP="006913DE">
      <w:pPr>
        <w:pStyle w:val="Default"/>
        <w:jc w:val="center"/>
        <w:rPr>
          <w:b/>
          <w:bCs/>
        </w:rPr>
      </w:pPr>
    </w:p>
    <w:p w14:paraId="18D8C518" w14:textId="77777777" w:rsidR="00C4361C" w:rsidRPr="00FD223A" w:rsidRDefault="00C4361C" w:rsidP="00C4361C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 w:rsidRPr="00FD223A">
        <w:rPr>
          <w:rFonts w:ascii="Arial" w:hAnsi="Arial" w:cs="Arial"/>
          <w:b/>
          <w:bCs/>
          <w:szCs w:val="24"/>
        </w:rPr>
        <w:t>ANEXO III</w:t>
      </w:r>
    </w:p>
    <w:p w14:paraId="4F0DE18A" w14:textId="77777777" w:rsidR="00C4361C" w:rsidRPr="0065594D" w:rsidRDefault="00C4361C" w:rsidP="0065594D">
      <w:pPr>
        <w:adjustRightInd w:val="0"/>
        <w:spacing w:before="0" w:after="0" w:line="240" w:lineRule="auto"/>
        <w:ind w:firstLine="0"/>
        <w:jc w:val="center"/>
        <w:rPr>
          <w:rFonts w:ascii="Arial" w:hAnsi="Arial" w:cs="Arial"/>
          <w:b/>
          <w:szCs w:val="24"/>
        </w:rPr>
      </w:pPr>
    </w:p>
    <w:p w14:paraId="62925155" w14:textId="77777777" w:rsidR="00C4361C" w:rsidRPr="00400780" w:rsidRDefault="00C4361C" w:rsidP="0065594D">
      <w:pPr>
        <w:pStyle w:val="Assina"/>
        <w:spacing w:before="0" w:after="120" w:line="240" w:lineRule="auto"/>
        <w:jc w:val="both"/>
        <w:rPr>
          <w:rFonts w:ascii="Arial" w:hAnsi="Arial" w:cs="Arial"/>
          <w:szCs w:val="24"/>
        </w:rPr>
      </w:pPr>
      <w:r w:rsidRPr="00FD223A">
        <w:rPr>
          <w:rFonts w:ascii="Arial" w:hAnsi="Arial" w:cs="Arial"/>
          <w:b/>
          <w:bCs/>
          <w:szCs w:val="24"/>
        </w:rPr>
        <w:t xml:space="preserve">Aplicabilidade: </w:t>
      </w:r>
      <w:r w:rsidRPr="00FD223A">
        <w:rPr>
          <w:rFonts w:ascii="Arial" w:hAnsi="Arial" w:cs="Arial"/>
          <w:szCs w:val="24"/>
        </w:rPr>
        <w:t>Regimes Próprios de Previdência Social (Fundos de Previdência).</w:t>
      </w:r>
    </w:p>
    <w:tbl>
      <w:tblPr>
        <w:tblW w:w="495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320"/>
        <w:gridCol w:w="3957"/>
        <w:gridCol w:w="2537"/>
      </w:tblGrid>
      <w:tr w:rsidR="00400780" w:rsidRPr="006913DE" w14:paraId="4D93CB16" w14:textId="77777777" w:rsidTr="002E7217">
        <w:trPr>
          <w:trHeight w:val="99"/>
          <w:tblHeader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20CB" w14:textId="77777777" w:rsidR="00C4361C" w:rsidRPr="006913DE" w:rsidRDefault="00C4361C" w:rsidP="00865432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Seq.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C957" w14:textId="77777777" w:rsidR="00C4361C" w:rsidRPr="006913DE" w:rsidRDefault="00C4361C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 xml:space="preserve">Escopo 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CDEC" w14:textId="77777777" w:rsidR="00C4361C" w:rsidRPr="006913DE" w:rsidRDefault="00C4361C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 xml:space="preserve">Itens de Análise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9CDE" w14:textId="77777777" w:rsidR="00C4361C" w:rsidRPr="006913DE" w:rsidRDefault="00C4361C" w:rsidP="002E7217">
            <w:pPr>
              <w:adjustRightInd w:val="0"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 xml:space="preserve">Fundamento legal </w:t>
            </w:r>
          </w:p>
        </w:tc>
      </w:tr>
      <w:tr w:rsidR="00400780" w:rsidRPr="006913DE" w14:paraId="590A4DFA" w14:textId="77777777" w:rsidTr="002E7217">
        <w:trPr>
          <w:trHeight w:val="754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EE0C" w14:textId="77777777" w:rsidR="00C4361C" w:rsidRPr="006913DE" w:rsidRDefault="00C4361C" w:rsidP="00865432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2125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Controle Interno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59AA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1.1 – Encaminhamento do</w:t>
            </w:r>
            <w:r w:rsidR="00C90252" w:rsidRPr="006913DE">
              <w:rPr>
                <w:rFonts w:ascii="Arial" w:hAnsi="Arial" w:cs="Arial"/>
                <w:sz w:val="20"/>
              </w:rPr>
              <w:t xml:space="preserve"> Relatório do Controle Interno.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A4B3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4º a 8º, Capítulo III, da LOTC (LCE nº 113/05). </w:t>
            </w:r>
          </w:p>
        </w:tc>
      </w:tr>
      <w:tr w:rsidR="00400780" w:rsidRPr="006913DE" w14:paraId="464BA707" w14:textId="77777777" w:rsidTr="002E7217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5FAF" w14:textId="77777777" w:rsidR="00C4361C" w:rsidRPr="006913DE" w:rsidRDefault="00C4361C" w:rsidP="00865432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C40B" w14:textId="77777777" w:rsidR="00C4361C" w:rsidRPr="006913DE" w:rsidRDefault="00C4361C" w:rsidP="002E1913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C36C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1.2 – O Relatório do Controle Interno apresenta os conteúdos mínimos prescritos pelo Tribunal.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CF97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4º a 7º, Capítulo III, da LOTC (LCE nº 113/05). </w:t>
            </w:r>
          </w:p>
        </w:tc>
      </w:tr>
      <w:tr w:rsidR="00400780" w:rsidRPr="006913DE" w14:paraId="1A693820" w14:textId="77777777" w:rsidTr="002E7217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82D8" w14:textId="77777777" w:rsidR="00C4361C" w:rsidRPr="006913DE" w:rsidRDefault="00C4361C" w:rsidP="00865432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875D" w14:textId="77777777" w:rsidR="00C4361C" w:rsidRPr="006913DE" w:rsidRDefault="00C4361C" w:rsidP="002E1913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CE08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1.3 – O Relatório do Controle Interno apresenta irregularidade pass</w:t>
            </w:r>
            <w:r w:rsidR="00C90252" w:rsidRPr="006913DE">
              <w:rPr>
                <w:rFonts w:ascii="Arial" w:hAnsi="Arial" w:cs="Arial"/>
                <w:sz w:val="20"/>
              </w:rPr>
              <w:t>ível de desaprovação da gestão.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DB2D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31, 70 e 74 da Constituição Federal c/c </w:t>
            </w:r>
            <w:proofErr w:type="spellStart"/>
            <w:r w:rsidRPr="006913DE">
              <w:rPr>
                <w:rFonts w:ascii="Arial" w:hAnsi="Arial" w:cs="Arial"/>
                <w:sz w:val="20"/>
              </w:rPr>
              <w:t>Arts</w:t>
            </w:r>
            <w:proofErr w:type="spellEnd"/>
            <w:r w:rsidRPr="006913DE">
              <w:rPr>
                <w:rFonts w:ascii="Arial" w:hAnsi="Arial" w:cs="Arial"/>
                <w:sz w:val="20"/>
              </w:rPr>
              <w:t xml:space="preserve">. 4º a 6º, Capítulo III, da LOTC (LCE nº 113/05). </w:t>
            </w:r>
          </w:p>
        </w:tc>
      </w:tr>
      <w:tr w:rsidR="00400780" w:rsidRPr="006913DE" w14:paraId="74335EB5" w14:textId="77777777" w:rsidTr="002E7217">
        <w:trPr>
          <w:trHeight w:val="634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D0E2" w14:textId="77777777" w:rsidR="00C4361C" w:rsidRPr="006913DE" w:rsidRDefault="00C4361C" w:rsidP="00865432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3CDA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Resultado Patrimonial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4D5C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2.1 – Encaminhamento do Balanço Patrimonial emitido pelo Sistema de Contabilidade da Entidade e de sua respectiva publicação. Considera ainda a hipótese de a publicação não atender às especificações.</w:t>
            </w:r>
          </w:p>
          <w:p w14:paraId="56EFBE47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Obs.: O demonstrativo deverá estar assi</w:t>
            </w:r>
            <w:r w:rsidR="00C90252" w:rsidRPr="006913DE">
              <w:rPr>
                <w:rFonts w:ascii="Arial" w:hAnsi="Arial" w:cs="Arial"/>
                <w:sz w:val="20"/>
              </w:rPr>
              <w:t>nado pelo contador responsável.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8D5F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Art. 105 e 106, Capítulo IV, da Lei 4.320/64. </w:t>
            </w:r>
          </w:p>
        </w:tc>
      </w:tr>
      <w:tr w:rsidR="00400780" w:rsidRPr="006913DE" w14:paraId="53C4D163" w14:textId="77777777" w:rsidTr="002E7217">
        <w:trPr>
          <w:trHeight w:val="3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46DA" w14:textId="77777777" w:rsidR="00C4361C" w:rsidRPr="006913DE" w:rsidRDefault="00C4361C" w:rsidP="00865432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1833" w14:textId="77777777" w:rsidR="00C4361C" w:rsidRPr="006913DE" w:rsidRDefault="00C4361C" w:rsidP="002E1913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31DE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2.2 – Divergências de saldos em quaisquer das classes ou grupos do Balanço Patrimonial emitido pelo Sistema de Contabilidade da Entidade e os dados enviados pelo SIM/AM.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0D94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Art. 105 e 106 da Lei 4.320/64; Art. 24, §2º, da LCE nº 113/05 c/c Art. 215, §4º, do Regimento Interno. </w:t>
            </w:r>
          </w:p>
        </w:tc>
      </w:tr>
      <w:tr w:rsidR="00400780" w:rsidRPr="006913DE" w14:paraId="05C8A38C" w14:textId="77777777" w:rsidTr="002E7217">
        <w:trPr>
          <w:trHeight w:val="622"/>
        </w:trPr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AF03" w14:textId="77777777" w:rsidR="00C4361C" w:rsidRPr="006913DE" w:rsidRDefault="00C4361C" w:rsidP="00865432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DD16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b/>
                <w:bCs/>
                <w:sz w:val="20"/>
              </w:rPr>
              <w:t>Gestão do Regime Próprio de Previdência Social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440D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3.1 – Encaminhamento do Certificado de Regularidade Previdenciária – CRP, emitido pelo Ministério da Previdência Social vigente na data da prestação de contas. 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5CE5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Decreto Federal nº 3.788/01 c/c Lei Federal nº 9.717/98 e Art. 27 da Portaria MPS 402/08. </w:t>
            </w:r>
          </w:p>
        </w:tc>
      </w:tr>
      <w:tr w:rsidR="00400780" w:rsidRPr="006913DE" w14:paraId="711F4CC9" w14:textId="77777777" w:rsidTr="002E7217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E9FA" w14:textId="77777777" w:rsidR="00C4361C" w:rsidRPr="006913DE" w:rsidRDefault="00C4361C" w:rsidP="00865432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1DE5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C09F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3.2 – Encaminhamento do Laudo Atuarial</w:t>
            </w:r>
            <w:r w:rsidR="00C90252" w:rsidRPr="006913DE">
              <w:rPr>
                <w:rFonts w:ascii="Arial" w:hAnsi="Arial" w:cs="Arial"/>
                <w:sz w:val="20"/>
              </w:rPr>
              <w:t xml:space="preserve"> relativo ao exercício de 201</w:t>
            </w:r>
            <w:r w:rsidR="00140D5D" w:rsidRPr="006913DE">
              <w:rPr>
                <w:rFonts w:ascii="Arial" w:hAnsi="Arial" w:cs="Arial"/>
                <w:sz w:val="20"/>
              </w:rPr>
              <w:t>7</w:t>
            </w:r>
            <w:r w:rsidR="00C90252" w:rsidRPr="006913D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52DB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Art. 1º, I, da Lei nº 9.717/98 c/c Portaria MPS 403/08. </w:t>
            </w:r>
          </w:p>
        </w:tc>
      </w:tr>
      <w:tr w:rsidR="00400780" w:rsidRPr="006913DE" w14:paraId="1A8AA4E3" w14:textId="77777777" w:rsidTr="002E7217">
        <w:trPr>
          <w:trHeight w:val="2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A1D2" w14:textId="77777777" w:rsidR="00C4361C" w:rsidRPr="006913DE" w:rsidRDefault="00C4361C" w:rsidP="00865432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D738" w14:textId="77777777" w:rsidR="00C4361C" w:rsidRPr="006913DE" w:rsidRDefault="00C4361C" w:rsidP="002E7217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68B2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>3.3 – Registro do passivo atuarial em relação ao laudo r</w:t>
            </w:r>
            <w:r w:rsidR="00C90252" w:rsidRPr="006913DE">
              <w:rPr>
                <w:rFonts w:ascii="Arial" w:hAnsi="Arial" w:cs="Arial"/>
                <w:sz w:val="20"/>
              </w:rPr>
              <w:t>espectivo ao exercício de 201</w:t>
            </w:r>
            <w:r w:rsidR="00140D5D" w:rsidRPr="006913DE">
              <w:rPr>
                <w:rFonts w:ascii="Arial" w:hAnsi="Arial" w:cs="Arial"/>
                <w:sz w:val="20"/>
              </w:rPr>
              <w:t>7</w:t>
            </w:r>
            <w:r w:rsidR="00C90252" w:rsidRPr="006913DE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3721" w14:textId="77777777" w:rsidR="00C4361C" w:rsidRPr="006913DE" w:rsidRDefault="00C4361C" w:rsidP="002E1913">
            <w:pPr>
              <w:adjustRightInd w:val="0"/>
              <w:spacing w:before="0" w:after="0" w:line="240" w:lineRule="auto"/>
              <w:ind w:firstLine="0"/>
              <w:rPr>
                <w:rFonts w:ascii="Arial" w:hAnsi="Arial" w:cs="Arial"/>
                <w:sz w:val="20"/>
              </w:rPr>
            </w:pPr>
            <w:r w:rsidRPr="006913DE">
              <w:rPr>
                <w:rFonts w:ascii="Arial" w:hAnsi="Arial" w:cs="Arial"/>
                <w:sz w:val="20"/>
              </w:rPr>
              <w:t xml:space="preserve">Lei 4.320/64 Capítulo IV - Portaria MPS 403/08 art. 17 § 3º. </w:t>
            </w:r>
          </w:p>
        </w:tc>
      </w:tr>
    </w:tbl>
    <w:p w14:paraId="53E45F45" w14:textId="77777777" w:rsidR="00C4361C" w:rsidRPr="00400780" w:rsidRDefault="00C4361C" w:rsidP="00400780">
      <w:pPr>
        <w:ind w:firstLine="0"/>
      </w:pPr>
    </w:p>
    <w:sectPr w:rsidR="00C4361C" w:rsidRPr="00400780" w:rsidSect="009F7635">
      <w:headerReference w:type="default" r:id="rId9"/>
      <w:footnotePr>
        <w:numFmt w:val="chicago"/>
      </w:footnotePr>
      <w:pgSz w:w="11906" w:h="16838" w:code="9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32A3" w14:textId="77777777" w:rsidR="007148C3" w:rsidRDefault="007148C3" w:rsidP="00C4361C">
      <w:pPr>
        <w:spacing w:before="0" w:after="0" w:line="240" w:lineRule="auto"/>
      </w:pPr>
      <w:r>
        <w:separator/>
      </w:r>
    </w:p>
  </w:endnote>
  <w:endnote w:type="continuationSeparator" w:id="0">
    <w:p w14:paraId="50AF6473" w14:textId="77777777" w:rsidR="007148C3" w:rsidRDefault="007148C3" w:rsidP="00C4361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CB5B" w14:textId="77777777" w:rsidR="007148C3" w:rsidRDefault="007148C3" w:rsidP="00C4361C">
      <w:pPr>
        <w:spacing w:before="0" w:after="0" w:line="240" w:lineRule="auto"/>
      </w:pPr>
      <w:r>
        <w:separator/>
      </w:r>
    </w:p>
  </w:footnote>
  <w:footnote w:type="continuationSeparator" w:id="0">
    <w:p w14:paraId="767423F0" w14:textId="77777777" w:rsidR="007148C3" w:rsidRDefault="007148C3" w:rsidP="00C4361C">
      <w:pPr>
        <w:spacing w:before="0" w:after="0" w:line="240" w:lineRule="auto"/>
      </w:pPr>
      <w:r>
        <w:continuationSeparator/>
      </w:r>
    </w:p>
  </w:footnote>
  <w:footnote w:id="1">
    <w:p w14:paraId="1FC717CE" w14:textId="77777777" w:rsidR="001B4718" w:rsidRPr="006B5D03" w:rsidRDefault="001B4718" w:rsidP="001B4718">
      <w:pPr>
        <w:pStyle w:val="Textodenotaderodap"/>
        <w:spacing w:after="0" w:line="240" w:lineRule="auto"/>
        <w:ind w:firstLine="0"/>
        <w:contextualSpacing/>
        <w:jc w:val="left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6B5D03">
        <w:rPr>
          <w:rFonts w:ascii="Arial" w:hAnsi="Arial" w:cs="Arial"/>
          <w:b/>
        </w:rPr>
        <w:t>Notas da Biblioteca:</w:t>
      </w:r>
    </w:p>
    <w:bookmarkEnd w:id="0"/>
    <w:p w14:paraId="33E90C2F" w14:textId="09303226" w:rsidR="001B4718" w:rsidRPr="00D15D86" w:rsidRDefault="001B4718" w:rsidP="00D15D86">
      <w:pPr>
        <w:pStyle w:val="PargrafodaLista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D15D86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="005227CF" w:rsidRPr="003D361C">
        <w:rPr>
          <w:rFonts w:ascii="Arial" w:hAnsi="Arial" w:cs="Arial"/>
          <w:bCs/>
          <w:color w:val="0000FF"/>
          <w:sz w:val="18"/>
          <w:szCs w:val="18"/>
        </w:rPr>
        <w:t>:</w:t>
      </w:r>
      <w:r w:rsidR="00247914">
        <w:rPr>
          <w:rFonts w:ascii="Arial" w:hAnsi="Arial" w:cs="Arial"/>
          <w:bCs/>
          <w:color w:val="0000FF"/>
          <w:sz w:val="18"/>
          <w:szCs w:val="18"/>
        </w:rPr>
        <w:t xml:space="preserve"> </w:t>
      </w:r>
      <w:hyperlink r:id="rId1" w:history="1">
        <w:r w:rsidR="00247914" w:rsidRPr="00814035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247914" w:rsidRPr="00247914">
          <w:rPr>
            <w:rStyle w:val="Hyperlink"/>
            <w:rFonts w:ascii="Arial" w:hAnsi="Arial" w:cs="Arial"/>
            <w:sz w:val="20"/>
            <w:szCs w:val="20"/>
          </w:rPr>
          <w:t>, Curitiba, PR, n. 1766, 16 fev. 2018, p. 64-66.</w:t>
        </w:r>
      </w:hyperlink>
      <w:r w:rsidRPr="00D15D86">
        <w:rPr>
          <w:rFonts w:ascii="Arial" w:hAnsi="Arial" w:cs="Arial"/>
          <w:bCs/>
          <w:color w:val="0000FF"/>
          <w:sz w:val="20"/>
          <w:szCs w:val="20"/>
        </w:rPr>
        <w:t xml:space="preserve"> </w:t>
      </w:r>
    </w:p>
    <w:p w14:paraId="7CB28287" w14:textId="6C25B2FD" w:rsidR="001B4718" w:rsidRPr="00D15D86" w:rsidRDefault="001B4718" w:rsidP="00D15D86">
      <w:pPr>
        <w:numPr>
          <w:ilvl w:val="0"/>
          <w:numId w:val="2"/>
        </w:numPr>
        <w:spacing w:before="0" w:after="0" w:line="240" w:lineRule="auto"/>
        <w:ind w:left="426" w:hanging="284"/>
        <w:rPr>
          <w:rStyle w:val="Hyperlink"/>
          <w:rFonts w:ascii="Arial" w:hAnsi="Arial" w:cs="Arial"/>
          <w:sz w:val="20"/>
        </w:rPr>
      </w:pPr>
      <w:r w:rsidRPr="00D15D86">
        <w:rPr>
          <w:rFonts w:ascii="Arial" w:hAnsi="Arial" w:cs="Arial"/>
          <w:sz w:val="20"/>
        </w:rPr>
        <w:t xml:space="preserve">Origem: </w:t>
      </w:r>
      <w:r w:rsidR="00A34BD0" w:rsidRPr="00D15D86">
        <w:rPr>
          <w:rFonts w:ascii="Arial" w:hAnsi="Arial" w:cs="Arial"/>
          <w:sz w:val="20"/>
        </w:rPr>
        <w:t xml:space="preserve">Processo n. 837723/17 – </w:t>
      </w:r>
      <w:hyperlink r:id="rId2" w:history="1">
        <w:r w:rsidR="00A34BD0" w:rsidRPr="00D15D86">
          <w:rPr>
            <w:rStyle w:val="Hyperlink"/>
            <w:rFonts w:ascii="Arial" w:hAnsi="Arial" w:cs="Arial"/>
            <w:sz w:val="20"/>
          </w:rPr>
          <w:t>Acórdão n. 73/2018 – Tribunal Pleno.</w:t>
        </w:r>
      </w:hyperlink>
    </w:p>
    <w:p w14:paraId="05F83972" w14:textId="7A8F1898" w:rsidR="00D87B34" w:rsidRPr="00A34BD0" w:rsidRDefault="00D87B34" w:rsidP="00D15D86">
      <w:pPr>
        <w:numPr>
          <w:ilvl w:val="0"/>
          <w:numId w:val="2"/>
        </w:numPr>
        <w:autoSpaceDE/>
        <w:autoSpaceDN/>
        <w:spacing w:before="0" w:after="0" w:line="240" w:lineRule="auto"/>
        <w:ind w:left="426" w:hanging="284"/>
        <w:rPr>
          <w:rFonts w:ascii="Arial" w:hAnsi="Arial" w:cs="Arial"/>
          <w:b/>
          <w:bCs/>
          <w:color w:val="0000FF"/>
          <w:sz w:val="20"/>
          <w:u w:val="single"/>
        </w:rPr>
      </w:pPr>
      <w:r w:rsidRPr="00D15D86">
        <w:rPr>
          <w:rFonts w:ascii="Arial" w:hAnsi="Arial" w:cs="Arial"/>
          <w:b/>
          <w:bCs/>
          <w:sz w:val="20"/>
        </w:rPr>
        <w:t>Ver também:</w:t>
      </w:r>
      <w:r w:rsidR="00A34BD0" w:rsidRPr="00D15D86">
        <w:rPr>
          <w:rFonts w:ascii="Arial" w:hAnsi="Arial" w:cs="Arial"/>
          <w:b/>
          <w:bCs/>
          <w:color w:val="0000FF"/>
          <w:sz w:val="20"/>
        </w:rPr>
        <w:t xml:space="preserve"> </w:t>
      </w:r>
      <w:hyperlink r:id="rId3" w:history="1">
        <w:r w:rsidR="00231EAB" w:rsidRPr="00D15D86">
          <w:rPr>
            <w:rStyle w:val="Hyperlink"/>
            <w:rFonts w:ascii="Arial" w:hAnsi="Arial" w:cs="Arial"/>
            <w:sz w:val="20"/>
          </w:rPr>
          <w:t>Instrução Normativa n. 122, de 27 de outubro de 2016</w:t>
        </w:r>
      </w:hyperlink>
      <w:r w:rsidR="00231EAB" w:rsidRPr="00D15D86">
        <w:rPr>
          <w:rFonts w:ascii="Arial" w:hAnsi="Arial" w:cs="Arial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25450" w14:textId="77777777" w:rsidR="002E7217" w:rsidRDefault="00000000" w:rsidP="002E7217">
    <w:pPr>
      <w:tabs>
        <w:tab w:val="center" w:pos="4252"/>
        <w:tab w:val="right" w:pos="8504"/>
      </w:tabs>
      <w:autoSpaceDE/>
      <w:autoSpaceDN/>
      <w:spacing w:before="480" w:after="120" w:line="240" w:lineRule="auto"/>
      <w:ind w:left="1134" w:firstLine="0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14DFF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865432" w:rsidRPr="00BC1AFF">
      <w:rPr>
        <w:rFonts w:ascii="Arial" w:hAnsi="Arial" w:cs="Arial"/>
        <w:b/>
        <w:sz w:val="28"/>
        <w:szCs w:val="28"/>
      </w:rPr>
      <w:t>TRIBUNAL DE CONTAS DO ESTADO DO PARANÁ</w:t>
    </w:r>
  </w:p>
  <w:p w14:paraId="4B909671" w14:textId="77777777" w:rsidR="009F7635" w:rsidRPr="00BC1AFF" w:rsidRDefault="009F7635" w:rsidP="009F7635">
    <w:pPr>
      <w:tabs>
        <w:tab w:val="center" w:pos="4252"/>
        <w:tab w:val="right" w:pos="8504"/>
      </w:tabs>
      <w:autoSpaceDE/>
      <w:autoSpaceDN/>
      <w:spacing w:before="120" w:after="120" w:line="240" w:lineRule="auto"/>
      <w:ind w:left="1134" w:firstLine="0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83A0C"/>
    <w:multiLevelType w:val="hybridMultilevel"/>
    <w:tmpl w:val="01E2B804"/>
    <w:lvl w:ilvl="0" w:tplc="0C9C1C6E">
      <w:start w:val="1"/>
      <w:numFmt w:val="lowerLetter"/>
      <w:lvlText w:val="%1)"/>
      <w:lvlJc w:val="left"/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D0B5B"/>
    <w:multiLevelType w:val="hybridMultilevel"/>
    <w:tmpl w:val="E3E8EFFC"/>
    <w:lvl w:ilvl="0" w:tplc="4394DC20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14195">
    <w:abstractNumId w:val="1"/>
  </w:num>
  <w:num w:numId="2" w16cid:durableId="180469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61C"/>
    <w:rsid w:val="000F6573"/>
    <w:rsid w:val="0010483C"/>
    <w:rsid w:val="00120E6B"/>
    <w:rsid w:val="00140D5D"/>
    <w:rsid w:val="001729E2"/>
    <w:rsid w:val="00191750"/>
    <w:rsid w:val="001B4718"/>
    <w:rsid w:val="001D0015"/>
    <w:rsid w:val="001D2474"/>
    <w:rsid w:val="001D5119"/>
    <w:rsid w:val="001F18F1"/>
    <w:rsid w:val="002004A8"/>
    <w:rsid w:val="002123DB"/>
    <w:rsid w:val="0021524B"/>
    <w:rsid w:val="00231EAB"/>
    <w:rsid w:val="00247914"/>
    <w:rsid w:val="002D129E"/>
    <w:rsid w:val="002D6A1B"/>
    <w:rsid w:val="002E1913"/>
    <w:rsid w:val="002E7217"/>
    <w:rsid w:val="00324D93"/>
    <w:rsid w:val="00347858"/>
    <w:rsid w:val="0036151E"/>
    <w:rsid w:val="003E5778"/>
    <w:rsid w:val="00400780"/>
    <w:rsid w:val="00443E51"/>
    <w:rsid w:val="005227CF"/>
    <w:rsid w:val="0056430D"/>
    <w:rsid w:val="005662F5"/>
    <w:rsid w:val="005A0CDC"/>
    <w:rsid w:val="005F171E"/>
    <w:rsid w:val="0062236B"/>
    <w:rsid w:val="00640C44"/>
    <w:rsid w:val="0065594D"/>
    <w:rsid w:val="00671A2E"/>
    <w:rsid w:val="0067425C"/>
    <w:rsid w:val="006913DE"/>
    <w:rsid w:val="006C6D88"/>
    <w:rsid w:val="007135B3"/>
    <w:rsid w:val="00713CE2"/>
    <w:rsid w:val="007148C3"/>
    <w:rsid w:val="00736F80"/>
    <w:rsid w:val="007B12DA"/>
    <w:rsid w:val="007F24BE"/>
    <w:rsid w:val="00814035"/>
    <w:rsid w:val="008260BB"/>
    <w:rsid w:val="008549BC"/>
    <w:rsid w:val="0086505E"/>
    <w:rsid w:val="00865432"/>
    <w:rsid w:val="008737BD"/>
    <w:rsid w:val="008A5944"/>
    <w:rsid w:val="00951EA3"/>
    <w:rsid w:val="00957CF6"/>
    <w:rsid w:val="009B0B46"/>
    <w:rsid w:val="009B40A9"/>
    <w:rsid w:val="009E3CD5"/>
    <w:rsid w:val="009E5B72"/>
    <w:rsid w:val="009F7635"/>
    <w:rsid w:val="009F776E"/>
    <w:rsid w:val="00A10821"/>
    <w:rsid w:val="00A34BD0"/>
    <w:rsid w:val="00AC48BB"/>
    <w:rsid w:val="00B8384C"/>
    <w:rsid w:val="00BC1AFF"/>
    <w:rsid w:val="00C4361C"/>
    <w:rsid w:val="00C90252"/>
    <w:rsid w:val="00C91495"/>
    <w:rsid w:val="00CA42B6"/>
    <w:rsid w:val="00D15D86"/>
    <w:rsid w:val="00D87B34"/>
    <w:rsid w:val="00DB0AF4"/>
    <w:rsid w:val="00DB4327"/>
    <w:rsid w:val="00DC7ED3"/>
    <w:rsid w:val="00E21B65"/>
    <w:rsid w:val="00EB2D53"/>
    <w:rsid w:val="00EC19DB"/>
    <w:rsid w:val="00ED299D"/>
    <w:rsid w:val="00F308C0"/>
    <w:rsid w:val="00F30DA9"/>
    <w:rsid w:val="00F30E4C"/>
    <w:rsid w:val="00F5729C"/>
    <w:rsid w:val="00F851C6"/>
    <w:rsid w:val="00F9737E"/>
    <w:rsid w:val="00FD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C38F8"/>
  <w15:docId w15:val="{0F01B847-6E35-48FE-B83D-CAC33D7A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1C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C4361C"/>
    <w:pPr>
      <w:tabs>
        <w:tab w:val="center" w:pos="4252"/>
        <w:tab w:val="right" w:pos="8504"/>
      </w:tabs>
      <w:autoSpaceDE/>
      <w:autoSpaceDN/>
      <w:spacing w:before="0" w:after="0" w:line="240" w:lineRule="auto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C4361C"/>
    <w:rPr>
      <w:rFonts w:ascii="Calibri" w:eastAsia="Calibri" w:hAnsi="Calibri" w:cs="Times New Roman"/>
    </w:rPr>
  </w:style>
  <w:style w:type="paragraph" w:customStyle="1" w:styleId="Assina">
    <w:name w:val="Assina"/>
    <w:basedOn w:val="Normal"/>
    <w:rsid w:val="00C4361C"/>
    <w:pPr>
      <w:ind w:firstLine="0"/>
      <w:jc w:val="center"/>
    </w:pPr>
  </w:style>
  <w:style w:type="paragraph" w:customStyle="1" w:styleId="Default">
    <w:name w:val="Default"/>
    <w:rsid w:val="00C436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4361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link w:val="Cabealho"/>
    <w:uiPriority w:val="99"/>
    <w:rsid w:val="00C436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D129E"/>
    <w:pPr>
      <w:overflowPunct w:val="0"/>
      <w:adjustRightInd w:val="0"/>
      <w:spacing w:before="0" w:after="0" w:line="240" w:lineRule="auto"/>
      <w:ind w:left="2472" w:firstLine="0"/>
      <w:textAlignment w:val="baseline"/>
    </w:pPr>
    <w:rPr>
      <w:rFonts w:ascii="Arial" w:hAnsi="Arial"/>
      <w:sz w:val="28"/>
    </w:rPr>
  </w:style>
  <w:style w:type="character" w:customStyle="1" w:styleId="Recuodecorpodetexto2Char">
    <w:name w:val="Recuo de corpo de texto 2 Char"/>
    <w:link w:val="Recuodecorpodetexto2"/>
    <w:rsid w:val="002D129E"/>
    <w:rPr>
      <w:rFonts w:ascii="Arial" w:eastAsia="Times New Roman" w:hAnsi="Arial"/>
      <w:sz w:val="28"/>
    </w:rPr>
  </w:style>
  <w:style w:type="paragraph" w:styleId="Textodenotaderodap">
    <w:name w:val="footnote text"/>
    <w:basedOn w:val="Normal"/>
    <w:link w:val="TextodenotaderodapChar"/>
    <w:unhideWhenUsed/>
    <w:rsid w:val="001B4718"/>
    <w:rPr>
      <w:sz w:val="20"/>
    </w:rPr>
  </w:style>
  <w:style w:type="character" w:customStyle="1" w:styleId="TextodenotaderodapChar">
    <w:name w:val="Texto de nota de rodapé Char"/>
    <w:link w:val="Textodenotaderodap"/>
    <w:rsid w:val="001B4718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1B4718"/>
    <w:rPr>
      <w:vertAlign w:val="superscript"/>
    </w:rPr>
  </w:style>
  <w:style w:type="character" w:styleId="Hyperlink">
    <w:name w:val="Hyperlink"/>
    <w:uiPriority w:val="99"/>
    <w:unhideWhenUsed/>
    <w:rsid w:val="001B471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B4718"/>
    <w:pPr>
      <w:autoSpaceDE/>
      <w:autoSpaceDN/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uiPriority w:val="99"/>
    <w:semiHidden/>
    <w:unhideWhenUsed/>
    <w:rsid w:val="0036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instrucao-normativa-n-122-de-27-de-outubro-de-2016/293129/area/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8/2/pdf/0032457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122-de-27-de-outubro-de-2016/293129/area/10" TargetMode="External"/><Relationship Id="rId2" Type="http://schemas.openxmlformats.org/officeDocument/2006/relationships/hyperlink" Target="https://www1.tce.pr.gov.br/multimidia/2018/2/pdf/00324575.pdf" TargetMode="External"/><Relationship Id="rId1" Type="http://schemas.openxmlformats.org/officeDocument/2006/relationships/hyperlink" Target="https://www1.tce.pr.gov.br/multimidia/2018/2/pdf/003248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2681</Words>
  <Characters>14478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tc508004</dc:creator>
  <cp:keywords/>
  <cp:lastModifiedBy>Yarusya Fonseca</cp:lastModifiedBy>
  <cp:revision>20</cp:revision>
  <dcterms:created xsi:type="dcterms:W3CDTF">2022-06-27T18:23:00Z</dcterms:created>
  <dcterms:modified xsi:type="dcterms:W3CDTF">2022-07-13T00:51:00Z</dcterms:modified>
</cp:coreProperties>
</file>