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5E81" w14:textId="49DE1621" w:rsidR="00503450" w:rsidRPr="0077118C" w:rsidRDefault="00503450" w:rsidP="008C783F">
      <w:pPr>
        <w:pStyle w:val="Default"/>
        <w:spacing w:before="360" w:after="360"/>
        <w:jc w:val="center"/>
        <w:rPr>
          <w:b/>
          <w:bCs/>
          <w:color w:val="auto"/>
          <w:sz w:val="28"/>
          <w:szCs w:val="28"/>
        </w:rPr>
      </w:pPr>
      <w:r w:rsidRPr="0077118C">
        <w:rPr>
          <w:b/>
          <w:bCs/>
          <w:color w:val="auto"/>
          <w:sz w:val="28"/>
          <w:szCs w:val="28"/>
        </w:rPr>
        <w:t>INSTRUÇÃO NORMATIVA</w:t>
      </w:r>
      <w:r w:rsidR="0097670E" w:rsidRPr="0077118C">
        <w:rPr>
          <w:b/>
          <w:bCs/>
          <w:color w:val="auto"/>
          <w:sz w:val="28"/>
          <w:szCs w:val="28"/>
        </w:rPr>
        <w:t xml:space="preserve"> Nº 6</w:t>
      </w:r>
      <w:r w:rsidR="008E74F4" w:rsidRPr="0077118C">
        <w:rPr>
          <w:b/>
          <w:bCs/>
          <w:color w:val="auto"/>
          <w:sz w:val="28"/>
          <w:szCs w:val="28"/>
        </w:rPr>
        <w:t>4</w:t>
      </w:r>
      <w:r w:rsidR="0097670E" w:rsidRPr="0077118C">
        <w:rPr>
          <w:b/>
          <w:bCs/>
          <w:color w:val="auto"/>
          <w:sz w:val="28"/>
          <w:szCs w:val="28"/>
        </w:rPr>
        <w:t>/2011</w:t>
      </w:r>
      <w:r w:rsidR="001C7D5E">
        <w:rPr>
          <w:rStyle w:val="Refdenotaderodap"/>
          <w:b/>
          <w:bCs/>
          <w:color w:val="auto"/>
          <w:sz w:val="28"/>
          <w:szCs w:val="28"/>
        </w:rPr>
        <w:footnoteReference w:id="1"/>
      </w:r>
      <w:r w:rsidR="0097670E" w:rsidRPr="0077118C">
        <w:rPr>
          <w:b/>
          <w:bCs/>
          <w:color w:val="auto"/>
          <w:sz w:val="28"/>
          <w:szCs w:val="28"/>
        </w:rPr>
        <w:t xml:space="preserve"> </w:t>
      </w:r>
    </w:p>
    <w:p w14:paraId="76D74A13" w14:textId="77777777" w:rsidR="00503450" w:rsidRDefault="00503450" w:rsidP="008C783F">
      <w:pPr>
        <w:pStyle w:val="Default"/>
        <w:spacing w:before="360" w:after="360"/>
        <w:ind w:left="4536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Fixa os prazos para entrega dos Relatórios Semestrais e das propostas de Comunicações de Irregularidades pelas Inspetorias de Controle Externo deste Tribunal, em atendimento aos </w:t>
      </w:r>
      <w:r>
        <w:rPr>
          <w:color w:val="auto"/>
          <w:sz w:val="22"/>
          <w:szCs w:val="22"/>
        </w:rPr>
        <w:t>§§ 3º e 5º,</w:t>
      </w:r>
      <w:r>
        <w:rPr>
          <w:i/>
          <w:iCs/>
          <w:color w:val="auto"/>
          <w:sz w:val="22"/>
          <w:szCs w:val="22"/>
        </w:rPr>
        <w:t xml:space="preserve"> do art. 157 do Regimento Interno e dá outras providências. </w:t>
      </w:r>
    </w:p>
    <w:p w14:paraId="3F973949" w14:textId="77777777" w:rsidR="00503450" w:rsidRPr="00503450" w:rsidRDefault="00503450" w:rsidP="004171E9">
      <w:pPr>
        <w:pStyle w:val="Default"/>
        <w:spacing w:before="240"/>
        <w:ind w:firstLine="1134"/>
        <w:jc w:val="both"/>
        <w:rPr>
          <w:color w:val="auto"/>
        </w:rPr>
      </w:pPr>
      <w:r w:rsidRPr="008C783F">
        <w:rPr>
          <w:color w:val="auto"/>
        </w:rPr>
        <w:t>O</w:t>
      </w:r>
      <w:r w:rsidRPr="00503450">
        <w:rPr>
          <w:b/>
          <w:bCs/>
          <w:color w:val="auto"/>
        </w:rPr>
        <w:t xml:space="preserve"> TRIBUNAL DE CONTAS DO ESTADO DO PARANÁ, </w:t>
      </w:r>
      <w:r w:rsidRPr="00503450">
        <w:rPr>
          <w:color w:val="auto"/>
        </w:rPr>
        <w:t xml:space="preserve">no uso das atribuições institucionais estabelecidas na Constituição Federal e do Estado, com fundamento no art. 2, 1 da Lei Complementar n2 113, de 15 de dezembro de 2005, e para atendimento aos §§ 39 e 52, do art. 157 do Regimento Interno, </w:t>
      </w:r>
    </w:p>
    <w:p w14:paraId="1260F70F" w14:textId="77777777" w:rsidR="00503450" w:rsidRPr="00503450" w:rsidRDefault="00503450" w:rsidP="004171E9">
      <w:pPr>
        <w:pStyle w:val="Default"/>
        <w:spacing w:before="240"/>
        <w:ind w:firstLine="1134"/>
        <w:jc w:val="both"/>
        <w:rPr>
          <w:b/>
          <w:bCs/>
          <w:color w:val="auto"/>
        </w:rPr>
      </w:pPr>
      <w:r w:rsidRPr="00503450">
        <w:rPr>
          <w:b/>
          <w:bCs/>
          <w:color w:val="auto"/>
        </w:rPr>
        <w:t xml:space="preserve">RESOLVE </w:t>
      </w:r>
    </w:p>
    <w:p w14:paraId="736C2143" w14:textId="53706378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b/>
          <w:bCs/>
          <w:color w:val="auto"/>
        </w:rPr>
        <w:t xml:space="preserve">Art. 1º </w:t>
      </w:r>
      <w:r w:rsidRPr="00503450">
        <w:rPr>
          <w:color w:val="auto"/>
        </w:rPr>
        <w:t xml:space="preserve">Os Relatórios Semestrais de fiscalização elaborados pelas Inspetorias de Controle Externo, previstos no inciso V, do art. 157 do Regimento Interno, deverão ser encaminhados à Diretoria de Contas Estaduais nos seguintes prazos: </w:t>
      </w:r>
    </w:p>
    <w:p w14:paraId="1644EE98" w14:textId="77777777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color w:val="auto"/>
        </w:rPr>
        <w:t>I - até 30 (trinta) de setembro para os relatórios do primeiro semestre;</w:t>
      </w:r>
    </w:p>
    <w:p w14:paraId="6D81FC61" w14:textId="77777777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color w:val="auto"/>
        </w:rPr>
        <w:t xml:space="preserve">II - até 30 (trinta) de abril para os relatórios do segundo semestre. </w:t>
      </w:r>
    </w:p>
    <w:p w14:paraId="2EBC1A2A" w14:textId="2809C1B1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97670E">
        <w:rPr>
          <w:bCs/>
          <w:color w:val="auto"/>
        </w:rPr>
        <w:t xml:space="preserve">Parágrafo </w:t>
      </w:r>
      <w:r w:rsidR="008E5E77" w:rsidRPr="0097670E">
        <w:rPr>
          <w:bCs/>
          <w:color w:val="auto"/>
        </w:rPr>
        <w:t>único</w:t>
      </w:r>
      <w:r w:rsidR="008E5E77">
        <w:rPr>
          <w:bCs/>
          <w:color w:val="auto"/>
        </w:rPr>
        <w:t>.</w:t>
      </w:r>
      <w:r w:rsidR="0097670E">
        <w:rPr>
          <w:bCs/>
          <w:color w:val="auto"/>
        </w:rPr>
        <w:t xml:space="preserve"> </w:t>
      </w:r>
      <w:r w:rsidRPr="00503450">
        <w:rPr>
          <w:color w:val="auto"/>
        </w:rPr>
        <w:t xml:space="preserve">Os casos excepcionais deverão ser justificados com a ciência do Conselheiro Superintendente. </w:t>
      </w:r>
    </w:p>
    <w:p w14:paraId="014479BB" w14:textId="19A4D367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b/>
          <w:color w:val="auto"/>
        </w:rPr>
        <w:t>Art. 2º</w:t>
      </w:r>
      <w:r w:rsidRPr="00503450">
        <w:rPr>
          <w:color w:val="auto"/>
        </w:rPr>
        <w:t xml:space="preserve"> Os Relatórios Semestrais indicarão obrigatoriamente as Comunicações de Irregularidades protocoladas no período. </w:t>
      </w:r>
    </w:p>
    <w:p w14:paraId="3AFE9E73" w14:textId="6DDE143D" w:rsidR="00503450" w:rsidRPr="00503450" w:rsidRDefault="008E5E77" w:rsidP="008C783F">
      <w:pPr>
        <w:pStyle w:val="Default"/>
        <w:spacing w:before="120"/>
        <w:ind w:firstLine="1134"/>
        <w:jc w:val="both"/>
        <w:rPr>
          <w:color w:val="auto"/>
        </w:rPr>
      </w:pPr>
      <w:r w:rsidRPr="0097670E">
        <w:rPr>
          <w:bCs/>
          <w:color w:val="auto"/>
        </w:rPr>
        <w:t>Parágrafo único</w:t>
      </w:r>
      <w:r>
        <w:rPr>
          <w:bCs/>
          <w:color w:val="auto"/>
        </w:rPr>
        <w:t xml:space="preserve">. </w:t>
      </w:r>
      <w:r w:rsidR="00503450" w:rsidRPr="00503450">
        <w:rPr>
          <w:color w:val="auto"/>
        </w:rPr>
        <w:t xml:space="preserve">O Sistema Estadual de Informações - SEI recepcionará as Comunicações de Irregularidade protocoladas com as seguintes informações obrigatórias: </w:t>
      </w:r>
    </w:p>
    <w:p w14:paraId="55117F5D" w14:textId="77777777" w:rsidR="00503450" w:rsidRPr="00503450" w:rsidRDefault="00503450" w:rsidP="008C783F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03450">
        <w:rPr>
          <w:rFonts w:ascii="Arial" w:hAnsi="Arial" w:cs="Arial"/>
          <w:sz w:val="24"/>
          <w:szCs w:val="24"/>
        </w:rPr>
        <w:t>I</w:t>
      </w:r>
      <w:r w:rsidR="0097670E">
        <w:rPr>
          <w:rFonts w:ascii="Arial" w:hAnsi="Arial" w:cs="Arial"/>
          <w:sz w:val="24"/>
          <w:szCs w:val="24"/>
        </w:rPr>
        <w:t xml:space="preserve"> </w:t>
      </w:r>
      <w:r w:rsidRPr="00503450">
        <w:rPr>
          <w:rFonts w:ascii="Arial" w:hAnsi="Arial" w:cs="Arial"/>
          <w:sz w:val="24"/>
          <w:szCs w:val="24"/>
        </w:rPr>
        <w:t>- o número do processo;</w:t>
      </w:r>
    </w:p>
    <w:p w14:paraId="1B4FF312" w14:textId="77777777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color w:val="auto"/>
        </w:rPr>
        <w:t>II - o resumo da irregularidade</w:t>
      </w:r>
      <w:r w:rsidR="0097670E">
        <w:rPr>
          <w:color w:val="auto"/>
        </w:rPr>
        <w:t>.</w:t>
      </w:r>
      <w:r w:rsidRPr="00503450">
        <w:rPr>
          <w:color w:val="auto"/>
        </w:rPr>
        <w:t xml:space="preserve"> </w:t>
      </w:r>
    </w:p>
    <w:p w14:paraId="652CBCAC" w14:textId="634EE3F8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b/>
          <w:color w:val="auto"/>
        </w:rPr>
        <w:t>Art. 3º</w:t>
      </w:r>
      <w:r w:rsidRPr="00503450">
        <w:rPr>
          <w:color w:val="auto"/>
        </w:rPr>
        <w:t xml:space="preserve"> As Inspetorias farão as Comunicações de Irregularidades exclusivamente aos jurisdicionados vinculados às suas respectivas áreas de fiscalização obedecendo isolada ou cumulativamente os seguintes critérios: </w:t>
      </w:r>
    </w:p>
    <w:p w14:paraId="004F091A" w14:textId="77777777" w:rsidR="00503450" w:rsidRPr="00503450" w:rsidRDefault="00503450" w:rsidP="008C783F">
      <w:pPr>
        <w:pStyle w:val="Default"/>
        <w:spacing w:before="120"/>
        <w:ind w:firstLine="1134"/>
        <w:jc w:val="both"/>
        <w:rPr>
          <w:bCs/>
          <w:color w:val="auto"/>
        </w:rPr>
      </w:pPr>
      <w:r w:rsidRPr="00503450">
        <w:rPr>
          <w:bCs/>
          <w:color w:val="auto"/>
        </w:rPr>
        <w:t xml:space="preserve">I - quando a irregularidade detectada ocorreu dentro do prazo de sua responsabilidade de fiscalização; </w:t>
      </w:r>
    </w:p>
    <w:p w14:paraId="731CCC29" w14:textId="77777777" w:rsidR="00503450" w:rsidRPr="00503450" w:rsidRDefault="00503450" w:rsidP="008C783F">
      <w:pPr>
        <w:pStyle w:val="Default"/>
        <w:spacing w:before="120"/>
        <w:ind w:firstLine="1134"/>
        <w:jc w:val="both"/>
        <w:rPr>
          <w:bCs/>
          <w:color w:val="auto"/>
        </w:rPr>
      </w:pPr>
      <w:r w:rsidRPr="00503450">
        <w:rPr>
          <w:bCs/>
          <w:color w:val="auto"/>
        </w:rPr>
        <w:lastRenderedPageBreak/>
        <w:t xml:space="preserve">lI - quando as conseqüências econômicas, contábeis e/ou financeiras ocorrerem dentro do prazo de sua responsabilidade de fiscalização, mesmo que os atos administrativos que deram causa tenham ocorrido em data anterior e fora do período de sua responsabilidade de fiscalização. </w:t>
      </w:r>
    </w:p>
    <w:p w14:paraId="32D1370F" w14:textId="77777777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bCs/>
          <w:color w:val="auto"/>
        </w:rPr>
        <w:t xml:space="preserve">§1º. </w:t>
      </w:r>
      <w:r w:rsidRPr="00503450">
        <w:rPr>
          <w:color w:val="auto"/>
        </w:rPr>
        <w:t>Quando a Comunicação de Irregularidade responsabilizar gestor ou servidor de jurisdicionado sob a responsabilidade de outra Inspetoria, se dará ciência à Inspetoria correspondente.</w:t>
      </w:r>
    </w:p>
    <w:p w14:paraId="1F3A0D8C" w14:textId="77777777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color w:val="auto"/>
        </w:rPr>
        <w:t>§2º. As Comunicações de Irregularidades elaboradas pelas Inspetorias de Controle Externo, nos termos do inciso IV, do art. 157 e do art. 262, do Regimento Interno, deverão ser protocoladas até 30 de abril do exercício subsequente.</w:t>
      </w:r>
    </w:p>
    <w:p w14:paraId="11267832" w14:textId="648C7ADB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b/>
          <w:color w:val="auto"/>
        </w:rPr>
        <w:t>Art. 4º</w:t>
      </w:r>
      <w:r w:rsidRPr="00503450">
        <w:rPr>
          <w:color w:val="auto"/>
        </w:rPr>
        <w:t xml:space="preserve"> Decorrido o prazo estabelecido para entrega dos relatórios semestrais, bem como os prazos para protocolo de entrega das Comunicações de Irregularidades, caberá a Diretoria de Contas Estaduais intormar ao Presidente do Tribunal para adoção das medidas saneadoras.</w:t>
      </w:r>
    </w:p>
    <w:p w14:paraId="0BDDE2D2" w14:textId="7C52149F" w:rsidR="00503450" w:rsidRPr="00503450" w:rsidRDefault="00503450" w:rsidP="008C783F">
      <w:pPr>
        <w:pStyle w:val="Default"/>
        <w:spacing w:before="120"/>
        <w:ind w:firstLine="1134"/>
        <w:jc w:val="both"/>
        <w:rPr>
          <w:color w:val="auto"/>
        </w:rPr>
      </w:pPr>
      <w:r w:rsidRPr="00503450">
        <w:rPr>
          <w:b/>
          <w:color w:val="auto"/>
        </w:rPr>
        <w:t>Art. 5º</w:t>
      </w:r>
      <w:r w:rsidRPr="00503450">
        <w:rPr>
          <w:color w:val="auto"/>
        </w:rPr>
        <w:t xml:space="preserve"> Esta Instrução Normativa entra em vigor na data de sua publicação nos Atos Oficiais do Tribunal de Contas do Estado do Paraná.</w:t>
      </w:r>
    </w:p>
    <w:p w14:paraId="469CEDE7" w14:textId="77777777" w:rsidR="00503450" w:rsidRDefault="00503450" w:rsidP="008C783F">
      <w:pPr>
        <w:spacing w:before="120"/>
      </w:pPr>
    </w:p>
    <w:p w14:paraId="0D5F8FF0" w14:textId="77777777" w:rsidR="0097670E" w:rsidRDefault="0097670E" w:rsidP="008C783F">
      <w:pPr>
        <w:spacing w:before="120"/>
      </w:pPr>
    </w:p>
    <w:p w14:paraId="26219593" w14:textId="77777777" w:rsidR="00503450" w:rsidRPr="0097670E" w:rsidRDefault="0097670E" w:rsidP="0097670E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97670E">
        <w:rPr>
          <w:rFonts w:ascii="Arial" w:hAnsi="Arial" w:cs="Arial"/>
          <w:sz w:val="24"/>
          <w:szCs w:val="24"/>
        </w:rPr>
        <w:t>Sala das Sessões, 22 de dezembro de 2011.</w:t>
      </w:r>
    </w:p>
    <w:p w14:paraId="7173E265" w14:textId="77777777" w:rsidR="0097670E" w:rsidRDefault="0097670E" w:rsidP="0097670E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14:paraId="05C12D2A" w14:textId="77777777" w:rsidR="0097670E" w:rsidRPr="0097670E" w:rsidRDefault="0097670E" w:rsidP="0097670E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14:paraId="5EEE4A18" w14:textId="77777777" w:rsidR="0097670E" w:rsidRPr="0097670E" w:rsidRDefault="0097670E" w:rsidP="0097670E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97670E">
        <w:rPr>
          <w:rFonts w:ascii="Arial" w:hAnsi="Arial" w:cs="Arial"/>
          <w:b/>
          <w:sz w:val="24"/>
          <w:szCs w:val="24"/>
        </w:rPr>
        <w:t>FERNANDO AUGUSTO MELLO GUIMARÃES</w:t>
      </w:r>
    </w:p>
    <w:p w14:paraId="769D7081" w14:textId="77777777" w:rsidR="0097670E" w:rsidRPr="00497DFE" w:rsidRDefault="0097670E" w:rsidP="0097670E">
      <w:pPr>
        <w:spacing w:before="120"/>
        <w:jc w:val="center"/>
        <w:rPr>
          <w:rFonts w:ascii="Arial" w:hAnsi="Arial" w:cs="Arial"/>
          <w:bCs/>
          <w:sz w:val="24"/>
          <w:szCs w:val="24"/>
        </w:rPr>
      </w:pPr>
      <w:r w:rsidRPr="00497DFE">
        <w:rPr>
          <w:rFonts w:ascii="Arial" w:hAnsi="Arial" w:cs="Arial"/>
          <w:bCs/>
          <w:sz w:val="24"/>
          <w:szCs w:val="24"/>
        </w:rPr>
        <w:t>Presidente</w:t>
      </w:r>
    </w:p>
    <w:sectPr w:rsidR="0097670E" w:rsidRPr="00497DFE" w:rsidSect="00497DFE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1EB4" w14:textId="77777777" w:rsidR="009B2540" w:rsidRDefault="009B2540" w:rsidP="00503450">
      <w:r>
        <w:separator/>
      </w:r>
    </w:p>
  </w:endnote>
  <w:endnote w:type="continuationSeparator" w:id="0">
    <w:p w14:paraId="44095659" w14:textId="77777777" w:rsidR="009B2540" w:rsidRDefault="009B2540" w:rsidP="0050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AA15" w14:textId="77777777" w:rsidR="009B2540" w:rsidRDefault="009B2540" w:rsidP="00503450">
      <w:r>
        <w:separator/>
      </w:r>
    </w:p>
  </w:footnote>
  <w:footnote w:type="continuationSeparator" w:id="0">
    <w:p w14:paraId="156B2B81" w14:textId="77777777" w:rsidR="009B2540" w:rsidRDefault="009B2540" w:rsidP="00503450">
      <w:r>
        <w:continuationSeparator/>
      </w:r>
    </w:p>
  </w:footnote>
  <w:footnote w:id="1">
    <w:p w14:paraId="6CFC8A58" w14:textId="77777777" w:rsidR="001C7D5E" w:rsidRPr="003977B8" w:rsidRDefault="001C7D5E" w:rsidP="001C7D5E">
      <w:pPr>
        <w:pStyle w:val="Textodenotaderodap"/>
        <w:ind w:left="567" w:hanging="567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3977B8">
        <w:rPr>
          <w:rFonts w:ascii="Arial" w:hAnsi="Arial" w:cs="Arial"/>
          <w:b/>
        </w:rPr>
        <w:t>Notas da Biblioteca:</w:t>
      </w:r>
    </w:p>
    <w:bookmarkEnd w:id="0"/>
    <w:p w14:paraId="2F543BEB" w14:textId="1843182A" w:rsidR="001C7D5E" w:rsidRPr="008C783F" w:rsidRDefault="0085086A" w:rsidP="004171E9">
      <w:pPr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 w:rsidRPr="008C783F">
        <w:rPr>
          <w:rFonts w:ascii="Arial" w:hAnsi="Arial" w:cs="Arial"/>
          <w:bCs/>
        </w:rPr>
        <w:t xml:space="preserve">Este texto não substitui o publicado no periódico: </w:t>
      </w:r>
      <w:hyperlink r:id="rId1" w:history="1">
        <w:r w:rsidR="003C7067" w:rsidRPr="008C783F">
          <w:rPr>
            <w:rStyle w:val="Hyperlink"/>
            <w:rFonts w:ascii="Arial" w:hAnsi="Arial" w:cs="Arial"/>
            <w:b/>
            <w:bCs/>
            <w:color w:val="0000FF"/>
          </w:rPr>
          <w:t>Atos Oficiais do Tribunal de Contas do Estado do Paraná</w:t>
        </w:r>
        <w:r w:rsidR="003C7067" w:rsidRPr="008C783F">
          <w:rPr>
            <w:rStyle w:val="Hyperlink"/>
            <w:rFonts w:ascii="Arial" w:hAnsi="Arial" w:cs="Arial"/>
            <w:bCs/>
            <w:color w:val="0000FF"/>
          </w:rPr>
          <w:t>,</w:t>
        </w:r>
        <w:r w:rsidR="003C7067" w:rsidRPr="008C783F">
          <w:rPr>
            <w:rStyle w:val="Hyperlink"/>
            <w:rFonts w:ascii="Arial" w:hAnsi="Arial" w:cs="Arial"/>
            <w:color w:val="0000FF"/>
          </w:rPr>
          <w:t xml:space="preserve"> Curitiba, PR, n. 332, 13 jan. 2012, p. 113-114</w:t>
        </w:r>
      </w:hyperlink>
      <w:r w:rsidR="003C7067" w:rsidRPr="008C783F">
        <w:rPr>
          <w:rFonts w:ascii="Arial" w:hAnsi="Arial" w:cs="Arial"/>
          <w:color w:val="0000FF"/>
        </w:rPr>
        <w:t>.</w:t>
      </w:r>
    </w:p>
    <w:p w14:paraId="6803BD16" w14:textId="1B9B4898" w:rsidR="001C7D5E" w:rsidRDefault="00BC5E93" w:rsidP="004171E9">
      <w:pPr>
        <w:pStyle w:val="Textodenotaderodap"/>
        <w:numPr>
          <w:ilvl w:val="0"/>
          <w:numId w:val="2"/>
        </w:numPr>
        <w:ind w:left="426" w:hanging="284"/>
        <w:jc w:val="both"/>
      </w:pPr>
      <w:r w:rsidRPr="008C783F">
        <w:rPr>
          <w:rFonts w:ascii="Arial" w:hAnsi="Arial" w:cs="Arial"/>
        </w:rPr>
        <w:t xml:space="preserve">Origem: </w:t>
      </w:r>
      <w:r w:rsidR="00841DB8" w:rsidRPr="008C783F">
        <w:rPr>
          <w:rFonts w:ascii="Arial" w:hAnsi="Arial" w:cs="Arial"/>
        </w:rPr>
        <w:t xml:space="preserve">Processo n. 73499-6/11 – </w:t>
      </w:r>
      <w:hyperlink r:id="rId2" w:history="1">
        <w:r w:rsidR="00841DB8" w:rsidRPr="008C783F">
          <w:rPr>
            <w:rStyle w:val="Hyperlink"/>
            <w:rFonts w:ascii="Arial" w:hAnsi="Arial" w:cs="Arial"/>
            <w:color w:val="0000FF"/>
          </w:rPr>
          <w:t>Acórdão n. 2.756/2011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4534" w14:textId="77777777" w:rsidR="00D0453E" w:rsidRDefault="009B2540" w:rsidP="00D0453E">
    <w:pPr>
      <w:tabs>
        <w:tab w:val="center" w:pos="4252"/>
        <w:tab w:val="right" w:pos="8504"/>
      </w:tabs>
      <w:spacing w:before="48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73558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D0453E" w:rsidRPr="00E4084B">
      <w:rPr>
        <w:rFonts w:ascii="Arial" w:hAnsi="Arial" w:cs="Arial"/>
        <w:b/>
        <w:sz w:val="30"/>
        <w:szCs w:val="30"/>
      </w:rPr>
      <w:t>TRIBUNAL DE CONTAS DO ESTADO DO PARANÁ</w:t>
    </w:r>
  </w:p>
  <w:p w14:paraId="10B8176B" w14:textId="1D8EAD81" w:rsidR="00503450" w:rsidRDefault="00503450">
    <w:pPr>
      <w:pStyle w:val="Cabealho"/>
    </w:pPr>
  </w:p>
  <w:p w14:paraId="05A2F067" w14:textId="56ED5E48" w:rsidR="00D0453E" w:rsidRDefault="00D0453E">
    <w:pPr>
      <w:pStyle w:val="Cabealho"/>
    </w:pPr>
  </w:p>
  <w:p w14:paraId="6B46D934" w14:textId="77777777" w:rsidR="00D0453E" w:rsidRDefault="00D045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28D"/>
    <w:multiLevelType w:val="hybridMultilevel"/>
    <w:tmpl w:val="C358850C"/>
    <w:lvl w:ilvl="0" w:tplc="AFA82B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489C"/>
    <w:multiLevelType w:val="hybridMultilevel"/>
    <w:tmpl w:val="56BA97BA"/>
    <w:lvl w:ilvl="0" w:tplc="1F8E1050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61203020">
    <w:abstractNumId w:val="1"/>
  </w:num>
  <w:num w:numId="2" w16cid:durableId="149187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450"/>
    <w:rsid w:val="0002454F"/>
    <w:rsid w:val="00035706"/>
    <w:rsid w:val="001C7D5E"/>
    <w:rsid w:val="00210A4B"/>
    <w:rsid w:val="003C7067"/>
    <w:rsid w:val="004171E9"/>
    <w:rsid w:val="00497DFE"/>
    <w:rsid w:val="00503450"/>
    <w:rsid w:val="0077118C"/>
    <w:rsid w:val="00841DB8"/>
    <w:rsid w:val="0085086A"/>
    <w:rsid w:val="008C783F"/>
    <w:rsid w:val="008E5E77"/>
    <w:rsid w:val="008E74F4"/>
    <w:rsid w:val="0097670E"/>
    <w:rsid w:val="009B2540"/>
    <w:rsid w:val="009B5274"/>
    <w:rsid w:val="00BC5E93"/>
    <w:rsid w:val="00C04A9E"/>
    <w:rsid w:val="00CC1E1C"/>
    <w:rsid w:val="00CC48FB"/>
    <w:rsid w:val="00D0453E"/>
    <w:rsid w:val="00E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A75E"/>
  <w15:chartTrackingRefBased/>
  <w15:docId w15:val="{50A7E6AC-4EED-498D-B33C-268BF37F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45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0345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34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34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34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34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4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03450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1C7D5E"/>
  </w:style>
  <w:style w:type="character" w:customStyle="1" w:styleId="TextodenotaderodapChar">
    <w:name w:val="Texto de nota de rodapé Char"/>
    <w:link w:val="Textodenotaderodap"/>
    <w:rsid w:val="001C7D5E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1C7D5E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1C7D5E"/>
    <w:pPr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C7D5E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1C7D5E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35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2/4/pdf/00008546.pdf" TargetMode="External"/><Relationship Id="rId1" Type="http://schemas.openxmlformats.org/officeDocument/2006/relationships/hyperlink" Target="http://www1.tce.pr.gov.br/multimidia/2012/1/pdf/002403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11210-2C1B-41E6-B930-6942D8E2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tc514268</dc:creator>
  <cp:keywords/>
  <cp:lastModifiedBy>Yarusya</cp:lastModifiedBy>
  <cp:revision>16</cp:revision>
  <dcterms:created xsi:type="dcterms:W3CDTF">2022-06-21T14:19:00Z</dcterms:created>
  <dcterms:modified xsi:type="dcterms:W3CDTF">2022-06-29T18:48:00Z</dcterms:modified>
</cp:coreProperties>
</file>