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4FDD" w14:textId="74D4DF49" w:rsidR="009020D8" w:rsidRPr="00A647E2" w:rsidRDefault="009020D8" w:rsidP="00170CC1">
      <w:pPr>
        <w:pStyle w:val="Ttulo1"/>
        <w:spacing w:before="240" w:after="240"/>
        <w:rPr>
          <w:rFonts w:ascii="Arial" w:hAnsi="Arial" w:cs="Arial"/>
          <w:sz w:val="28"/>
          <w:szCs w:val="28"/>
        </w:rPr>
      </w:pPr>
      <w:r w:rsidRPr="00A647E2">
        <w:rPr>
          <w:rFonts w:ascii="Arial" w:hAnsi="Arial" w:cs="Arial"/>
          <w:sz w:val="28"/>
          <w:szCs w:val="28"/>
        </w:rPr>
        <w:t xml:space="preserve">INSTRUÇÃO </w:t>
      </w:r>
      <w:r w:rsidR="00B511F9" w:rsidRPr="00A647E2">
        <w:rPr>
          <w:rFonts w:ascii="Arial" w:hAnsi="Arial" w:cs="Arial"/>
          <w:sz w:val="28"/>
          <w:szCs w:val="28"/>
        </w:rPr>
        <w:t>NORMATIVA</w:t>
      </w:r>
      <w:r w:rsidR="00B246EC" w:rsidRPr="00A647E2">
        <w:rPr>
          <w:rFonts w:ascii="Arial" w:hAnsi="Arial" w:cs="Arial"/>
          <w:sz w:val="28"/>
          <w:szCs w:val="28"/>
        </w:rPr>
        <w:t xml:space="preserve"> N° </w:t>
      </w:r>
      <w:r w:rsidR="008C2218" w:rsidRPr="00A647E2">
        <w:rPr>
          <w:rFonts w:ascii="Arial" w:hAnsi="Arial" w:cs="Arial"/>
          <w:sz w:val="28"/>
          <w:szCs w:val="28"/>
        </w:rPr>
        <w:t>29</w:t>
      </w:r>
      <w:r w:rsidR="00B246EC" w:rsidRPr="00A647E2">
        <w:rPr>
          <w:rFonts w:ascii="Arial" w:hAnsi="Arial" w:cs="Arial"/>
          <w:sz w:val="28"/>
          <w:szCs w:val="28"/>
        </w:rPr>
        <w:t>/200</w:t>
      </w:r>
      <w:r w:rsidR="00B511F9" w:rsidRPr="00A647E2">
        <w:rPr>
          <w:rFonts w:ascii="Arial" w:hAnsi="Arial" w:cs="Arial"/>
          <w:sz w:val="28"/>
          <w:szCs w:val="28"/>
        </w:rPr>
        <w:t>8</w:t>
      </w:r>
      <w:r w:rsidR="00C12CD3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583EE603" w14:textId="6FB5B5C6" w:rsidR="009020D8" w:rsidRPr="00425901" w:rsidRDefault="00C21555" w:rsidP="005C016B">
      <w:pPr>
        <w:tabs>
          <w:tab w:val="left" w:pos="2025"/>
        </w:tabs>
        <w:spacing w:before="360" w:after="360"/>
        <w:ind w:left="453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25901">
        <w:rPr>
          <w:rFonts w:ascii="Arial" w:hAnsi="Arial" w:cs="Arial"/>
          <w:bCs/>
          <w:i/>
          <w:iCs/>
          <w:sz w:val="22"/>
          <w:szCs w:val="22"/>
        </w:rPr>
        <w:t xml:space="preserve">Dispõe </w:t>
      </w:r>
      <w:r w:rsidR="00D54023" w:rsidRPr="00425901">
        <w:rPr>
          <w:rFonts w:ascii="Arial" w:hAnsi="Arial" w:cs="Arial"/>
          <w:bCs/>
          <w:i/>
          <w:iCs/>
          <w:sz w:val="22"/>
          <w:szCs w:val="22"/>
        </w:rPr>
        <w:t>sobre</w:t>
      </w:r>
      <w:r w:rsidRPr="00425901">
        <w:rPr>
          <w:rFonts w:ascii="Arial" w:hAnsi="Arial" w:cs="Arial"/>
          <w:bCs/>
          <w:i/>
          <w:iCs/>
          <w:sz w:val="22"/>
          <w:szCs w:val="22"/>
        </w:rPr>
        <w:t xml:space="preserve"> critérios cont</w:t>
      </w:r>
      <w:r w:rsidR="00AC11DB" w:rsidRPr="00425901">
        <w:rPr>
          <w:rFonts w:ascii="Arial" w:hAnsi="Arial" w:cs="Arial"/>
          <w:bCs/>
          <w:i/>
          <w:iCs/>
          <w:sz w:val="22"/>
          <w:szCs w:val="22"/>
        </w:rPr>
        <w:t xml:space="preserve">ábeis e técnicos </w:t>
      </w:r>
      <w:r w:rsidR="000E09EE" w:rsidRPr="00425901">
        <w:rPr>
          <w:rFonts w:ascii="Arial" w:hAnsi="Arial" w:cs="Arial"/>
          <w:bCs/>
          <w:i/>
          <w:iCs/>
          <w:sz w:val="22"/>
          <w:szCs w:val="22"/>
        </w:rPr>
        <w:t>para registro de restos a receber de transferências intergovernamentais</w:t>
      </w:r>
      <w:r w:rsidRPr="0042590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D54023" w:rsidRPr="00425901">
        <w:rPr>
          <w:rFonts w:ascii="Arial" w:hAnsi="Arial" w:cs="Arial"/>
          <w:bCs/>
          <w:i/>
          <w:iCs/>
          <w:sz w:val="22"/>
          <w:szCs w:val="22"/>
        </w:rPr>
        <w:t>e estabelece outras providências</w:t>
      </w:r>
      <w:r w:rsidR="00E71442" w:rsidRPr="0042590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DC89648" w14:textId="081D490F" w:rsidR="00170CC1" w:rsidRDefault="000E09EE" w:rsidP="00A647E2">
      <w:pPr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5C016B">
        <w:rPr>
          <w:rFonts w:ascii="Arial" w:hAnsi="Arial" w:cs="Arial"/>
          <w:sz w:val="24"/>
          <w:szCs w:val="24"/>
        </w:rPr>
        <w:t xml:space="preserve">O </w:t>
      </w:r>
      <w:r w:rsidRPr="00C83CC2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C83CC2">
        <w:rPr>
          <w:rFonts w:ascii="Arial" w:hAnsi="Arial" w:cs="Arial"/>
          <w:sz w:val="24"/>
          <w:szCs w:val="24"/>
        </w:rPr>
        <w:t xml:space="preserve">, no uso das atribuições institucionais, estabelecidas na Constituição Federal, na Constituição Estadual, na </w:t>
      </w:r>
      <w:r w:rsidRPr="00351218">
        <w:rPr>
          <w:rFonts w:ascii="Arial" w:hAnsi="Arial" w:cs="Arial"/>
          <w:sz w:val="24"/>
          <w:szCs w:val="24"/>
        </w:rPr>
        <w:t xml:space="preserve">Lei Complementar nº 113, de 15 de dezembro de 2005, </w:t>
      </w:r>
      <w:r w:rsidRPr="00C83CC2">
        <w:rPr>
          <w:rFonts w:ascii="Arial" w:hAnsi="Arial" w:cs="Arial"/>
          <w:sz w:val="24"/>
          <w:szCs w:val="24"/>
        </w:rPr>
        <w:t xml:space="preserve">e com fundamento no art. 187, II, e 193, ambos do </w:t>
      </w:r>
      <w:r w:rsidRPr="00351218">
        <w:rPr>
          <w:rFonts w:ascii="Arial" w:hAnsi="Arial" w:cs="Arial"/>
          <w:sz w:val="24"/>
          <w:szCs w:val="24"/>
        </w:rPr>
        <w:t>Regimento Interno</w:t>
      </w:r>
      <w:r w:rsidRPr="00C83CC2">
        <w:rPr>
          <w:rFonts w:ascii="Arial" w:hAnsi="Arial" w:cs="Arial"/>
          <w:sz w:val="24"/>
          <w:szCs w:val="24"/>
        </w:rPr>
        <w:t xml:space="preserve">, </w:t>
      </w:r>
    </w:p>
    <w:p w14:paraId="2C8683B2" w14:textId="5B9C146E" w:rsidR="000E09EE" w:rsidRPr="00C83CC2" w:rsidRDefault="000E09EE" w:rsidP="00A647E2">
      <w:pPr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b/>
          <w:sz w:val="24"/>
          <w:szCs w:val="24"/>
        </w:rPr>
        <w:t>RESOLVE</w:t>
      </w:r>
      <w:r w:rsidRPr="00C83CC2">
        <w:rPr>
          <w:rFonts w:ascii="Arial" w:hAnsi="Arial" w:cs="Arial"/>
          <w:sz w:val="24"/>
          <w:szCs w:val="24"/>
        </w:rPr>
        <w:t>:</w:t>
      </w:r>
    </w:p>
    <w:p w14:paraId="52E566E3" w14:textId="2C125602" w:rsidR="00E57295" w:rsidRPr="00C83CC2" w:rsidRDefault="005D3EF1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70CC1">
        <w:rPr>
          <w:rFonts w:ascii="Arial" w:hAnsi="Arial" w:cs="Arial"/>
          <w:b/>
          <w:bCs/>
          <w:sz w:val="24"/>
          <w:szCs w:val="24"/>
        </w:rPr>
        <w:t>Art</w:t>
      </w:r>
      <w:r w:rsidR="0070153D" w:rsidRPr="00170CC1">
        <w:rPr>
          <w:rFonts w:ascii="Arial" w:hAnsi="Arial" w:cs="Arial"/>
          <w:b/>
          <w:bCs/>
          <w:sz w:val="24"/>
          <w:szCs w:val="24"/>
        </w:rPr>
        <w:t>.</w:t>
      </w:r>
      <w:r w:rsidR="009020D8" w:rsidRPr="00170CC1">
        <w:rPr>
          <w:rFonts w:ascii="Arial" w:hAnsi="Arial" w:cs="Arial"/>
          <w:b/>
          <w:bCs/>
          <w:sz w:val="24"/>
          <w:szCs w:val="24"/>
        </w:rPr>
        <w:t xml:space="preserve"> 1º</w:t>
      </w:r>
      <w:r w:rsidR="00170CC1">
        <w:rPr>
          <w:rFonts w:ascii="Arial" w:hAnsi="Arial" w:cs="Arial"/>
          <w:b/>
          <w:bCs/>
          <w:sz w:val="24"/>
          <w:szCs w:val="24"/>
        </w:rPr>
        <w:t xml:space="preserve"> </w:t>
      </w:r>
      <w:r w:rsidR="00E57295" w:rsidRPr="00C83CC2">
        <w:rPr>
          <w:rFonts w:ascii="Arial" w:hAnsi="Arial" w:cs="Arial"/>
          <w:sz w:val="24"/>
          <w:szCs w:val="24"/>
        </w:rPr>
        <w:t>Considerando que o princípio contábil da oportunidade é indispensável à integridade e fidedignidade dos registros contábeis, em razão do que a contabilidade pública deverá registrar todos os atos e fatos ocorridos que afetam ou que possam afetar a representação da expressão do patrimônio da entidade pública.</w:t>
      </w:r>
    </w:p>
    <w:p w14:paraId="7C4A8055" w14:textId="7C0B81C5" w:rsidR="00E57295" w:rsidRPr="00C83CC2" w:rsidRDefault="00E57295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Parágrafo </w:t>
      </w:r>
      <w:r w:rsidR="00B72DEE" w:rsidRPr="00C83CC2">
        <w:rPr>
          <w:rFonts w:ascii="Arial" w:hAnsi="Arial" w:cs="Arial"/>
          <w:sz w:val="24"/>
          <w:szCs w:val="24"/>
        </w:rPr>
        <w:t>ú</w:t>
      </w:r>
      <w:r w:rsidRPr="00C83CC2">
        <w:rPr>
          <w:rFonts w:ascii="Arial" w:hAnsi="Arial" w:cs="Arial"/>
          <w:sz w:val="24"/>
          <w:szCs w:val="24"/>
        </w:rPr>
        <w:t>nico. Na pe</w:t>
      </w:r>
      <w:r w:rsidR="004A4F40" w:rsidRPr="00C83CC2">
        <w:rPr>
          <w:rFonts w:ascii="Arial" w:hAnsi="Arial" w:cs="Arial"/>
          <w:sz w:val="24"/>
          <w:szCs w:val="24"/>
        </w:rPr>
        <w:t>rspectiva pública, enunciada em n</w:t>
      </w:r>
      <w:r w:rsidRPr="00C83CC2">
        <w:rPr>
          <w:rFonts w:ascii="Arial" w:hAnsi="Arial" w:cs="Arial"/>
          <w:sz w:val="24"/>
          <w:szCs w:val="24"/>
        </w:rPr>
        <w:t xml:space="preserve">ormas </w:t>
      </w:r>
      <w:r w:rsidR="004A4F40" w:rsidRPr="00C83CC2">
        <w:rPr>
          <w:rFonts w:ascii="Arial" w:hAnsi="Arial" w:cs="Arial"/>
          <w:sz w:val="24"/>
          <w:szCs w:val="24"/>
        </w:rPr>
        <w:t>i</w:t>
      </w:r>
      <w:r w:rsidRPr="00C83CC2">
        <w:rPr>
          <w:rFonts w:ascii="Arial" w:hAnsi="Arial" w:cs="Arial"/>
          <w:sz w:val="24"/>
          <w:szCs w:val="24"/>
        </w:rPr>
        <w:t>nterpretativas dos Princípio</w:t>
      </w:r>
      <w:r w:rsidR="00B511F9" w:rsidRPr="00C83CC2">
        <w:rPr>
          <w:rFonts w:ascii="Arial" w:hAnsi="Arial" w:cs="Arial"/>
          <w:sz w:val="24"/>
          <w:szCs w:val="24"/>
        </w:rPr>
        <w:t>s Fundamentais de Contabilidade</w:t>
      </w:r>
      <w:r w:rsidRPr="00C83CC2">
        <w:rPr>
          <w:rFonts w:ascii="Arial" w:hAnsi="Arial" w:cs="Arial"/>
          <w:sz w:val="24"/>
          <w:szCs w:val="24"/>
        </w:rPr>
        <w:t>, a integridade e fidedignidade dizem respeito à necessidade de as variações serem reconhecidas na sua totalidade, independentemente do cumprimento das formalidades legais para sua ocorrência, visando ao completo atendimento da essência sobre a forma.</w:t>
      </w:r>
    </w:p>
    <w:p w14:paraId="5C03258C" w14:textId="47BEA719" w:rsidR="00D17360" w:rsidRPr="00C83CC2" w:rsidRDefault="00E57295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72DEE">
        <w:rPr>
          <w:rFonts w:ascii="Arial" w:hAnsi="Arial" w:cs="Arial"/>
          <w:b/>
          <w:bCs/>
          <w:sz w:val="24"/>
          <w:szCs w:val="24"/>
        </w:rPr>
        <w:t>Art. 2º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75679F" w:rsidRPr="00C83CC2">
        <w:rPr>
          <w:rFonts w:ascii="Arial" w:hAnsi="Arial" w:cs="Arial"/>
          <w:sz w:val="24"/>
          <w:szCs w:val="24"/>
        </w:rPr>
        <w:t>Considera</w:t>
      </w:r>
      <w:r w:rsidR="00574AF9" w:rsidRPr="00C83CC2">
        <w:rPr>
          <w:rFonts w:ascii="Arial" w:hAnsi="Arial" w:cs="Arial"/>
          <w:sz w:val="24"/>
          <w:szCs w:val="24"/>
        </w:rPr>
        <w:t>ndo</w:t>
      </w:r>
      <w:r w:rsidR="00A74625" w:rsidRPr="00C83CC2">
        <w:rPr>
          <w:rFonts w:ascii="Arial" w:hAnsi="Arial" w:cs="Arial"/>
          <w:sz w:val="24"/>
          <w:szCs w:val="24"/>
        </w:rPr>
        <w:t xml:space="preserve"> que</w:t>
      </w:r>
      <w:r w:rsidR="007335C3" w:rsidRPr="00C83CC2">
        <w:rPr>
          <w:rFonts w:ascii="Arial" w:hAnsi="Arial" w:cs="Arial"/>
          <w:sz w:val="24"/>
          <w:szCs w:val="24"/>
        </w:rPr>
        <w:t xml:space="preserve"> </w:t>
      </w:r>
      <w:r w:rsidR="00D17360" w:rsidRPr="00C83CC2">
        <w:rPr>
          <w:rFonts w:ascii="Arial" w:hAnsi="Arial" w:cs="Arial"/>
          <w:sz w:val="24"/>
          <w:szCs w:val="24"/>
        </w:rPr>
        <w:t xml:space="preserve">o art. 3º da Portaria </w:t>
      </w:r>
      <w:r w:rsidR="00203248" w:rsidRPr="00C83CC2">
        <w:rPr>
          <w:rFonts w:ascii="Arial" w:hAnsi="Arial" w:cs="Arial"/>
          <w:sz w:val="24"/>
          <w:szCs w:val="24"/>
        </w:rPr>
        <w:t>Conjunta</w:t>
      </w:r>
      <w:r w:rsidR="00D17360" w:rsidRPr="00C83CC2">
        <w:rPr>
          <w:rFonts w:ascii="Arial" w:hAnsi="Arial" w:cs="Arial"/>
          <w:sz w:val="24"/>
          <w:szCs w:val="24"/>
        </w:rPr>
        <w:t xml:space="preserve"> nº 02, de 08 de agosto de 2007, do Secretário do Tesouro Nacional do Ministério da Fazenda e da Secretária de Orçamento Federal do Ministério do Planejamento, Orçamento e Gestão, </w:t>
      </w:r>
      <w:r w:rsidR="004E45DA" w:rsidRPr="00C83CC2">
        <w:rPr>
          <w:rFonts w:ascii="Arial" w:hAnsi="Arial" w:cs="Arial"/>
          <w:sz w:val="24"/>
          <w:szCs w:val="24"/>
        </w:rPr>
        <w:t>revoga a Portaria STN nº 447, de 13 de setembro de 2002</w:t>
      </w:r>
      <w:r w:rsidR="00D17360" w:rsidRPr="00C83CC2">
        <w:rPr>
          <w:rFonts w:ascii="Arial" w:hAnsi="Arial" w:cs="Arial"/>
          <w:sz w:val="24"/>
          <w:szCs w:val="24"/>
        </w:rPr>
        <w:t>.</w:t>
      </w:r>
    </w:p>
    <w:p w14:paraId="2A61B6CB" w14:textId="343D1035" w:rsidR="008D0A3F" w:rsidRPr="00C83CC2" w:rsidRDefault="00D17360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72DE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57295" w:rsidRPr="00B72DEE">
        <w:rPr>
          <w:rFonts w:ascii="Arial" w:hAnsi="Arial" w:cs="Arial"/>
          <w:b/>
          <w:bCs/>
          <w:sz w:val="24"/>
          <w:szCs w:val="24"/>
        </w:rPr>
        <w:t>3</w:t>
      </w:r>
      <w:r w:rsidRPr="00B72DEE">
        <w:rPr>
          <w:rFonts w:ascii="Arial" w:hAnsi="Arial" w:cs="Arial"/>
          <w:b/>
          <w:bCs/>
          <w:sz w:val="24"/>
          <w:szCs w:val="24"/>
        </w:rPr>
        <w:t>º</w:t>
      </w:r>
      <w:r w:rsidRPr="00C83CC2">
        <w:rPr>
          <w:rFonts w:ascii="Arial" w:hAnsi="Arial" w:cs="Arial"/>
          <w:sz w:val="24"/>
          <w:szCs w:val="24"/>
        </w:rPr>
        <w:t xml:space="preserve"> Considerando </w:t>
      </w:r>
      <w:r w:rsidR="00A74625" w:rsidRPr="00C83CC2">
        <w:rPr>
          <w:rFonts w:ascii="Arial" w:hAnsi="Arial" w:cs="Arial"/>
          <w:sz w:val="24"/>
          <w:szCs w:val="24"/>
        </w:rPr>
        <w:t xml:space="preserve">que </w:t>
      </w:r>
      <w:r w:rsidR="008D0A3F" w:rsidRPr="00C83CC2">
        <w:rPr>
          <w:rFonts w:ascii="Arial" w:hAnsi="Arial" w:cs="Arial"/>
          <w:sz w:val="24"/>
          <w:szCs w:val="24"/>
        </w:rPr>
        <w:t>o art. 7º da Portaria Conjunta nº 03, de 14 de outubro de 2008, do Secretário do Tesouro Nacional do Ministério da Fazenda e da Secretária de Orçamento Federal do Ministério do Planejamento, Orçamento e Gestão, aprova o Manual da Receita Nacional</w:t>
      </w:r>
      <w:r w:rsidR="00452BF7" w:rsidRPr="00C83CC2">
        <w:rPr>
          <w:rFonts w:ascii="Arial" w:hAnsi="Arial" w:cs="Arial"/>
          <w:sz w:val="24"/>
          <w:szCs w:val="24"/>
        </w:rPr>
        <w:t xml:space="preserve">, estabelecendo </w:t>
      </w:r>
      <w:r w:rsidR="008D0A3F" w:rsidRPr="00C83CC2">
        <w:rPr>
          <w:rFonts w:ascii="Arial" w:hAnsi="Arial" w:cs="Arial"/>
          <w:sz w:val="24"/>
          <w:szCs w:val="24"/>
        </w:rPr>
        <w:t>a entrada em vigor na data de sua publicação,</w:t>
      </w:r>
      <w:r w:rsidR="00E57295" w:rsidRPr="00C83CC2">
        <w:rPr>
          <w:rFonts w:ascii="Arial" w:hAnsi="Arial" w:cs="Arial"/>
          <w:sz w:val="24"/>
          <w:szCs w:val="24"/>
        </w:rPr>
        <w:t xml:space="preserve"> </w:t>
      </w:r>
      <w:r w:rsidR="004A4F40" w:rsidRPr="00C83CC2">
        <w:rPr>
          <w:rFonts w:ascii="Arial" w:hAnsi="Arial" w:cs="Arial"/>
          <w:sz w:val="24"/>
          <w:szCs w:val="24"/>
        </w:rPr>
        <w:t>para</w:t>
      </w:r>
      <w:r w:rsidR="008D0A3F" w:rsidRPr="00C83CC2">
        <w:rPr>
          <w:rFonts w:ascii="Arial" w:hAnsi="Arial" w:cs="Arial"/>
          <w:sz w:val="24"/>
          <w:szCs w:val="24"/>
        </w:rPr>
        <w:t xml:space="preserve"> </w:t>
      </w:r>
      <w:r w:rsidR="004A4F40" w:rsidRPr="00C83CC2">
        <w:rPr>
          <w:rFonts w:ascii="Arial" w:hAnsi="Arial" w:cs="Arial"/>
          <w:sz w:val="24"/>
          <w:szCs w:val="24"/>
        </w:rPr>
        <w:t xml:space="preserve">surtir </w:t>
      </w:r>
      <w:r w:rsidR="008D0A3F" w:rsidRPr="00C83CC2">
        <w:rPr>
          <w:rFonts w:ascii="Arial" w:hAnsi="Arial" w:cs="Arial"/>
          <w:sz w:val="24"/>
          <w:szCs w:val="24"/>
        </w:rPr>
        <w:t xml:space="preserve">efeitos a partir do exercício financeiro de </w:t>
      </w:r>
      <w:r w:rsidR="008D0A3F" w:rsidRPr="00C83CC2">
        <w:rPr>
          <w:rFonts w:ascii="Arial" w:hAnsi="Arial" w:cs="Arial"/>
          <w:sz w:val="24"/>
          <w:szCs w:val="24"/>
        </w:rPr>
        <w:lastRenderedPageBreak/>
        <w:t>2009, inclusive no que se refere à elaboração do respectivo projeto de lei orçamentária.</w:t>
      </w:r>
    </w:p>
    <w:p w14:paraId="1641306E" w14:textId="778319C1" w:rsidR="000C53B2" w:rsidRPr="00C83CC2" w:rsidRDefault="00452BF7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348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74625" w:rsidRPr="008E348D">
        <w:rPr>
          <w:rFonts w:ascii="Arial" w:hAnsi="Arial" w:cs="Arial"/>
          <w:b/>
          <w:bCs/>
          <w:sz w:val="24"/>
          <w:szCs w:val="24"/>
        </w:rPr>
        <w:t>4</w:t>
      </w:r>
      <w:r w:rsidR="006D69AC" w:rsidRPr="008E348D">
        <w:rPr>
          <w:rFonts w:ascii="Arial" w:hAnsi="Arial" w:cs="Arial"/>
          <w:b/>
          <w:bCs/>
          <w:sz w:val="24"/>
          <w:szCs w:val="24"/>
        </w:rPr>
        <w:t>º</w:t>
      </w:r>
      <w:r w:rsidR="006D69AC" w:rsidRPr="00C83CC2">
        <w:rPr>
          <w:rFonts w:ascii="Arial" w:hAnsi="Arial" w:cs="Arial"/>
          <w:sz w:val="24"/>
          <w:szCs w:val="24"/>
        </w:rPr>
        <w:t xml:space="preserve"> Considerando que a Portaria referida no art</w:t>
      </w:r>
      <w:r w:rsidR="00BB3BCD" w:rsidRPr="00C83CC2">
        <w:rPr>
          <w:rFonts w:ascii="Arial" w:hAnsi="Arial" w:cs="Arial"/>
          <w:sz w:val="24"/>
          <w:szCs w:val="24"/>
        </w:rPr>
        <w:t>.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A74625" w:rsidRPr="00C83CC2">
        <w:rPr>
          <w:rFonts w:ascii="Arial" w:hAnsi="Arial" w:cs="Arial"/>
          <w:sz w:val="24"/>
          <w:szCs w:val="24"/>
        </w:rPr>
        <w:t>3</w:t>
      </w:r>
      <w:r w:rsidR="006D69AC" w:rsidRPr="00C83CC2">
        <w:rPr>
          <w:rFonts w:ascii="Arial" w:hAnsi="Arial" w:cs="Arial"/>
          <w:sz w:val="24"/>
          <w:szCs w:val="24"/>
        </w:rPr>
        <w:t>º alterou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3722DC" w:rsidRPr="00C83CC2">
        <w:rPr>
          <w:rFonts w:ascii="Arial" w:hAnsi="Arial" w:cs="Arial"/>
          <w:sz w:val="24"/>
          <w:szCs w:val="24"/>
        </w:rPr>
        <w:t>os efeitos da</w:t>
      </w:r>
      <w:r w:rsidRPr="00C83CC2">
        <w:rPr>
          <w:rFonts w:ascii="Arial" w:hAnsi="Arial" w:cs="Arial"/>
          <w:sz w:val="24"/>
          <w:szCs w:val="24"/>
        </w:rPr>
        <w:t xml:space="preserve"> sistemática de registro contábil </w:t>
      </w:r>
      <w:r w:rsidR="004A4F40" w:rsidRPr="00C83CC2">
        <w:rPr>
          <w:rFonts w:ascii="Arial" w:hAnsi="Arial" w:cs="Arial"/>
          <w:sz w:val="24"/>
          <w:szCs w:val="24"/>
        </w:rPr>
        <w:t>do ingresso de</w:t>
      </w:r>
      <w:r w:rsidRPr="00C83CC2">
        <w:rPr>
          <w:rFonts w:ascii="Arial" w:hAnsi="Arial" w:cs="Arial"/>
          <w:sz w:val="24"/>
          <w:szCs w:val="24"/>
        </w:rPr>
        <w:t xml:space="preserve"> receitas intergovernamentais</w:t>
      </w:r>
      <w:r w:rsidR="004A4F40" w:rsidRPr="00C83CC2">
        <w:rPr>
          <w:rFonts w:ascii="Arial" w:hAnsi="Arial" w:cs="Arial"/>
          <w:sz w:val="24"/>
          <w:szCs w:val="24"/>
        </w:rPr>
        <w:t xml:space="preserve"> arrecadadas por ente </w:t>
      </w:r>
      <w:r w:rsidR="000C53B2" w:rsidRPr="00C83CC2">
        <w:rPr>
          <w:rFonts w:ascii="Arial" w:hAnsi="Arial" w:cs="Arial"/>
          <w:sz w:val="24"/>
          <w:szCs w:val="24"/>
        </w:rPr>
        <w:t xml:space="preserve">transferidor </w:t>
      </w:r>
      <w:r w:rsidR="004A4F40" w:rsidRPr="00C83CC2">
        <w:rPr>
          <w:rFonts w:ascii="Arial" w:hAnsi="Arial" w:cs="Arial"/>
          <w:sz w:val="24"/>
          <w:szCs w:val="24"/>
        </w:rPr>
        <w:t xml:space="preserve">distinto do </w:t>
      </w:r>
      <w:r w:rsidR="000C53B2" w:rsidRPr="00C83CC2">
        <w:rPr>
          <w:rFonts w:ascii="Arial" w:hAnsi="Arial" w:cs="Arial"/>
          <w:sz w:val="24"/>
          <w:szCs w:val="24"/>
        </w:rPr>
        <w:t xml:space="preserve">ente </w:t>
      </w:r>
      <w:r w:rsidR="004A4F40" w:rsidRPr="00C83CC2">
        <w:rPr>
          <w:rFonts w:ascii="Arial" w:hAnsi="Arial" w:cs="Arial"/>
          <w:sz w:val="24"/>
          <w:szCs w:val="24"/>
        </w:rPr>
        <w:t>recebedor</w:t>
      </w:r>
      <w:r w:rsidRPr="00C83CC2">
        <w:rPr>
          <w:rFonts w:ascii="Arial" w:hAnsi="Arial" w:cs="Arial"/>
          <w:sz w:val="24"/>
          <w:szCs w:val="24"/>
        </w:rPr>
        <w:t xml:space="preserve">, </w:t>
      </w:r>
      <w:r w:rsidR="000C53B2" w:rsidRPr="00C83CC2">
        <w:rPr>
          <w:rFonts w:ascii="Arial" w:hAnsi="Arial" w:cs="Arial"/>
          <w:sz w:val="24"/>
          <w:szCs w:val="24"/>
        </w:rPr>
        <w:t xml:space="preserve">e a este beneficiário não </w:t>
      </w:r>
      <w:r w:rsidR="006B4864" w:rsidRPr="00C83CC2">
        <w:rPr>
          <w:rFonts w:ascii="Arial" w:hAnsi="Arial" w:cs="Arial"/>
          <w:sz w:val="24"/>
          <w:szCs w:val="24"/>
        </w:rPr>
        <w:t>entregues</w:t>
      </w:r>
      <w:r w:rsidR="000C53B2" w:rsidRPr="00C83CC2">
        <w:rPr>
          <w:rFonts w:ascii="Arial" w:hAnsi="Arial" w:cs="Arial"/>
          <w:sz w:val="24"/>
          <w:szCs w:val="24"/>
        </w:rPr>
        <w:t xml:space="preserve"> no orçamento de competência da arrecadação.</w:t>
      </w:r>
    </w:p>
    <w:p w14:paraId="36AECD91" w14:textId="297A641A" w:rsidR="007335C3" w:rsidRPr="00C83CC2" w:rsidRDefault="00A07531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348D">
        <w:rPr>
          <w:rFonts w:ascii="Arial" w:hAnsi="Arial" w:cs="Arial"/>
          <w:b/>
          <w:bCs/>
          <w:sz w:val="24"/>
          <w:szCs w:val="24"/>
        </w:rPr>
        <w:t>Art. 5º</w:t>
      </w:r>
      <w:r w:rsidRPr="00C83CC2">
        <w:rPr>
          <w:rFonts w:ascii="Arial" w:hAnsi="Arial" w:cs="Arial"/>
          <w:sz w:val="24"/>
          <w:szCs w:val="24"/>
        </w:rPr>
        <w:t xml:space="preserve"> Considerando que em razão da alteração referida no art. 4º o ente recebedor </w:t>
      </w:r>
      <w:r w:rsidR="00F54DA5" w:rsidRPr="00C83CC2">
        <w:rPr>
          <w:rFonts w:ascii="Arial" w:hAnsi="Arial" w:cs="Arial"/>
          <w:sz w:val="24"/>
          <w:szCs w:val="24"/>
        </w:rPr>
        <w:t>passará a</w:t>
      </w:r>
      <w:r w:rsidRPr="00C83CC2">
        <w:rPr>
          <w:rFonts w:ascii="Arial" w:hAnsi="Arial" w:cs="Arial"/>
          <w:sz w:val="24"/>
          <w:szCs w:val="24"/>
        </w:rPr>
        <w:t xml:space="preserve"> reconhecer um direito a receber, no sistema patrimonial, no momento da arrecadação pelo ente transferidor,</w:t>
      </w:r>
      <w:r w:rsidR="00A74625" w:rsidRPr="00C83CC2">
        <w:rPr>
          <w:rFonts w:ascii="Arial" w:hAnsi="Arial" w:cs="Arial"/>
          <w:sz w:val="24"/>
          <w:szCs w:val="24"/>
        </w:rPr>
        <w:t xml:space="preserve"> </w:t>
      </w:r>
      <w:r w:rsidRPr="00C83CC2">
        <w:rPr>
          <w:rFonts w:ascii="Arial" w:hAnsi="Arial" w:cs="Arial"/>
          <w:sz w:val="24"/>
          <w:szCs w:val="24"/>
        </w:rPr>
        <w:t>expressando esses</w:t>
      </w:r>
      <w:r w:rsidR="00A74625" w:rsidRPr="00C83CC2">
        <w:rPr>
          <w:rFonts w:ascii="Arial" w:hAnsi="Arial" w:cs="Arial"/>
          <w:sz w:val="24"/>
          <w:szCs w:val="24"/>
        </w:rPr>
        <w:t xml:space="preserve"> registros</w:t>
      </w:r>
      <w:r w:rsidR="00452BF7" w:rsidRPr="00C83CC2">
        <w:rPr>
          <w:rFonts w:ascii="Arial" w:hAnsi="Arial" w:cs="Arial"/>
          <w:sz w:val="24"/>
          <w:szCs w:val="24"/>
        </w:rPr>
        <w:t xml:space="preserve"> s</w:t>
      </w:r>
      <w:r w:rsidR="00D17360" w:rsidRPr="00C83CC2">
        <w:rPr>
          <w:rFonts w:ascii="Arial" w:hAnsi="Arial" w:cs="Arial"/>
          <w:sz w:val="24"/>
          <w:szCs w:val="24"/>
        </w:rPr>
        <w:t xml:space="preserve">aldos realizáveis, mas sem </w:t>
      </w:r>
      <w:r w:rsidR="006B4864" w:rsidRPr="00C83CC2">
        <w:rPr>
          <w:rFonts w:ascii="Arial" w:hAnsi="Arial" w:cs="Arial"/>
          <w:sz w:val="24"/>
          <w:szCs w:val="24"/>
        </w:rPr>
        <w:t>produção de</w:t>
      </w:r>
      <w:r w:rsidR="00E57295" w:rsidRPr="00C83CC2">
        <w:rPr>
          <w:rFonts w:ascii="Arial" w:hAnsi="Arial" w:cs="Arial"/>
          <w:sz w:val="24"/>
          <w:szCs w:val="24"/>
        </w:rPr>
        <w:t xml:space="preserve"> </w:t>
      </w:r>
      <w:r w:rsidR="004E45DA" w:rsidRPr="00C83CC2">
        <w:rPr>
          <w:rFonts w:ascii="Arial" w:hAnsi="Arial" w:cs="Arial"/>
          <w:sz w:val="24"/>
          <w:szCs w:val="24"/>
        </w:rPr>
        <w:t>reflexo</w:t>
      </w:r>
      <w:r w:rsidR="006B4864" w:rsidRPr="00C83CC2">
        <w:rPr>
          <w:rFonts w:ascii="Arial" w:hAnsi="Arial" w:cs="Arial"/>
          <w:sz w:val="24"/>
          <w:szCs w:val="24"/>
        </w:rPr>
        <w:t>s</w:t>
      </w:r>
      <w:r w:rsidR="004E45DA" w:rsidRPr="00C83CC2">
        <w:rPr>
          <w:rFonts w:ascii="Arial" w:hAnsi="Arial" w:cs="Arial"/>
          <w:sz w:val="24"/>
          <w:szCs w:val="24"/>
        </w:rPr>
        <w:t xml:space="preserve"> financeiro</w:t>
      </w:r>
      <w:r w:rsidR="006B4864" w:rsidRPr="00C83CC2">
        <w:rPr>
          <w:rFonts w:ascii="Arial" w:hAnsi="Arial" w:cs="Arial"/>
          <w:sz w:val="24"/>
          <w:szCs w:val="24"/>
        </w:rPr>
        <w:t>s</w:t>
      </w:r>
      <w:r w:rsidR="00A74625" w:rsidRPr="00C83CC2">
        <w:rPr>
          <w:rFonts w:ascii="Arial" w:hAnsi="Arial" w:cs="Arial"/>
          <w:sz w:val="24"/>
          <w:szCs w:val="24"/>
        </w:rPr>
        <w:t xml:space="preserve"> na apuração das</w:t>
      </w:r>
      <w:r w:rsidR="00D17360" w:rsidRPr="00C83CC2">
        <w:rPr>
          <w:rFonts w:ascii="Arial" w:hAnsi="Arial" w:cs="Arial"/>
          <w:sz w:val="24"/>
          <w:szCs w:val="24"/>
        </w:rPr>
        <w:t xml:space="preserve"> disponibilidades</w:t>
      </w:r>
      <w:r w:rsidR="00A74625" w:rsidRPr="00C83CC2">
        <w:rPr>
          <w:rFonts w:ascii="Arial" w:hAnsi="Arial" w:cs="Arial"/>
          <w:sz w:val="24"/>
          <w:szCs w:val="24"/>
        </w:rPr>
        <w:t xml:space="preserve">. </w:t>
      </w:r>
    </w:p>
    <w:p w14:paraId="0585D20E" w14:textId="6FE442D7" w:rsidR="00A74625" w:rsidRPr="00C83CC2" w:rsidRDefault="004E45DA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348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E77AD" w:rsidRPr="008E348D">
        <w:rPr>
          <w:rFonts w:ascii="Arial" w:hAnsi="Arial" w:cs="Arial"/>
          <w:b/>
          <w:bCs/>
          <w:sz w:val="24"/>
          <w:szCs w:val="24"/>
        </w:rPr>
        <w:t>6</w:t>
      </w:r>
      <w:r w:rsidRPr="008E348D">
        <w:rPr>
          <w:rFonts w:ascii="Arial" w:hAnsi="Arial" w:cs="Arial"/>
          <w:b/>
          <w:bCs/>
          <w:sz w:val="24"/>
          <w:szCs w:val="24"/>
        </w:rPr>
        <w:t>º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A74625" w:rsidRPr="00C83CC2">
        <w:rPr>
          <w:rFonts w:ascii="Arial" w:hAnsi="Arial" w:cs="Arial"/>
          <w:sz w:val="24"/>
          <w:szCs w:val="24"/>
        </w:rPr>
        <w:t xml:space="preserve">Considerando que em face da sistemática preconizada na Portaria STN nº 447/02, o Tribunal de Contas do Paraná pela </w:t>
      </w:r>
      <w:hyperlink r:id="rId8" w:history="1">
        <w:r w:rsidR="00A74625" w:rsidRPr="006D15E0">
          <w:rPr>
            <w:rStyle w:val="Hyperlink"/>
            <w:rFonts w:ascii="Arial" w:hAnsi="Arial" w:cs="Arial"/>
            <w:sz w:val="24"/>
            <w:szCs w:val="24"/>
          </w:rPr>
          <w:t>Instrução Técnica nº 38/</w:t>
        </w:r>
        <w:r w:rsidR="00BE77AD" w:rsidRPr="006D15E0">
          <w:rPr>
            <w:rStyle w:val="Hyperlink"/>
            <w:rFonts w:ascii="Arial" w:hAnsi="Arial" w:cs="Arial"/>
            <w:sz w:val="24"/>
            <w:szCs w:val="24"/>
          </w:rPr>
          <w:t>2005</w:t>
        </w:r>
      </w:hyperlink>
      <w:r w:rsidR="00BE77AD" w:rsidRPr="00C83CC2">
        <w:rPr>
          <w:rFonts w:ascii="Arial" w:hAnsi="Arial" w:cs="Arial"/>
          <w:sz w:val="24"/>
          <w:szCs w:val="24"/>
        </w:rPr>
        <w:t>, possibilitou a inclusão dos denominados</w:t>
      </w:r>
      <w:r w:rsidR="00A74625" w:rsidRPr="00C83CC2">
        <w:rPr>
          <w:rFonts w:ascii="Arial" w:hAnsi="Arial" w:cs="Arial"/>
          <w:sz w:val="24"/>
          <w:szCs w:val="24"/>
        </w:rPr>
        <w:t xml:space="preserve"> Restos a Receber de Transferências Intergovernamentais </w:t>
      </w:r>
      <w:r w:rsidR="00BE77AD" w:rsidRPr="00C83CC2">
        <w:rPr>
          <w:rFonts w:ascii="Arial" w:hAnsi="Arial" w:cs="Arial"/>
          <w:sz w:val="24"/>
          <w:szCs w:val="24"/>
        </w:rPr>
        <w:t>no cômputo d</w:t>
      </w:r>
      <w:r w:rsidR="00A74625" w:rsidRPr="00C83CC2">
        <w:rPr>
          <w:rFonts w:ascii="Arial" w:hAnsi="Arial" w:cs="Arial"/>
          <w:sz w:val="24"/>
          <w:szCs w:val="24"/>
        </w:rPr>
        <w:t>as disponibilidades</w:t>
      </w:r>
      <w:r w:rsidR="006B4864" w:rsidRPr="00C83CC2">
        <w:rPr>
          <w:rFonts w:ascii="Arial" w:hAnsi="Arial" w:cs="Arial"/>
          <w:sz w:val="24"/>
          <w:szCs w:val="24"/>
        </w:rPr>
        <w:t xml:space="preserve"> do exercício de 2004</w:t>
      </w:r>
      <w:r w:rsidR="00BE77AD" w:rsidRPr="00C83CC2">
        <w:rPr>
          <w:rFonts w:ascii="Arial" w:hAnsi="Arial" w:cs="Arial"/>
          <w:sz w:val="24"/>
          <w:szCs w:val="24"/>
        </w:rPr>
        <w:t xml:space="preserve">, </w:t>
      </w:r>
      <w:r w:rsidR="00E7296F" w:rsidRPr="00C83CC2">
        <w:rPr>
          <w:rFonts w:ascii="Arial" w:hAnsi="Arial" w:cs="Arial"/>
          <w:sz w:val="24"/>
          <w:szCs w:val="24"/>
        </w:rPr>
        <w:t xml:space="preserve">inclusive </w:t>
      </w:r>
      <w:r w:rsidR="00BE77AD" w:rsidRPr="00C83CC2">
        <w:rPr>
          <w:rFonts w:ascii="Arial" w:hAnsi="Arial" w:cs="Arial"/>
          <w:sz w:val="24"/>
          <w:szCs w:val="24"/>
        </w:rPr>
        <w:t>para efeito do parágrafo único do art. 42 da Lei de Responsabilidade Fiscal</w:t>
      </w:r>
      <w:r w:rsidR="00A74625" w:rsidRPr="00C83CC2">
        <w:rPr>
          <w:rFonts w:ascii="Arial" w:hAnsi="Arial" w:cs="Arial"/>
          <w:sz w:val="24"/>
          <w:szCs w:val="24"/>
        </w:rPr>
        <w:t>.</w:t>
      </w:r>
    </w:p>
    <w:p w14:paraId="72705DC6" w14:textId="746BEEFB" w:rsidR="00BE77AD" w:rsidRPr="00C83CC2" w:rsidRDefault="00BE77AD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348D">
        <w:rPr>
          <w:rFonts w:ascii="Arial" w:hAnsi="Arial" w:cs="Arial"/>
          <w:b/>
          <w:bCs/>
          <w:sz w:val="24"/>
          <w:szCs w:val="24"/>
        </w:rPr>
        <w:t>Art. 7º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4E45DA" w:rsidRPr="00C83CC2">
        <w:rPr>
          <w:rFonts w:ascii="Arial" w:hAnsi="Arial" w:cs="Arial"/>
          <w:sz w:val="24"/>
          <w:szCs w:val="24"/>
        </w:rPr>
        <w:t>Considerando</w:t>
      </w:r>
      <w:r w:rsidRPr="00C83CC2">
        <w:rPr>
          <w:rFonts w:ascii="Arial" w:hAnsi="Arial" w:cs="Arial"/>
          <w:sz w:val="24"/>
          <w:szCs w:val="24"/>
        </w:rPr>
        <w:t xml:space="preserve"> que, em virtude da sistemática preconizada na Portaria STN nº 447/02, a gestão iniciada em 2005, e que se encerra no ex</w:t>
      </w:r>
      <w:r w:rsidR="003722DC" w:rsidRPr="00C83CC2">
        <w:rPr>
          <w:rFonts w:ascii="Arial" w:hAnsi="Arial" w:cs="Arial"/>
          <w:sz w:val="24"/>
          <w:szCs w:val="24"/>
        </w:rPr>
        <w:t>ercício de 2008, teve descontado</w:t>
      </w:r>
      <w:r w:rsidR="001C1B82" w:rsidRPr="00C83CC2">
        <w:rPr>
          <w:rFonts w:ascii="Arial" w:hAnsi="Arial" w:cs="Arial"/>
          <w:sz w:val="24"/>
          <w:szCs w:val="24"/>
        </w:rPr>
        <w:t>s</w:t>
      </w:r>
      <w:r w:rsidRPr="00C83CC2">
        <w:rPr>
          <w:rFonts w:ascii="Arial" w:hAnsi="Arial" w:cs="Arial"/>
          <w:sz w:val="24"/>
          <w:szCs w:val="24"/>
        </w:rPr>
        <w:t xml:space="preserve"> de suas disponibilidades </w:t>
      </w:r>
      <w:r w:rsidR="001C1B82" w:rsidRPr="00C83CC2">
        <w:rPr>
          <w:rFonts w:ascii="Arial" w:hAnsi="Arial" w:cs="Arial"/>
          <w:sz w:val="24"/>
          <w:szCs w:val="24"/>
        </w:rPr>
        <w:t>os restos a receber de</w:t>
      </w:r>
      <w:r w:rsidRPr="00C83CC2">
        <w:rPr>
          <w:rFonts w:ascii="Arial" w:hAnsi="Arial" w:cs="Arial"/>
          <w:sz w:val="24"/>
          <w:szCs w:val="24"/>
        </w:rPr>
        <w:t xml:space="preserve"> transferências intergovernamentais </w:t>
      </w:r>
      <w:r w:rsidR="001C1B82" w:rsidRPr="00C83CC2">
        <w:rPr>
          <w:rFonts w:ascii="Arial" w:hAnsi="Arial" w:cs="Arial"/>
          <w:sz w:val="24"/>
          <w:szCs w:val="24"/>
        </w:rPr>
        <w:t>arrecadadas pelo ente transferidor no orçamento-</w:t>
      </w:r>
      <w:r w:rsidRPr="00C83CC2">
        <w:rPr>
          <w:rFonts w:ascii="Arial" w:hAnsi="Arial" w:cs="Arial"/>
          <w:sz w:val="24"/>
          <w:szCs w:val="24"/>
        </w:rPr>
        <w:t xml:space="preserve">competência </w:t>
      </w:r>
      <w:r w:rsidR="00A3470B" w:rsidRPr="00C83CC2">
        <w:rPr>
          <w:rFonts w:ascii="Arial" w:hAnsi="Arial" w:cs="Arial"/>
          <w:sz w:val="24"/>
          <w:szCs w:val="24"/>
        </w:rPr>
        <w:t xml:space="preserve">de </w:t>
      </w:r>
      <w:r w:rsidRPr="00C83CC2">
        <w:rPr>
          <w:rFonts w:ascii="Arial" w:hAnsi="Arial" w:cs="Arial"/>
          <w:sz w:val="24"/>
          <w:szCs w:val="24"/>
        </w:rPr>
        <w:t xml:space="preserve">2004, mas </w:t>
      </w:r>
      <w:r w:rsidR="00A3470B" w:rsidRPr="00C83CC2">
        <w:rPr>
          <w:rFonts w:ascii="Arial" w:hAnsi="Arial" w:cs="Arial"/>
          <w:sz w:val="24"/>
          <w:szCs w:val="24"/>
        </w:rPr>
        <w:t>entregues</w:t>
      </w:r>
      <w:r w:rsidRPr="00C83CC2">
        <w:rPr>
          <w:rFonts w:ascii="Arial" w:hAnsi="Arial" w:cs="Arial"/>
          <w:sz w:val="24"/>
          <w:szCs w:val="24"/>
        </w:rPr>
        <w:t xml:space="preserve"> ao ente beneficiário apenas no mês de janeiro</w:t>
      </w:r>
      <w:r w:rsidR="001C1B82" w:rsidRPr="00C83CC2">
        <w:rPr>
          <w:rFonts w:ascii="Arial" w:hAnsi="Arial" w:cs="Arial"/>
          <w:sz w:val="24"/>
          <w:szCs w:val="24"/>
        </w:rPr>
        <w:t xml:space="preserve"> de 2005.</w:t>
      </w:r>
    </w:p>
    <w:p w14:paraId="000AF5F7" w14:textId="57CA7C19" w:rsidR="007C4F25" w:rsidRPr="00C83CC2" w:rsidRDefault="007C4F25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8E348D">
        <w:rPr>
          <w:rFonts w:ascii="Arial" w:hAnsi="Arial" w:cs="Arial"/>
          <w:b/>
          <w:bCs/>
          <w:sz w:val="24"/>
          <w:szCs w:val="24"/>
        </w:rPr>
        <w:t>Art. 8º</w:t>
      </w:r>
      <w:r w:rsidRPr="00C83CC2">
        <w:rPr>
          <w:rFonts w:ascii="Arial" w:hAnsi="Arial" w:cs="Arial"/>
          <w:sz w:val="24"/>
          <w:szCs w:val="24"/>
        </w:rPr>
        <w:t xml:space="preserve"> Considerando que</w:t>
      </w:r>
      <w:r w:rsidR="00E82A47" w:rsidRPr="00C83CC2">
        <w:rPr>
          <w:rFonts w:ascii="Arial" w:hAnsi="Arial" w:cs="Arial"/>
          <w:sz w:val="24"/>
          <w:szCs w:val="24"/>
        </w:rPr>
        <w:t xml:space="preserve"> respectivamente às receitas intergovernamentais do orçamento de 2008,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E7296F" w:rsidRPr="00C83CC2">
        <w:rPr>
          <w:rFonts w:ascii="Arial" w:hAnsi="Arial" w:cs="Arial"/>
          <w:sz w:val="24"/>
          <w:szCs w:val="24"/>
        </w:rPr>
        <w:t>n</w:t>
      </w:r>
      <w:r w:rsidRPr="00C83CC2">
        <w:rPr>
          <w:rFonts w:ascii="Arial" w:hAnsi="Arial" w:cs="Arial"/>
          <w:sz w:val="24"/>
          <w:szCs w:val="24"/>
        </w:rPr>
        <w:t xml:space="preserve">a redação </w:t>
      </w:r>
      <w:r w:rsidR="00033CCB" w:rsidRPr="00C83CC2">
        <w:rPr>
          <w:rFonts w:ascii="Arial" w:hAnsi="Arial" w:cs="Arial"/>
          <w:sz w:val="24"/>
          <w:szCs w:val="24"/>
        </w:rPr>
        <w:t xml:space="preserve">do Manual aprovado pela </w:t>
      </w:r>
      <w:r w:rsidRPr="00C83CC2">
        <w:rPr>
          <w:rFonts w:ascii="Arial" w:hAnsi="Arial" w:cs="Arial"/>
          <w:sz w:val="24"/>
          <w:szCs w:val="24"/>
        </w:rPr>
        <w:t xml:space="preserve">Portaria </w:t>
      </w:r>
      <w:r w:rsidR="00BB3BCD" w:rsidRPr="00C83CC2">
        <w:rPr>
          <w:rFonts w:ascii="Arial" w:hAnsi="Arial" w:cs="Arial"/>
          <w:sz w:val="24"/>
          <w:szCs w:val="24"/>
        </w:rPr>
        <w:t>Conjunta</w:t>
      </w:r>
      <w:r w:rsidR="00203248" w:rsidRPr="00C83CC2">
        <w:rPr>
          <w:rFonts w:ascii="Arial" w:hAnsi="Arial" w:cs="Arial"/>
          <w:sz w:val="24"/>
          <w:szCs w:val="24"/>
        </w:rPr>
        <w:t xml:space="preserve"> </w:t>
      </w:r>
      <w:r w:rsidRPr="00C83CC2">
        <w:rPr>
          <w:rFonts w:ascii="Arial" w:hAnsi="Arial" w:cs="Arial"/>
          <w:sz w:val="24"/>
          <w:szCs w:val="24"/>
        </w:rPr>
        <w:t>referida no art</w:t>
      </w:r>
      <w:r w:rsidR="00BB3BCD" w:rsidRPr="00C83CC2">
        <w:rPr>
          <w:rFonts w:ascii="Arial" w:hAnsi="Arial" w:cs="Arial"/>
          <w:sz w:val="24"/>
          <w:szCs w:val="24"/>
        </w:rPr>
        <w:t>.</w:t>
      </w:r>
      <w:r w:rsidRPr="00C83CC2">
        <w:rPr>
          <w:rFonts w:ascii="Arial" w:hAnsi="Arial" w:cs="Arial"/>
          <w:sz w:val="24"/>
          <w:szCs w:val="24"/>
        </w:rPr>
        <w:t xml:space="preserve"> 2º</w:t>
      </w:r>
      <w:r w:rsidR="00E7296F" w:rsidRPr="00C83CC2">
        <w:rPr>
          <w:rFonts w:ascii="Arial" w:hAnsi="Arial" w:cs="Arial"/>
          <w:sz w:val="24"/>
          <w:szCs w:val="24"/>
        </w:rPr>
        <w:t xml:space="preserve">, o ente recebedor foi orientado </w:t>
      </w:r>
      <w:r w:rsidR="007B02AD" w:rsidRPr="00C83CC2">
        <w:rPr>
          <w:rFonts w:ascii="Arial" w:hAnsi="Arial" w:cs="Arial"/>
          <w:sz w:val="24"/>
          <w:szCs w:val="24"/>
        </w:rPr>
        <w:t>a reconhecer</w:t>
      </w:r>
      <w:r w:rsidR="00E7296F" w:rsidRPr="00C83CC2">
        <w:rPr>
          <w:rFonts w:ascii="Arial" w:hAnsi="Arial" w:cs="Arial"/>
          <w:sz w:val="24"/>
          <w:szCs w:val="24"/>
        </w:rPr>
        <w:t xml:space="preserve"> um direito a receber no ativo financeiro</w:t>
      </w:r>
      <w:r w:rsidR="00643597" w:rsidRPr="00C83CC2">
        <w:rPr>
          <w:rFonts w:ascii="Arial" w:hAnsi="Arial" w:cs="Arial"/>
          <w:sz w:val="24"/>
          <w:szCs w:val="24"/>
        </w:rPr>
        <w:t xml:space="preserve">, </w:t>
      </w:r>
      <w:r w:rsidR="00E82A47" w:rsidRPr="00C83CC2">
        <w:rPr>
          <w:rFonts w:ascii="Arial" w:hAnsi="Arial" w:cs="Arial"/>
          <w:sz w:val="24"/>
          <w:szCs w:val="24"/>
        </w:rPr>
        <w:t>tendo como contrapartida a receita orçamentária, no momento da arrecadação pelo transferidor</w:t>
      </w:r>
      <w:r w:rsidR="00643597" w:rsidRPr="00C83CC2">
        <w:rPr>
          <w:rFonts w:ascii="Arial" w:hAnsi="Arial" w:cs="Arial"/>
          <w:sz w:val="24"/>
          <w:szCs w:val="24"/>
        </w:rPr>
        <w:t xml:space="preserve">, </w:t>
      </w:r>
      <w:r w:rsidR="00E7296F" w:rsidRPr="00C83CC2">
        <w:rPr>
          <w:rFonts w:ascii="Arial" w:hAnsi="Arial" w:cs="Arial"/>
          <w:sz w:val="24"/>
          <w:szCs w:val="24"/>
        </w:rPr>
        <w:t>m</w:t>
      </w:r>
      <w:r w:rsidR="00E82A47" w:rsidRPr="00C83CC2">
        <w:rPr>
          <w:rFonts w:ascii="Arial" w:hAnsi="Arial" w:cs="Arial"/>
          <w:sz w:val="24"/>
          <w:szCs w:val="24"/>
        </w:rPr>
        <w:t>esmo que</w:t>
      </w:r>
      <w:r w:rsidR="00643597" w:rsidRPr="00C83CC2">
        <w:rPr>
          <w:rFonts w:ascii="Arial" w:hAnsi="Arial" w:cs="Arial"/>
          <w:sz w:val="24"/>
          <w:szCs w:val="24"/>
        </w:rPr>
        <w:t xml:space="preserve"> a este beneficiário não </w:t>
      </w:r>
      <w:r w:rsidR="00E82A47" w:rsidRPr="00C83CC2">
        <w:rPr>
          <w:rFonts w:ascii="Arial" w:hAnsi="Arial" w:cs="Arial"/>
          <w:sz w:val="24"/>
          <w:szCs w:val="24"/>
        </w:rPr>
        <w:t>tenha sido entregue</w:t>
      </w:r>
      <w:r w:rsidR="00643597" w:rsidRPr="00C83CC2">
        <w:rPr>
          <w:rFonts w:ascii="Arial" w:hAnsi="Arial" w:cs="Arial"/>
          <w:sz w:val="24"/>
          <w:szCs w:val="24"/>
        </w:rPr>
        <w:t xml:space="preserve"> no orçament</w:t>
      </w:r>
      <w:r w:rsidR="00E7296F" w:rsidRPr="00C83CC2">
        <w:rPr>
          <w:rFonts w:ascii="Arial" w:hAnsi="Arial" w:cs="Arial"/>
          <w:sz w:val="24"/>
          <w:szCs w:val="24"/>
        </w:rPr>
        <w:t>o de competência da arrecadação</w:t>
      </w:r>
      <w:r w:rsidR="00643597" w:rsidRPr="00C83CC2">
        <w:rPr>
          <w:rFonts w:ascii="Arial" w:hAnsi="Arial" w:cs="Arial"/>
          <w:sz w:val="24"/>
          <w:szCs w:val="24"/>
        </w:rPr>
        <w:t>.</w:t>
      </w:r>
    </w:p>
    <w:p w14:paraId="48E62E20" w14:textId="3443C5D8" w:rsidR="00A2444E" w:rsidRPr="00C83CC2" w:rsidRDefault="00A3470B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B0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317A6" w:rsidRPr="007B02AD">
        <w:rPr>
          <w:rFonts w:ascii="Arial" w:hAnsi="Arial" w:cs="Arial"/>
          <w:b/>
          <w:bCs/>
          <w:sz w:val="24"/>
          <w:szCs w:val="24"/>
        </w:rPr>
        <w:t>9</w:t>
      </w:r>
      <w:r w:rsidRPr="007B02AD">
        <w:rPr>
          <w:rFonts w:ascii="Arial" w:hAnsi="Arial" w:cs="Arial"/>
          <w:b/>
          <w:bCs/>
          <w:sz w:val="24"/>
          <w:szCs w:val="24"/>
        </w:rPr>
        <w:t>º</w:t>
      </w:r>
      <w:r w:rsidRPr="00C83CC2">
        <w:rPr>
          <w:rFonts w:ascii="Arial" w:hAnsi="Arial" w:cs="Arial"/>
          <w:sz w:val="24"/>
          <w:szCs w:val="24"/>
        </w:rPr>
        <w:t xml:space="preserve"> Considerando a </w:t>
      </w:r>
      <w:r w:rsidR="004E45DA" w:rsidRPr="00C83CC2">
        <w:rPr>
          <w:rFonts w:ascii="Arial" w:hAnsi="Arial" w:cs="Arial"/>
          <w:sz w:val="24"/>
          <w:szCs w:val="24"/>
        </w:rPr>
        <w:t xml:space="preserve">necessidade de </w:t>
      </w:r>
      <w:r w:rsidR="00E7296F" w:rsidRPr="00C83CC2">
        <w:rPr>
          <w:rFonts w:ascii="Arial" w:hAnsi="Arial" w:cs="Arial"/>
          <w:sz w:val="24"/>
          <w:szCs w:val="24"/>
        </w:rPr>
        <w:t>atendimento</w:t>
      </w:r>
      <w:r w:rsidR="004E45DA" w:rsidRPr="00C83CC2">
        <w:rPr>
          <w:rFonts w:ascii="Arial" w:hAnsi="Arial" w:cs="Arial"/>
          <w:sz w:val="24"/>
          <w:szCs w:val="24"/>
        </w:rPr>
        <w:t xml:space="preserve"> </w:t>
      </w:r>
      <w:r w:rsidRPr="00C83CC2">
        <w:rPr>
          <w:rFonts w:ascii="Arial" w:hAnsi="Arial" w:cs="Arial"/>
          <w:sz w:val="24"/>
          <w:szCs w:val="24"/>
        </w:rPr>
        <w:t xml:space="preserve">dos princípios, normas e convenções contábeis, em particular a </w:t>
      </w:r>
      <w:r w:rsidR="00574AF9" w:rsidRPr="00C83CC2">
        <w:rPr>
          <w:rFonts w:ascii="Arial" w:hAnsi="Arial" w:cs="Arial"/>
          <w:sz w:val="24"/>
          <w:szCs w:val="24"/>
        </w:rPr>
        <w:t xml:space="preserve">convenção da </w:t>
      </w:r>
      <w:r w:rsidR="00574AF9" w:rsidRPr="00C83CC2">
        <w:rPr>
          <w:rFonts w:ascii="Arial" w:hAnsi="Arial" w:cs="Arial"/>
          <w:bCs/>
          <w:sz w:val="24"/>
          <w:szCs w:val="24"/>
        </w:rPr>
        <w:t>Consistência</w:t>
      </w:r>
      <w:r w:rsidR="004E45DA" w:rsidRPr="00C83CC2">
        <w:rPr>
          <w:rFonts w:ascii="Arial" w:hAnsi="Arial" w:cs="Arial"/>
          <w:bCs/>
          <w:sz w:val="24"/>
          <w:szCs w:val="24"/>
        </w:rPr>
        <w:t>,</w:t>
      </w:r>
      <w:r w:rsidR="004E45DA" w:rsidRPr="00C83CC2">
        <w:rPr>
          <w:rFonts w:ascii="Arial" w:hAnsi="Arial" w:cs="Arial"/>
          <w:b/>
          <w:bCs/>
          <w:sz w:val="24"/>
          <w:szCs w:val="24"/>
        </w:rPr>
        <w:t xml:space="preserve"> </w:t>
      </w:r>
      <w:r w:rsidR="004E45DA" w:rsidRPr="00C83CC2">
        <w:rPr>
          <w:rFonts w:ascii="Arial" w:hAnsi="Arial" w:cs="Arial"/>
          <w:sz w:val="24"/>
          <w:szCs w:val="24"/>
        </w:rPr>
        <w:t xml:space="preserve">que tem a função de </w:t>
      </w:r>
      <w:r w:rsidR="007335C3" w:rsidRPr="00C83CC2">
        <w:rPr>
          <w:rFonts w:ascii="Arial" w:hAnsi="Arial" w:cs="Arial"/>
          <w:sz w:val="24"/>
          <w:szCs w:val="24"/>
        </w:rPr>
        <w:t>assegurar a aplicação uniforme de critérios num determinado período</w:t>
      </w:r>
      <w:r w:rsidR="00D17360" w:rsidRPr="00C83CC2">
        <w:rPr>
          <w:rFonts w:ascii="Arial" w:hAnsi="Arial" w:cs="Arial"/>
          <w:sz w:val="24"/>
          <w:szCs w:val="24"/>
        </w:rPr>
        <w:t>,</w:t>
      </w:r>
      <w:r w:rsidR="007335C3" w:rsidRPr="00C83CC2">
        <w:rPr>
          <w:rFonts w:ascii="Arial" w:hAnsi="Arial" w:cs="Arial"/>
          <w:sz w:val="24"/>
          <w:szCs w:val="24"/>
        </w:rPr>
        <w:t xml:space="preserve"> com vistas </w:t>
      </w:r>
      <w:r w:rsidRPr="00C83CC2">
        <w:rPr>
          <w:rFonts w:ascii="Arial" w:hAnsi="Arial" w:cs="Arial"/>
          <w:sz w:val="24"/>
          <w:szCs w:val="24"/>
        </w:rPr>
        <w:t>à manter a composição,</w:t>
      </w:r>
      <w:r w:rsidR="00574AF9" w:rsidRPr="00C83CC2">
        <w:rPr>
          <w:rFonts w:ascii="Arial" w:hAnsi="Arial" w:cs="Arial"/>
          <w:sz w:val="24"/>
          <w:szCs w:val="24"/>
        </w:rPr>
        <w:t xml:space="preserve"> conteúdo </w:t>
      </w:r>
      <w:r w:rsidRPr="00C83CC2">
        <w:rPr>
          <w:rFonts w:ascii="Arial" w:hAnsi="Arial" w:cs="Arial"/>
          <w:sz w:val="24"/>
          <w:szCs w:val="24"/>
        </w:rPr>
        <w:t xml:space="preserve">e resultado </w:t>
      </w:r>
      <w:r w:rsidR="00574AF9" w:rsidRPr="00C83CC2">
        <w:rPr>
          <w:rFonts w:ascii="Arial" w:hAnsi="Arial" w:cs="Arial"/>
          <w:sz w:val="24"/>
          <w:szCs w:val="24"/>
        </w:rPr>
        <w:t xml:space="preserve">das informações </w:t>
      </w:r>
      <w:r w:rsidRPr="00C83CC2">
        <w:rPr>
          <w:rFonts w:ascii="Arial" w:hAnsi="Arial" w:cs="Arial"/>
          <w:sz w:val="24"/>
          <w:szCs w:val="24"/>
        </w:rPr>
        <w:t>da contabilidade</w:t>
      </w:r>
      <w:r w:rsidR="00A2444E" w:rsidRPr="00C83CC2">
        <w:rPr>
          <w:rFonts w:ascii="Arial" w:hAnsi="Arial" w:cs="Arial"/>
          <w:sz w:val="24"/>
          <w:szCs w:val="24"/>
        </w:rPr>
        <w:t xml:space="preserve"> </w:t>
      </w:r>
      <w:r w:rsidR="007B02AD" w:rsidRPr="00C83CC2">
        <w:rPr>
          <w:rFonts w:ascii="Arial" w:hAnsi="Arial" w:cs="Arial"/>
          <w:sz w:val="24"/>
          <w:szCs w:val="24"/>
        </w:rPr>
        <w:t>sob parâmetros</w:t>
      </w:r>
      <w:r w:rsidR="00A2444E" w:rsidRPr="00C83CC2">
        <w:rPr>
          <w:rFonts w:ascii="Arial" w:hAnsi="Arial" w:cs="Arial"/>
          <w:sz w:val="24"/>
          <w:szCs w:val="24"/>
        </w:rPr>
        <w:t xml:space="preserve"> </w:t>
      </w:r>
      <w:r w:rsidR="003722DC" w:rsidRPr="00C83CC2">
        <w:rPr>
          <w:rFonts w:ascii="Arial" w:hAnsi="Arial" w:cs="Arial"/>
          <w:sz w:val="24"/>
          <w:szCs w:val="24"/>
        </w:rPr>
        <w:t>iguais</w:t>
      </w:r>
      <w:r w:rsidR="00A2444E" w:rsidRPr="00C83CC2">
        <w:rPr>
          <w:rFonts w:ascii="Arial" w:hAnsi="Arial" w:cs="Arial"/>
          <w:sz w:val="24"/>
          <w:szCs w:val="24"/>
        </w:rPr>
        <w:t>.</w:t>
      </w:r>
    </w:p>
    <w:p w14:paraId="0C09692D" w14:textId="57EF688B" w:rsidR="00574AF9" w:rsidRPr="00C83CC2" w:rsidRDefault="00A3470B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B0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F3985" w:rsidRPr="007B02AD">
        <w:rPr>
          <w:rFonts w:ascii="Arial" w:hAnsi="Arial" w:cs="Arial"/>
          <w:b/>
          <w:bCs/>
          <w:sz w:val="24"/>
          <w:szCs w:val="24"/>
        </w:rPr>
        <w:t>10</w:t>
      </w:r>
      <w:r w:rsidR="007B02AD" w:rsidRPr="007B02AD">
        <w:rPr>
          <w:rFonts w:ascii="Arial" w:hAnsi="Arial" w:cs="Arial"/>
          <w:b/>
          <w:bCs/>
          <w:sz w:val="24"/>
          <w:szCs w:val="24"/>
        </w:rPr>
        <w:t>.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A2444E" w:rsidRPr="00C83CC2">
        <w:rPr>
          <w:rFonts w:ascii="Arial" w:hAnsi="Arial" w:cs="Arial"/>
          <w:sz w:val="24"/>
          <w:szCs w:val="24"/>
        </w:rPr>
        <w:t xml:space="preserve">Considerando a necessidade de proporcionar a utilização de critérios uniformes </w:t>
      </w:r>
      <w:r w:rsidR="003722DC" w:rsidRPr="00C83CC2">
        <w:rPr>
          <w:rFonts w:ascii="Arial" w:hAnsi="Arial" w:cs="Arial"/>
          <w:sz w:val="24"/>
          <w:szCs w:val="24"/>
        </w:rPr>
        <w:t>na</w:t>
      </w:r>
      <w:r w:rsidR="00A2444E" w:rsidRPr="00C83CC2">
        <w:rPr>
          <w:rFonts w:ascii="Arial" w:hAnsi="Arial" w:cs="Arial"/>
          <w:sz w:val="24"/>
          <w:szCs w:val="24"/>
        </w:rPr>
        <w:t xml:space="preserve"> </w:t>
      </w:r>
      <w:r w:rsidR="00574AF9" w:rsidRPr="00C83CC2">
        <w:rPr>
          <w:rFonts w:ascii="Arial" w:hAnsi="Arial" w:cs="Arial"/>
          <w:sz w:val="24"/>
          <w:szCs w:val="24"/>
        </w:rPr>
        <w:t xml:space="preserve">interpretação e análise </w:t>
      </w:r>
      <w:r w:rsidR="00A2444E" w:rsidRPr="00C83CC2">
        <w:rPr>
          <w:rFonts w:ascii="Arial" w:hAnsi="Arial" w:cs="Arial"/>
          <w:sz w:val="24"/>
          <w:szCs w:val="24"/>
        </w:rPr>
        <w:t xml:space="preserve">dos demonstrativos contábeis municipais da gestão que se </w:t>
      </w:r>
      <w:r w:rsidR="003722DC" w:rsidRPr="00C83CC2">
        <w:rPr>
          <w:rFonts w:ascii="Arial" w:hAnsi="Arial" w:cs="Arial"/>
          <w:sz w:val="24"/>
          <w:szCs w:val="24"/>
        </w:rPr>
        <w:t>completa</w:t>
      </w:r>
      <w:r w:rsidR="00A2444E" w:rsidRPr="00C83CC2">
        <w:rPr>
          <w:rFonts w:ascii="Arial" w:hAnsi="Arial" w:cs="Arial"/>
          <w:sz w:val="24"/>
          <w:szCs w:val="24"/>
        </w:rPr>
        <w:t xml:space="preserve"> em 2008, o Tribunal de Contas resolve </w:t>
      </w:r>
      <w:r w:rsidR="00D1015E" w:rsidRPr="00C83CC2">
        <w:rPr>
          <w:rFonts w:ascii="Arial" w:hAnsi="Arial" w:cs="Arial"/>
          <w:sz w:val="24"/>
          <w:szCs w:val="24"/>
        </w:rPr>
        <w:t>aplicar a sistemática descrita no art. 8º, supra</w:t>
      </w:r>
      <w:r w:rsidR="00A2444E" w:rsidRPr="00C83CC2">
        <w:rPr>
          <w:rFonts w:ascii="Arial" w:hAnsi="Arial" w:cs="Arial"/>
          <w:sz w:val="24"/>
          <w:szCs w:val="24"/>
        </w:rPr>
        <w:t>, exclusivamente para o encerramento do exercício de 2008.</w:t>
      </w:r>
    </w:p>
    <w:p w14:paraId="10E24EB7" w14:textId="75A99418" w:rsidR="00BF636D" w:rsidRPr="00C83CC2" w:rsidRDefault="00BF636D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>§</w:t>
      </w:r>
      <w:r w:rsidR="00A2444E" w:rsidRPr="00C83CC2">
        <w:rPr>
          <w:rFonts w:ascii="Arial" w:hAnsi="Arial" w:cs="Arial"/>
          <w:sz w:val="24"/>
          <w:szCs w:val="24"/>
        </w:rPr>
        <w:t xml:space="preserve"> 1º</w:t>
      </w:r>
      <w:r w:rsidR="00D823DF">
        <w:rPr>
          <w:rFonts w:ascii="Arial" w:hAnsi="Arial" w:cs="Arial"/>
          <w:sz w:val="24"/>
          <w:szCs w:val="24"/>
        </w:rPr>
        <w:t xml:space="preserve"> </w:t>
      </w:r>
      <w:r w:rsidR="00C757BC" w:rsidRPr="00C83CC2">
        <w:rPr>
          <w:rFonts w:ascii="Arial" w:hAnsi="Arial" w:cs="Arial"/>
          <w:sz w:val="24"/>
          <w:szCs w:val="24"/>
        </w:rPr>
        <w:t xml:space="preserve">Para os fins do </w:t>
      </w:r>
      <w:r w:rsidR="003722DC" w:rsidRPr="00C83CC2">
        <w:rPr>
          <w:rFonts w:ascii="Arial" w:hAnsi="Arial" w:cs="Arial"/>
          <w:i/>
          <w:sz w:val="24"/>
          <w:szCs w:val="24"/>
        </w:rPr>
        <w:t>caput</w:t>
      </w:r>
      <w:r w:rsidR="003722DC" w:rsidRPr="00C83CC2">
        <w:rPr>
          <w:rFonts w:ascii="Arial" w:hAnsi="Arial" w:cs="Arial"/>
          <w:sz w:val="24"/>
          <w:szCs w:val="24"/>
        </w:rPr>
        <w:t xml:space="preserve"> deste artigo</w:t>
      </w:r>
      <w:r w:rsidR="00C757BC" w:rsidRPr="00C83CC2">
        <w:rPr>
          <w:rFonts w:ascii="Arial" w:hAnsi="Arial" w:cs="Arial"/>
          <w:sz w:val="24"/>
          <w:szCs w:val="24"/>
        </w:rPr>
        <w:t xml:space="preserve">, as receitas </w:t>
      </w:r>
      <w:r w:rsidR="003722DC" w:rsidRPr="00C83CC2">
        <w:rPr>
          <w:rFonts w:ascii="Arial" w:hAnsi="Arial" w:cs="Arial"/>
          <w:sz w:val="24"/>
          <w:szCs w:val="24"/>
        </w:rPr>
        <w:t>ficam restritas às transferências intergovernamentais de natureza constitucio</w:t>
      </w:r>
      <w:r w:rsidR="00A24B06" w:rsidRPr="00C83CC2">
        <w:rPr>
          <w:rFonts w:ascii="Arial" w:hAnsi="Arial" w:cs="Arial"/>
          <w:sz w:val="24"/>
          <w:szCs w:val="24"/>
        </w:rPr>
        <w:t>nal</w:t>
      </w:r>
      <w:r w:rsidR="00C757BC" w:rsidRPr="00C83CC2">
        <w:rPr>
          <w:rFonts w:ascii="Arial" w:hAnsi="Arial" w:cs="Arial"/>
          <w:sz w:val="24"/>
          <w:szCs w:val="24"/>
        </w:rPr>
        <w:t xml:space="preserve">, sendo assim </w:t>
      </w:r>
      <w:r w:rsidR="00C757BC" w:rsidRPr="00C83CC2">
        <w:rPr>
          <w:rFonts w:ascii="Arial" w:hAnsi="Arial" w:cs="Arial"/>
          <w:sz w:val="24"/>
          <w:szCs w:val="24"/>
        </w:rPr>
        <w:lastRenderedPageBreak/>
        <w:t xml:space="preserve">consideradas as transferências constitucionais </w:t>
      </w:r>
      <w:r w:rsidR="00A24B06" w:rsidRPr="00C83CC2">
        <w:rPr>
          <w:rFonts w:ascii="Arial" w:hAnsi="Arial" w:cs="Arial"/>
          <w:sz w:val="24"/>
          <w:szCs w:val="24"/>
        </w:rPr>
        <w:t>de</w:t>
      </w:r>
      <w:r w:rsidR="00C757BC" w:rsidRPr="00C83CC2">
        <w:rPr>
          <w:rFonts w:ascii="Arial" w:hAnsi="Arial" w:cs="Arial"/>
          <w:sz w:val="24"/>
          <w:szCs w:val="24"/>
        </w:rPr>
        <w:t xml:space="preserve"> recursos arrecadados pelos Governos Federal e Estadual, </w:t>
      </w:r>
      <w:r w:rsidRPr="00C83CC2">
        <w:rPr>
          <w:rFonts w:ascii="Arial" w:hAnsi="Arial" w:cs="Arial"/>
          <w:sz w:val="24"/>
          <w:szCs w:val="24"/>
        </w:rPr>
        <w:t xml:space="preserve">com cotas pertencentes aos </w:t>
      </w:r>
      <w:r w:rsidR="00A24B06" w:rsidRPr="00C83CC2">
        <w:rPr>
          <w:rFonts w:ascii="Arial" w:hAnsi="Arial" w:cs="Arial"/>
          <w:sz w:val="24"/>
          <w:szCs w:val="24"/>
        </w:rPr>
        <w:t>M</w:t>
      </w:r>
      <w:r w:rsidRPr="00C83CC2">
        <w:rPr>
          <w:rFonts w:ascii="Arial" w:hAnsi="Arial" w:cs="Arial"/>
          <w:sz w:val="24"/>
          <w:szCs w:val="24"/>
        </w:rPr>
        <w:t>unicípios</w:t>
      </w:r>
      <w:r w:rsidR="00E7296F" w:rsidRPr="00C83CC2">
        <w:rPr>
          <w:rFonts w:ascii="Arial" w:hAnsi="Arial" w:cs="Arial"/>
          <w:sz w:val="24"/>
          <w:szCs w:val="24"/>
        </w:rPr>
        <w:t>, a saber</w:t>
      </w:r>
      <w:r w:rsidRPr="00C83CC2">
        <w:rPr>
          <w:rFonts w:ascii="Arial" w:hAnsi="Arial" w:cs="Arial"/>
          <w:sz w:val="24"/>
          <w:szCs w:val="24"/>
        </w:rPr>
        <w:t xml:space="preserve">: </w:t>
      </w:r>
    </w:p>
    <w:p w14:paraId="766D151C" w14:textId="7FF653DB" w:rsidR="00BF636D" w:rsidRPr="00D823DF" w:rsidRDefault="00527D1A" w:rsidP="005C016B">
      <w:pPr>
        <w:pStyle w:val="PargrafodaLista"/>
        <w:numPr>
          <w:ilvl w:val="0"/>
          <w:numId w:val="31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FPM;</w:t>
      </w:r>
    </w:p>
    <w:p w14:paraId="51CFCFDA" w14:textId="54C4B039" w:rsidR="00527D1A" w:rsidRPr="00D823DF" w:rsidRDefault="00527D1A" w:rsidP="005C016B">
      <w:pPr>
        <w:pStyle w:val="PargrafodaLista"/>
        <w:numPr>
          <w:ilvl w:val="0"/>
          <w:numId w:val="31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IPI-Exportação;</w:t>
      </w:r>
    </w:p>
    <w:p w14:paraId="2C65C1A0" w14:textId="5F2C2102" w:rsidR="00BF636D" w:rsidRPr="00D823DF" w:rsidRDefault="00BF636D" w:rsidP="005C016B">
      <w:pPr>
        <w:pStyle w:val="PargrafodaLista"/>
        <w:numPr>
          <w:ilvl w:val="0"/>
          <w:numId w:val="31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ICMS;</w:t>
      </w:r>
    </w:p>
    <w:p w14:paraId="56C1F263" w14:textId="2FF5A9E7" w:rsidR="00BF636D" w:rsidRPr="00D823DF" w:rsidRDefault="00BF636D" w:rsidP="005C016B">
      <w:pPr>
        <w:pStyle w:val="PargrafodaLista"/>
        <w:numPr>
          <w:ilvl w:val="0"/>
          <w:numId w:val="31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Transferências de Recursos do FUNDEB;</w:t>
      </w:r>
    </w:p>
    <w:p w14:paraId="697CA2F1" w14:textId="3C5AF163" w:rsidR="006D69AC" w:rsidRPr="00D823DF" w:rsidRDefault="00BF636D" w:rsidP="005C016B">
      <w:pPr>
        <w:pStyle w:val="PargrafodaLista"/>
        <w:numPr>
          <w:ilvl w:val="0"/>
          <w:numId w:val="31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IPVA</w:t>
      </w:r>
      <w:r w:rsidR="005E1A3C" w:rsidRPr="00D823DF">
        <w:rPr>
          <w:rFonts w:ascii="Arial" w:hAnsi="Arial" w:cs="Arial"/>
          <w:sz w:val="24"/>
          <w:szCs w:val="24"/>
        </w:rPr>
        <w:t>; e</w:t>
      </w:r>
    </w:p>
    <w:p w14:paraId="6D83F5BA" w14:textId="7191590D" w:rsidR="006D69AC" w:rsidRPr="00D823DF" w:rsidRDefault="006D69AC" w:rsidP="005C016B">
      <w:pPr>
        <w:pStyle w:val="PargrafodaLista"/>
        <w:numPr>
          <w:ilvl w:val="0"/>
          <w:numId w:val="31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23DF">
        <w:rPr>
          <w:rFonts w:ascii="Arial" w:hAnsi="Arial" w:cs="Arial"/>
          <w:sz w:val="24"/>
          <w:szCs w:val="24"/>
        </w:rPr>
        <w:t>ITR</w:t>
      </w:r>
      <w:r w:rsidR="005E1A3C" w:rsidRPr="00D823DF">
        <w:rPr>
          <w:rFonts w:ascii="Arial" w:hAnsi="Arial" w:cs="Arial"/>
          <w:sz w:val="24"/>
          <w:szCs w:val="24"/>
        </w:rPr>
        <w:t xml:space="preserve">, </w:t>
      </w:r>
      <w:r w:rsidR="005E1A3C" w:rsidRPr="00D823DF">
        <w:rPr>
          <w:rFonts w:ascii="Arial" w:hAnsi="Arial" w:cs="Arial"/>
          <w:iCs/>
          <w:sz w:val="24"/>
          <w:szCs w:val="24"/>
        </w:rPr>
        <w:t xml:space="preserve">de </w:t>
      </w:r>
      <w:r w:rsidR="005E1A3C" w:rsidRPr="00D823DF">
        <w:rPr>
          <w:rFonts w:ascii="Arial" w:hAnsi="Arial" w:cs="Arial"/>
          <w:sz w:val="24"/>
          <w:szCs w:val="24"/>
        </w:rPr>
        <w:t>municípios que não optaram pela cobrança autônoma desse tributo, na forma da Emenda Constitucional nº 42/</w:t>
      </w:r>
      <w:r w:rsidR="005E1A3C" w:rsidRPr="00D823DF">
        <w:rPr>
          <w:rFonts w:ascii="Arial" w:hAnsi="Arial" w:cs="Arial"/>
          <w:iCs/>
          <w:sz w:val="24"/>
          <w:szCs w:val="24"/>
        </w:rPr>
        <w:t>2003</w:t>
      </w:r>
      <w:r w:rsidRPr="00D823DF">
        <w:rPr>
          <w:rFonts w:ascii="Arial" w:hAnsi="Arial" w:cs="Arial"/>
          <w:sz w:val="24"/>
          <w:szCs w:val="24"/>
        </w:rPr>
        <w:t>.</w:t>
      </w:r>
    </w:p>
    <w:p w14:paraId="3CED6570" w14:textId="0355CDAA" w:rsidR="008F1948" w:rsidRPr="00C83CC2" w:rsidRDefault="008F1948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</w:t>
      </w:r>
      <w:r w:rsidR="00DA509E" w:rsidRPr="00C83CC2">
        <w:rPr>
          <w:rFonts w:ascii="Arial" w:hAnsi="Arial" w:cs="Arial"/>
          <w:sz w:val="24"/>
          <w:szCs w:val="24"/>
        </w:rPr>
        <w:t>2</w:t>
      </w:r>
      <w:r w:rsidRPr="00C83CC2">
        <w:rPr>
          <w:rFonts w:ascii="Arial" w:hAnsi="Arial" w:cs="Arial"/>
          <w:sz w:val="24"/>
          <w:szCs w:val="24"/>
        </w:rPr>
        <w:t xml:space="preserve">º </w:t>
      </w:r>
      <w:r w:rsidR="005E72A8" w:rsidRPr="00C83CC2">
        <w:rPr>
          <w:rFonts w:ascii="Arial" w:hAnsi="Arial" w:cs="Arial"/>
          <w:sz w:val="24"/>
          <w:szCs w:val="24"/>
        </w:rPr>
        <w:t xml:space="preserve">A </w:t>
      </w:r>
      <w:r w:rsidR="00B566E2" w:rsidRPr="00C83CC2">
        <w:rPr>
          <w:rFonts w:ascii="Arial" w:hAnsi="Arial" w:cs="Arial"/>
          <w:sz w:val="24"/>
          <w:szCs w:val="24"/>
        </w:rPr>
        <w:t>classificação</w:t>
      </w:r>
      <w:r w:rsidR="00A1030A" w:rsidRPr="00C83CC2">
        <w:rPr>
          <w:rFonts w:ascii="Arial" w:hAnsi="Arial" w:cs="Arial"/>
          <w:sz w:val="24"/>
          <w:szCs w:val="24"/>
        </w:rPr>
        <w:t xml:space="preserve"> d</w:t>
      </w:r>
      <w:r w:rsidR="00B566E2" w:rsidRPr="00C83CC2">
        <w:rPr>
          <w:rFonts w:ascii="Arial" w:hAnsi="Arial" w:cs="Arial"/>
          <w:sz w:val="24"/>
          <w:szCs w:val="24"/>
        </w:rPr>
        <w:t>os empenhos d</w:t>
      </w:r>
      <w:r w:rsidR="00A1030A" w:rsidRPr="00C83CC2">
        <w:rPr>
          <w:rFonts w:ascii="Arial" w:hAnsi="Arial" w:cs="Arial"/>
          <w:sz w:val="24"/>
          <w:szCs w:val="24"/>
        </w:rPr>
        <w:t>e</w:t>
      </w:r>
      <w:r w:rsidR="00B566E2" w:rsidRPr="00C83CC2">
        <w:rPr>
          <w:rFonts w:ascii="Arial" w:hAnsi="Arial" w:cs="Arial"/>
          <w:sz w:val="24"/>
          <w:szCs w:val="24"/>
        </w:rPr>
        <w:t xml:space="preserve"> despesas </w:t>
      </w:r>
      <w:r w:rsidR="005E72A8" w:rsidRPr="00C83CC2">
        <w:rPr>
          <w:rFonts w:ascii="Arial" w:hAnsi="Arial" w:cs="Arial"/>
          <w:sz w:val="24"/>
          <w:szCs w:val="24"/>
        </w:rPr>
        <w:t xml:space="preserve">que se refiram a dotações do orçamento de 2009 em diante, </w:t>
      </w:r>
      <w:r w:rsidR="00B566E2" w:rsidRPr="00C83CC2">
        <w:rPr>
          <w:rFonts w:ascii="Arial" w:hAnsi="Arial" w:cs="Arial"/>
          <w:sz w:val="24"/>
          <w:szCs w:val="24"/>
        </w:rPr>
        <w:t xml:space="preserve">realizadas com </w:t>
      </w:r>
      <w:r w:rsidR="00A6765C" w:rsidRPr="00C83CC2">
        <w:rPr>
          <w:rFonts w:ascii="Arial" w:hAnsi="Arial" w:cs="Arial"/>
          <w:sz w:val="24"/>
          <w:szCs w:val="24"/>
        </w:rPr>
        <w:t>receitas de R</w:t>
      </w:r>
      <w:r w:rsidR="00B566E2" w:rsidRPr="00C83CC2">
        <w:rPr>
          <w:rFonts w:ascii="Arial" w:hAnsi="Arial" w:cs="Arial"/>
          <w:sz w:val="24"/>
          <w:szCs w:val="24"/>
        </w:rPr>
        <w:t xml:space="preserve">estos a </w:t>
      </w:r>
      <w:r w:rsidR="00A6765C" w:rsidRPr="00C83CC2">
        <w:rPr>
          <w:rFonts w:ascii="Arial" w:hAnsi="Arial" w:cs="Arial"/>
          <w:sz w:val="24"/>
          <w:szCs w:val="24"/>
        </w:rPr>
        <w:t>R</w:t>
      </w:r>
      <w:r w:rsidR="00B566E2" w:rsidRPr="00C83CC2">
        <w:rPr>
          <w:rFonts w:ascii="Arial" w:hAnsi="Arial" w:cs="Arial"/>
          <w:sz w:val="24"/>
          <w:szCs w:val="24"/>
        </w:rPr>
        <w:t>eceber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456DEB" w:rsidRPr="00C83CC2">
        <w:rPr>
          <w:rFonts w:ascii="Arial" w:hAnsi="Arial" w:cs="Arial"/>
          <w:sz w:val="24"/>
          <w:szCs w:val="24"/>
        </w:rPr>
        <w:t>apontará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B566E2" w:rsidRPr="00C83CC2">
        <w:rPr>
          <w:rFonts w:ascii="Arial" w:hAnsi="Arial" w:cs="Arial"/>
          <w:sz w:val="24"/>
          <w:szCs w:val="24"/>
        </w:rPr>
        <w:t>como Grupo de Fontes de Recursos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B566E2" w:rsidRPr="00C83CC2">
        <w:rPr>
          <w:rFonts w:ascii="Arial" w:hAnsi="Arial" w:cs="Arial"/>
          <w:sz w:val="24"/>
          <w:szCs w:val="24"/>
        </w:rPr>
        <w:t>os códigos</w:t>
      </w:r>
      <w:r w:rsidRPr="00C83CC2">
        <w:rPr>
          <w:rFonts w:ascii="Arial" w:hAnsi="Arial" w:cs="Arial"/>
          <w:sz w:val="24"/>
          <w:szCs w:val="24"/>
        </w:rPr>
        <w:t xml:space="preserve"> de </w:t>
      </w:r>
      <w:r w:rsidR="00B566E2" w:rsidRPr="00C83CC2">
        <w:rPr>
          <w:rFonts w:ascii="Arial" w:hAnsi="Arial" w:cs="Arial"/>
          <w:sz w:val="24"/>
          <w:szCs w:val="24"/>
        </w:rPr>
        <w:t xml:space="preserve">fontes </w:t>
      </w:r>
      <w:r w:rsidR="00A1030A" w:rsidRPr="00C83CC2">
        <w:rPr>
          <w:rFonts w:ascii="Arial" w:hAnsi="Arial" w:cs="Arial"/>
          <w:sz w:val="24"/>
          <w:szCs w:val="24"/>
        </w:rPr>
        <w:t xml:space="preserve">para </w:t>
      </w:r>
      <w:r w:rsidR="00A6765C" w:rsidRPr="00C83CC2">
        <w:rPr>
          <w:rFonts w:ascii="Arial" w:hAnsi="Arial" w:cs="Arial"/>
          <w:sz w:val="24"/>
          <w:szCs w:val="24"/>
        </w:rPr>
        <w:t>“</w:t>
      </w:r>
      <w:r w:rsidR="00B566E2" w:rsidRPr="00C83CC2">
        <w:rPr>
          <w:rFonts w:ascii="Arial" w:hAnsi="Arial" w:cs="Arial"/>
          <w:sz w:val="24"/>
          <w:szCs w:val="24"/>
        </w:rPr>
        <w:t>E</w:t>
      </w:r>
      <w:r w:rsidRPr="00C83CC2">
        <w:rPr>
          <w:rFonts w:ascii="Arial" w:hAnsi="Arial" w:cs="Arial"/>
          <w:sz w:val="24"/>
          <w:szCs w:val="24"/>
        </w:rPr>
        <w:t xml:space="preserve">xercícios </w:t>
      </w:r>
      <w:r w:rsidR="00B566E2" w:rsidRPr="00C83CC2">
        <w:rPr>
          <w:rFonts w:ascii="Arial" w:hAnsi="Arial" w:cs="Arial"/>
          <w:sz w:val="24"/>
          <w:szCs w:val="24"/>
        </w:rPr>
        <w:t>A</w:t>
      </w:r>
      <w:r w:rsidRPr="00C83CC2">
        <w:rPr>
          <w:rFonts w:ascii="Arial" w:hAnsi="Arial" w:cs="Arial"/>
          <w:sz w:val="24"/>
          <w:szCs w:val="24"/>
        </w:rPr>
        <w:t>nteriores</w:t>
      </w:r>
      <w:r w:rsidR="00A6765C" w:rsidRPr="00C83CC2">
        <w:rPr>
          <w:rFonts w:ascii="Arial" w:hAnsi="Arial" w:cs="Arial"/>
          <w:sz w:val="24"/>
          <w:szCs w:val="24"/>
        </w:rPr>
        <w:t xml:space="preserve">” </w:t>
      </w:r>
      <w:r w:rsidR="00F14FF4" w:rsidRPr="00C83CC2">
        <w:rPr>
          <w:rFonts w:ascii="Arial" w:hAnsi="Arial" w:cs="Arial"/>
          <w:sz w:val="24"/>
          <w:szCs w:val="24"/>
        </w:rPr>
        <w:t xml:space="preserve">da tabela </w:t>
      </w:r>
      <w:r w:rsidR="005E72A8" w:rsidRPr="00C83CC2">
        <w:rPr>
          <w:rFonts w:ascii="Arial" w:hAnsi="Arial" w:cs="Arial"/>
          <w:sz w:val="24"/>
          <w:szCs w:val="24"/>
        </w:rPr>
        <w:t>de fontes padrão integrante do Sistema de Informações Municipais - Acompanhamento Mensal, do Tribunal de Contas do Paraná.</w:t>
      </w:r>
    </w:p>
    <w:p w14:paraId="7A5944D6" w14:textId="0967FF5B" w:rsidR="00C168C2" w:rsidRPr="00C83CC2" w:rsidRDefault="00456DEB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3º </w:t>
      </w:r>
      <w:r w:rsidR="005E72A8" w:rsidRPr="00C83CC2">
        <w:rPr>
          <w:rFonts w:ascii="Arial" w:hAnsi="Arial" w:cs="Arial"/>
          <w:sz w:val="24"/>
          <w:szCs w:val="24"/>
        </w:rPr>
        <w:t>O</w:t>
      </w:r>
      <w:r w:rsidRPr="00C83CC2">
        <w:rPr>
          <w:rFonts w:ascii="Arial" w:hAnsi="Arial" w:cs="Arial"/>
          <w:sz w:val="24"/>
          <w:szCs w:val="24"/>
        </w:rPr>
        <w:t xml:space="preserve">s pagamentos de empenhos inscritos em Restos a Pagar com receitas </w:t>
      </w:r>
      <w:r w:rsidR="00C168C2" w:rsidRPr="00C83CC2">
        <w:rPr>
          <w:rFonts w:ascii="Arial" w:hAnsi="Arial" w:cs="Arial"/>
          <w:sz w:val="24"/>
          <w:szCs w:val="24"/>
        </w:rPr>
        <w:t xml:space="preserve">provenientes </w:t>
      </w:r>
      <w:r w:rsidRPr="00C83CC2">
        <w:rPr>
          <w:rFonts w:ascii="Arial" w:hAnsi="Arial" w:cs="Arial"/>
          <w:sz w:val="24"/>
          <w:szCs w:val="24"/>
        </w:rPr>
        <w:t xml:space="preserve">de Restos a Receber apontará como Grupo de Fontes de Recursos os códigos de fontes para “Exercício Corrente,” </w:t>
      </w:r>
      <w:r w:rsidR="005E72A8" w:rsidRPr="00C83CC2">
        <w:rPr>
          <w:rFonts w:ascii="Arial" w:hAnsi="Arial" w:cs="Arial"/>
          <w:sz w:val="24"/>
          <w:szCs w:val="24"/>
        </w:rPr>
        <w:t>da tabela de fonte padrão integrante do Sistema de Informações Municipais - Acompanhamento Mensal, do Tribunal de Contas do Paraná.</w:t>
      </w:r>
    </w:p>
    <w:p w14:paraId="290AAD3D" w14:textId="0D82FAF5" w:rsidR="00203248" w:rsidRPr="00C83CC2" w:rsidRDefault="008F1948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</w:t>
      </w:r>
      <w:r w:rsidR="00456DEB" w:rsidRPr="00C83CC2">
        <w:rPr>
          <w:rFonts w:ascii="Arial" w:hAnsi="Arial" w:cs="Arial"/>
          <w:sz w:val="24"/>
          <w:szCs w:val="24"/>
        </w:rPr>
        <w:t>4</w:t>
      </w:r>
      <w:r w:rsidR="00CE0B09" w:rsidRPr="00C83CC2">
        <w:rPr>
          <w:rFonts w:ascii="Arial" w:hAnsi="Arial" w:cs="Arial"/>
          <w:sz w:val="24"/>
          <w:szCs w:val="24"/>
        </w:rPr>
        <w:t xml:space="preserve">º </w:t>
      </w:r>
      <w:r w:rsidR="007D11EB" w:rsidRPr="00C83CC2">
        <w:rPr>
          <w:rFonts w:ascii="Arial" w:hAnsi="Arial" w:cs="Arial"/>
          <w:sz w:val="24"/>
          <w:szCs w:val="24"/>
        </w:rPr>
        <w:t>Os registros pertinentes aos Restos a Receber de receitas com vinculação ao Fundo de Manutenção e Desenvolvimento d</w:t>
      </w:r>
      <w:r w:rsidR="00EF3985" w:rsidRPr="00C83CC2">
        <w:rPr>
          <w:rFonts w:ascii="Arial" w:hAnsi="Arial" w:cs="Arial"/>
          <w:sz w:val="24"/>
          <w:szCs w:val="24"/>
        </w:rPr>
        <w:t xml:space="preserve">a Educação Básica e de </w:t>
      </w:r>
      <w:r w:rsidR="007D11EB" w:rsidRPr="00C83CC2">
        <w:rPr>
          <w:rFonts w:ascii="Arial" w:hAnsi="Arial" w:cs="Arial"/>
          <w:sz w:val="24"/>
          <w:szCs w:val="24"/>
        </w:rPr>
        <w:t>Va</w:t>
      </w:r>
      <w:r w:rsidR="00EF3985" w:rsidRPr="00C83CC2">
        <w:rPr>
          <w:rFonts w:ascii="Arial" w:hAnsi="Arial" w:cs="Arial"/>
          <w:sz w:val="24"/>
          <w:szCs w:val="24"/>
        </w:rPr>
        <w:t>lorização dos Profissionais da Educação – FUNDEB</w:t>
      </w:r>
      <w:r w:rsidR="007D11EB" w:rsidRPr="00C83CC2">
        <w:rPr>
          <w:rFonts w:ascii="Arial" w:hAnsi="Arial" w:cs="Arial"/>
          <w:sz w:val="24"/>
          <w:szCs w:val="24"/>
        </w:rPr>
        <w:t xml:space="preserve"> deverão ser escri</w:t>
      </w:r>
      <w:r w:rsidR="00B2604E" w:rsidRPr="00C83CC2">
        <w:rPr>
          <w:rFonts w:ascii="Arial" w:hAnsi="Arial" w:cs="Arial"/>
          <w:sz w:val="24"/>
          <w:szCs w:val="24"/>
        </w:rPr>
        <w:t>turadas em estrita observância d</w:t>
      </w:r>
      <w:r w:rsidR="007D11EB" w:rsidRPr="00C83CC2">
        <w:rPr>
          <w:rFonts w:ascii="Arial" w:hAnsi="Arial" w:cs="Arial"/>
          <w:sz w:val="24"/>
          <w:szCs w:val="24"/>
        </w:rPr>
        <w:t xml:space="preserve">os procedimentos contábeis uniformizados pela Portaria nº </w:t>
      </w:r>
      <w:r w:rsidR="00EF3985" w:rsidRPr="00C83CC2">
        <w:rPr>
          <w:rFonts w:ascii="Arial" w:hAnsi="Arial" w:cs="Arial"/>
          <w:sz w:val="24"/>
          <w:szCs w:val="24"/>
        </w:rPr>
        <w:t>48</w:t>
      </w:r>
      <w:r w:rsidR="007D11EB" w:rsidRPr="00C83CC2">
        <w:rPr>
          <w:rFonts w:ascii="Arial" w:hAnsi="Arial" w:cs="Arial"/>
          <w:sz w:val="24"/>
          <w:szCs w:val="24"/>
        </w:rPr>
        <w:t xml:space="preserve">, de </w:t>
      </w:r>
      <w:r w:rsidR="00EF3985" w:rsidRPr="00C83CC2">
        <w:rPr>
          <w:rFonts w:ascii="Arial" w:hAnsi="Arial" w:cs="Arial"/>
          <w:sz w:val="24"/>
          <w:szCs w:val="24"/>
        </w:rPr>
        <w:t>31</w:t>
      </w:r>
      <w:r w:rsidR="007D11EB" w:rsidRPr="00C83CC2">
        <w:rPr>
          <w:rFonts w:ascii="Arial" w:hAnsi="Arial" w:cs="Arial"/>
          <w:sz w:val="24"/>
          <w:szCs w:val="24"/>
        </w:rPr>
        <w:t xml:space="preserve"> de </w:t>
      </w:r>
      <w:r w:rsidR="00EF3985" w:rsidRPr="00C83CC2">
        <w:rPr>
          <w:rFonts w:ascii="Arial" w:hAnsi="Arial" w:cs="Arial"/>
          <w:sz w:val="24"/>
          <w:szCs w:val="24"/>
        </w:rPr>
        <w:t>janeiro de 2007</w:t>
      </w:r>
      <w:r w:rsidR="007D11EB" w:rsidRPr="00C83CC2">
        <w:rPr>
          <w:rFonts w:ascii="Arial" w:hAnsi="Arial" w:cs="Arial"/>
          <w:sz w:val="24"/>
          <w:szCs w:val="24"/>
        </w:rPr>
        <w:t>, da Secretaria do Tesouro Nacional.</w:t>
      </w:r>
    </w:p>
    <w:p w14:paraId="6074D3BA" w14:textId="2EB54507" w:rsidR="001C5060" w:rsidRPr="00C83CC2" w:rsidRDefault="0070153D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830EE">
        <w:rPr>
          <w:rFonts w:ascii="Arial" w:hAnsi="Arial" w:cs="Arial"/>
          <w:b/>
          <w:bCs/>
          <w:sz w:val="24"/>
          <w:szCs w:val="24"/>
        </w:rPr>
        <w:t>Art. 11</w:t>
      </w:r>
      <w:r w:rsidR="009830EE" w:rsidRPr="009830EE">
        <w:rPr>
          <w:rFonts w:ascii="Arial" w:hAnsi="Arial" w:cs="Arial"/>
          <w:b/>
          <w:bCs/>
          <w:sz w:val="24"/>
          <w:szCs w:val="24"/>
        </w:rPr>
        <w:t>.</w:t>
      </w:r>
      <w:r w:rsidR="00B82D68" w:rsidRPr="00C83CC2">
        <w:rPr>
          <w:rFonts w:ascii="Arial" w:hAnsi="Arial" w:cs="Arial"/>
          <w:sz w:val="24"/>
          <w:szCs w:val="24"/>
        </w:rPr>
        <w:t xml:space="preserve"> </w:t>
      </w:r>
      <w:r w:rsidR="00D25028" w:rsidRPr="00C83CC2">
        <w:rPr>
          <w:rFonts w:ascii="Arial" w:hAnsi="Arial" w:cs="Arial"/>
          <w:sz w:val="24"/>
          <w:szCs w:val="24"/>
        </w:rPr>
        <w:t>Para efeito da verificação da obediência ao comando constitucional, a</w:t>
      </w:r>
      <w:r w:rsidR="00E4257B" w:rsidRPr="00C83CC2">
        <w:rPr>
          <w:rFonts w:ascii="Arial" w:hAnsi="Arial" w:cs="Arial"/>
          <w:sz w:val="24"/>
          <w:szCs w:val="24"/>
        </w:rPr>
        <w:t xml:space="preserve">s parcelas de receitas de Restos a Receber com destinação </w:t>
      </w:r>
      <w:r w:rsidR="00D25028" w:rsidRPr="00C83CC2">
        <w:rPr>
          <w:rFonts w:ascii="Arial" w:hAnsi="Arial" w:cs="Arial"/>
          <w:sz w:val="24"/>
          <w:szCs w:val="24"/>
        </w:rPr>
        <w:t>vinculada às</w:t>
      </w:r>
      <w:r w:rsidR="00E4257B" w:rsidRPr="00C83CC2">
        <w:rPr>
          <w:rFonts w:ascii="Arial" w:hAnsi="Arial" w:cs="Arial"/>
          <w:sz w:val="24"/>
          <w:szCs w:val="24"/>
        </w:rPr>
        <w:t xml:space="preserve"> áreas de educação e saúde, </w:t>
      </w:r>
      <w:r w:rsidR="00D25028" w:rsidRPr="00C83CC2">
        <w:rPr>
          <w:rFonts w:ascii="Arial" w:hAnsi="Arial" w:cs="Arial"/>
          <w:sz w:val="24"/>
          <w:szCs w:val="24"/>
        </w:rPr>
        <w:t xml:space="preserve">poderão ser </w:t>
      </w:r>
      <w:r w:rsidR="00035831" w:rsidRPr="00C83CC2">
        <w:rPr>
          <w:rFonts w:ascii="Arial" w:hAnsi="Arial" w:cs="Arial"/>
          <w:sz w:val="24"/>
          <w:szCs w:val="24"/>
        </w:rPr>
        <w:t>aplicadas</w:t>
      </w:r>
      <w:r w:rsidR="00E4257B" w:rsidRPr="00C83CC2">
        <w:rPr>
          <w:rFonts w:ascii="Arial" w:hAnsi="Arial" w:cs="Arial"/>
          <w:sz w:val="24"/>
          <w:szCs w:val="24"/>
        </w:rPr>
        <w:t xml:space="preserve"> </w:t>
      </w:r>
      <w:r w:rsidR="00035831" w:rsidRPr="00C83CC2">
        <w:rPr>
          <w:rFonts w:ascii="Arial" w:hAnsi="Arial" w:cs="Arial"/>
          <w:sz w:val="24"/>
          <w:szCs w:val="24"/>
        </w:rPr>
        <w:t>até 31 de março</w:t>
      </w:r>
      <w:r w:rsidR="00E4257B" w:rsidRPr="00C83CC2">
        <w:rPr>
          <w:rFonts w:ascii="Arial" w:hAnsi="Arial" w:cs="Arial"/>
          <w:sz w:val="24"/>
          <w:szCs w:val="24"/>
        </w:rPr>
        <w:t xml:space="preserve"> do exercício </w:t>
      </w:r>
      <w:r w:rsidR="00035831" w:rsidRPr="00C83CC2">
        <w:rPr>
          <w:rFonts w:ascii="Arial" w:hAnsi="Arial" w:cs="Arial"/>
          <w:sz w:val="24"/>
          <w:szCs w:val="24"/>
        </w:rPr>
        <w:t>de 200</w:t>
      </w:r>
      <w:r w:rsidR="00EF3985" w:rsidRPr="00C83CC2">
        <w:rPr>
          <w:rFonts w:ascii="Arial" w:hAnsi="Arial" w:cs="Arial"/>
          <w:sz w:val="24"/>
          <w:szCs w:val="24"/>
        </w:rPr>
        <w:t>9</w:t>
      </w:r>
      <w:r w:rsidR="00D25028" w:rsidRPr="00C83CC2">
        <w:rPr>
          <w:rFonts w:ascii="Arial" w:hAnsi="Arial" w:cs="Arial"/>
          <w:sz w:val="24"/>
          <w:szCs w:val="24"/>
        </w:rPr>
        <w:t xml:space="preserve">, </w:t>
      </w:r>
      <w:r w:rsidR="00765948" w:rsidRPr="00C83CC2">
        <w:rPr>
          <w:rFonts w:ascii="Arial" w:hAnsi="Arial" w:cs="Arial"/>
          <w:sz w:val="24"/>
          <w:szCs w:val="24"/>
        </w:rPr>
        <w:t>nos moldes</w:t>
      </w:r>
      <w:r w:rsidR="00D25028" w:rsidRPr="00C83CC2">
        <w:rPr>
          <w:rFonts w:ascii="Arial" w:hAnsi="Arial" w:cs="Arial"/>
          <w:sz w:val="24"/>
          <w:szCs w:val="24"/>
        </w:rPr>
        <w:t xml:space="preserve"> </w:t>
      </w:r>
      <w:r w:rsidR="00765948" w:rsidRPr="00C83CC2">
        <w:rPr>
          <w:rFonts w:ascii="Arial" w:hAnsi="Arial" w:cs="Arial"/>
          <w:sz w:val="24"/>
          <w:szCs w:val="24"/>
        </w:rPr>
        <w:t>d</w:t>
      </w:r>
      <w:r w:rsidR="00D25028" w:rsidRPr="00C83CC2">
        <w:rPr>
          <w:rFonts w:ascii="Arial" w:hAnsi="Arial" w:cs="Arial"/>
          <w:sz w:val="24"/>
          <w:szCs w:val="24"/>
        </w:rPr>
        <w:t xml:space="preserve">o previsto no </w:t>
      </w:r>
      <w:r w:rsidR="005D3EF1" w:rsidRPr="00C83CC2">
        <w:rPr>
          <w:rFonts w:ascii="Arial" w:hAnsi="Arial" w:cs="Arial"/>
          <w:sz w:val="24"/>
          <w:szCs w:val="24"/>
        </w:rPr>
        <w:t>art</w:t>
      </w:r>
      <w:r w:rsidR="00BB3BCD" w:rsidRPr="00C83CC2">
        <w:rPr>
          <w:rFonts w:ascii="Arial" w:hAnsi="Arial" w:cs="Arial"/>
          <w:sz w:val="24"/>
          <w:szCs w:val="24"/>
        </w:rPr>
        <w:t>.</w:t>
      </w:r>
      <w:r w:rsidR="00D25028" w:rsidRPr="00C83CC2">
        <w:rPr>
          <w:rFonts w:ascii="Arial" w:hAnsi="Arial" w:cs="Arial"/>
          <w:sz w:val="24"/>
          <w:szCs w:val="24"/>
        </w:rPr>
        <w:t xml:space="preserve"> 45, </w:t>
      </w:r>
      <w:r w:rsidR="00035831" w:rsidRPr="00C83CC2">
        <w:rPr>
          <w:rFonts w:ascii="Arial" w:hAnsi="Arial" w:cs="Arial"/>
          <w:sz w:val="24"/>
          <w:szCs w:val="24"/>
        </w:rPr>
        <w:t xml:space="preserve">do </w:t>
      </w:r>
      <w:hyperlink r:id="rId9" w:history="1">
        <w:r w:rsidR="00035831" w:rsidRPr="00693103">
          <w:rPr>
            <w:rStyle w:val="Hyperlink"/>
            <w:rFonts w:ascii="Arial" w:hAnsi="Arial" w:cs="Arial"/>
            <w:sz w:val="24"/>
            <w:szCs w:val="24"/>
          </w:rPr>
          <w:t>Provimento nº 37</w:t>
        </w:r>
        <w:r w:rsidR="00D25028" w:rsidRPr="00693103">
          <w:rPr>
            <w:rStyle w:val="Hyperlink"/>
            <w:rFonts w:ascii="Arial" w:hAnsi="Arial" w:cs="Arial"/>
            <w:sz w:val="24"/>
            <w:szCs w:val="24"/>
          </w:rPr>
          <w:t>/99</w:t>
        </w:r>
      </w:hyperlink>
      <w:r w:rsidR="00EF3985" w:rsidRPr="00C83CC2">
        <w:rPr>
          <w:rFonts w:ascii="Arial" w:hAnsi="Arial" w:cs="Arial"/>
          <w:sz w:val="24"/>
          <w:szCs w:val="24"/>
        </w:rPr>
        <w:t xml:space="preserve">, </w:t>
      </w:r>
      <w:r w:rsidR="00765948" w:rsidRPr="00C83CC2">
        <w:rPr>
          <w:rFonts w:ascii="Arial" w:hAnsi="Arial" w:cs="Arial"/>
          <w:sz w:val="24"/>
          <w:szCs w:val="24"/>
        </w:rPr>
        <w:t xml:space="preserve">na </w:t>
      </w:r>
      <w:hyperlink r:id="rId10" w:history="1">
        <w:r w:rsidR="00D25028" w:rsidRPr="0088017D">
          <w:rPr>
            <w:rStyle w:val="Hyperlink"/>
            <w:rFonts w:ascii="Arial" w:hAnsi="Arial" w:cs="Arial"/>
            <w:sz w:val="24"/>
            <w:szCs w:val="24"/>
          </w:rPr>
          <w:t xml:space="preserve">Resolução nº </w:t>
        </w:r>
        <w:r w:rsidR="00035831" w:rsidRPr="0088017D">
          <w:rPr>
            <w:rStyle w:val="Hyperlink"/>
            <w:rFonts w:ascii="Arial" w:hAnsi="Arial" w:cs="Arial"/>
            <w:sz w:val="24"/>
            <w:szCs w:val="24"/>
          </w:rPr>
          <w:t>122/2004</w:t>
        </w:r>
      </w:hyperlink>
      <w:r w:rsidR="00D25028" w:rsidRPr="00C83CC2">
        <w:rPr>
          <w:rFonts w:ascii="Arial" w:hAnsi="Arial" w:cs="Arial"/>
          <w:sz w:val="24"/>
          <w:szCs w:val="24"/>
        </w:rPr>
        <w:t xml:space="preserve">, </w:t>
      </w:r>
      <w:r w:rsidR="00714959" w:rsidRPr="00C83CC2">
        <w:rPr>
          <w:rFonts w:ascii="Arial" w:hAnsi="Arial" w:cs="Arial"/>
          <w:sz w:val="24"/>
          <w:szCs w:val="24"/>
        </w:rPr>
        <w:t>d</w:t>
      </w:r>
      <w:r w:rsidR="0040347F" w:rsidRPr="00C83CC2">
        <w:rPr>
          <w:rFonts w:ascii="Arial" w:hAnsi="Arial" w:cs="Arial"/>
          <w:sz w:val="24"/>
          <w:szCs w:val="24"/>
        </w:rPr>
        <w:t>o Tribunal de Contas do Paraná,</w:t>
      </w:r>
      <w:r w:rsidR="00EF3985" w:rsidRPr="00C83CC2">
        <w:rPr>
          <w:rFonts w:ascii="Arial" w:hAnsi="Arial" w:cs="Arial"/>
          <w:sz w:val="24"/>
          <w:szCs w:val="24"/>
        </w:rPr>
        <w:t xml:space="preserve"> e no art. 21, § 2º, da Lei Federal nº 11.494/07</w:t>
      </w:r>
      <w:r w:rsidR="00203248" w:rsidRPr="00C83CC2">
        <w:rPr>
          <w:rFonts w:ascii="Arial" w:hAnsi="Arial" w:cs="Arial"/>
          <w:sz w:val="24"/>
          <w:szCs w:val="24"/>
        </w:rPr>
        <w:t>.</w:t>
      </w:r>
    </w:p>
    <w:p w14:paraId="6F56D15D" w14:textId="4A2C62C3" w:rsidR="005379C5" w:rsidRPr="00C83CC2" w:rsidRDefault="005D3EF1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830EE">
        <w:rPr>
          <w:rFonts w:ascii="Arial" w:hAnsi="Arial" w:cs="Arial"/>
          <w:b/>
          <w:bCs/>
          <w:sz w:val="24"/>
          <w:szCs w:val="24"/>
        </w:rPr>
        <w:t>Art</w:t>
      </w:r>
      <w:r w:rsidR="0070153D" w:rsidRPr="009830EE">
        <w:rPr>
          <w:rFonts w:ascii="Arial" w:hAnsi="Arial" w:cs="Arial"/>
          <w:b/>
          <w:bCs/>
          <w:sz w:val="24"/>
          <w:szCs w:val="24"/>
        </w:rPr>
        <w:t xml:space="preserve">. </w:t>
      </w:r>
      <w:r w:rsidR="00FF524F" w:rsidRPr="009830EE">
        <w:rPr>
          <w:rFonts w:ascii="Arial" w:hAnsi="Arial" w:cs="Arial"/>
          <w:b/>
          <w:bCs/>
          <w:sz w:val="24"/>
          <w:szCs w:val="24"/>
        </w:rPr>
        <w:t>1</w:t>
      </w:r>
      <w:r w:rsidR="0070153D" w:rsidRPr="009830EE">
        <w:rPr>
          <w:rFonts w:ascii="Arial" w:hAnsi="Arial" w:cs="Arial"/>
          <w:b/>
          <w:bCs/>
          <w:sz w:val="24"/>
          <w:szCs w:val="24"/>
        </w:rPr>
        <w:t>2</w:t>
      </w:r>
      <w:r w:rsidR="009830EE" w:rsidRPr="009830EE">
        <w:rPr>
          <w:rFonts w:ascii="Arial" w:hAnsi="Arial" w:cs="Arial"/>
          <w:b/>
          <w:bCs/>
          <w:sz w:val="24"/>
          <w:szCs w:val="24"/>
        </w:rPr>
        <w:t>.</w:t>
      </w:r>
      <w:r w:rsidR="00CB58F9" w:rsidRPr="00C83CC2">
        <w:rPr>
          <w:rFonts w:ascii="Arial" w:hAnsi="Arial" w:cs="Arial"/>
          <w:sz w:val="24"/>
          <w:szCs w:val="24"/>
        </w:rPr>
        <w:t xml:space="preserve"> </w:t>
      </w:r>
      <w:r w:rsidR="005379C5" w:rsidRPr="00C83CC2">
        <w:rPr>
          <w:rFonts w:ascii="Arial" w:hAnsi="Arial" w:cs="Arial"/>
          <w:sz w:val="24"/>
          <w:szCs w:val="24"/>
        </w:rPr>
        <w:t xml:space="preserve">Deverão ser objeto de inscrição </w:t>
      </w:r>
      <w:r w:rsidR="00FF524F" w:rsidRPr="00C83CC2">
        <w:rPr>
          <w:rFonts w:ascii="Arial" w:hAnsi="Arial" w:cs="Arial"/>
          <w:sz w:val="24"/>
          <w:szCs w:val="24"/>
        </w:rPr>
        <w:t xml:space="preserve">no </w:t>
      </w:r>
      <w:r w:rsidR="005379C5" w:rsidRPr="00C83CC2">
        <w:rPr>
          <w:rFonts w:ascii="Arial" w:hAnsi="Arial" w:cs="Arial"/>
          <w:sz w:val="24"/>
          <w:szCs w:val="24"/>
        </w:rPr>
        <w:t xml:space="preserve">Balanço </w:t>
      </w:r>
      <w:r w:rsidR="00FF524F" w:rsidRPr="00C83CC2">
        <w:rPr>
          <w:rFonts w:ascii="Arial" w:hAnsi="Arial" w:cs="Arial"/>
          <w:sz w:val="24"/>
          <w:szCs w:val="24"/>
        </w:rPr>
        <w:t>Patrimonial</w:t>
      </w:r>
      <w:r w:rsidR="005379C5" w:rsidRPr="00C83CC2">
        <w:rPr>
          <w:rFonts w:ascii="Arial" w:hAnsi="Arial" w:cs="Arial"/>
          <w:sz w:val="24"/>
          <w:szCs w:val="24"/>
        </w:rPr>
        <w:t xml:space="preserve">, </w:t>
      </w:r>
      <w:r w:rsidR="00FF524F" w:rsidRPr="00C83CC2">
        <w:rPr>
          <w:rFonts w:ascii="Arial" w:hAnsi="Arial" w:cs="Arial"/>
          <w:sz w:val="24"/>
          <w:szCs w:val="24"/>
        </w:rPr>
        <w:t>s</w:t>
      </w:r>
      <w:r w:rsidR="005379C5" w:rsidRPr="00C83CC2">
        <w:rPr>
          <w:rFonts w:ascii="Arial" w:hAnsi="Arial" w:cs="Arial"/>
          <w:sz w:val="24"/>
          <w:szCs w:val="24"/>
        </w:rPr>
        <w:t xml:space="preserve">ob a responsabilidade dos Ordenadores respectivos, as </w:t>
      </w:r>
      <w:r w:rsidR="00FF524F" w:rsidRPr="00C83CC2">
        <w:rPr>
          <w:rFonts w:ascii="Arial" w:hAnsi="Arial" w:cs="Arial"/>
          <w:sz w:val="24"/>
          <w:szCs w:val="24"/>
        </w:rPr>
        <w:t xml:space="preserve">variações decorrentes de </w:t>
      </w:r>
      <w:r w:rsidR="005379C5" w:rsidRPr="00C83CC2">
        <w:rPr>
          <w:rFonts w:ascii="Arial" w:hAnsi="Arial" w:cs="Arial"/>
          <w:sz w:val="24"/>
          <w:szCs w:val="24"/>
        </w:rPr>
        <w:t xml:space="preserve">despesas </w:t>
      </w:r>
      <w:r w:rsidR="00FF524F" w:rsidRPr="00C83CC2">
        <w:rPr>
          <w:rFonts w:ascii="Arial" w:hAnsi="Arial" w:cs="Arial"/>
          <w:sz w:val="24"/>
          <w:szCs w:val="24"/>
        </w:rPr>
        <w:t xml:space="preserve">liquidadas de competência do orçamento do exercício, </w:t>
      </w:r>
      <w:r w:rsidR="005379C5" w:rsidRPr="00C83CC2">
        <w:rPr>
          <w:rFonts w:ascii="Arial" w:hAnsi="Arial" w:cs="Arial"/>
          <w:sz w:val="24"/>
          <w:szCs w:val="24"/>
        </w:rPr>
        <w:t>deixadas de empenhar.</w:t>
      </w:r>
    </w:p>
    <w:p w14:paraId="623DD213" w14:textId="267E94D7" w:rsidR="00CB58F9" w:rsidRPr="00C83CC2" w:rsidRDefault="000F7E19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>§ 1º</w:t>
      </w:r>
      <w:r w:rsidR="007E394C" w:rsidRPr="00C83CC2">
        <w:rPr>
          <w:rFonts w:ascii="Arial" w:hAnsi="Arial" w:cs="Arial"/>
          <w:sz w:val="24"/>
          <w:szCs w:val="24"/>
        </w:rPr>
        <w:t xml:space="preserve"> Para efeito do disposto neste artigo</w:t>
      </w:r>
      <w:r w:rsidR="00B2604E" w:rsidRPr="00C83CC2">
        <w:rPr>
          <w:rFonts w:ascii="Arial" w:hAnsi="Arial" w:cs="Arial"/>
          <w:sz w:val="24"/>
          <w:szCs w:val="24"/>
        </w:rPr>
        <w:t>,</w:t>
      </w:r>
      <w:r w:rsidR="007E394C" w:rsidRPr="00C83CC2">
        <w:rPr>
          <w:rFonts w:ascii="Arial" w:hAnsi="Arial" w:cs="Arial"/>
          <w:sz w:val="24"/>
          <w:szCs w:val="24"/>
        </w:rPr>
        <w:t xml:space="preserve"> a</w:t>
      </w:r>
      <w:r w:rsidR="00AE0715" w:rsidRPr="00C83CC2">
        <w:rPr>
          <w:rFonts w:ascii="Arial" w:hAnsi="Arial" w:cs="Arial"/>
          <w:sz w:val="24"/>
          <w:szCs w:val="24"/>
        </w:rPr>
        <w:t xml:space="preserve"> obrigatoriedade de</w:t>
      </w:r>
      <w:r w:rsidR="00FF524F" w:rsidRPr="00C83CC2">
        <w:rPr>
          <w:rFonts w:ascii="Arial" w:hAnsi="Arial" w:cs="Arial"/>
          <w:sz w:val="24"/>
          <w:szCs w:val="24"/>
        </w:rPr>
        <w:t xml:space="preserve"> inscrição independe d</w:t>
      </w:r>
      <w:r w:rsidR="007E394C" w:rsidRPr="00C83CC2">
        <w:rPr>
          <w:rFonts w:ascii="Arial" w:hAnsi="Arial" w:cs="Arial"/>
          <w:sz w:val="24"/>
          <w:szCs w:val="24"/>
        </w:rPr>
        <w:t xml:space="preserve">e a obrigação </w:t>
      </w:r>
      <w:r w:rsidR="00FF524F" w:rsidRPr="00C83CC2">
        <w:rPr>
          <w:rFonts w:ascii="Arial" w:hAnsi="Arial" w:cs="Arial"/>
          <w:sz w:val="24"/>
          <w:szCs w:val="24"/>
        </w:rPr>
        <w:t>ter sido</w:t>
      </w:r>
      <w:r w:rsidR="007E394C" w:rsidRPr="00C83CC2">
        <w:rPr>
          <w:rFonts w:ascii="Arial" w:hAnsi="Arial" w:cs="Arial"/>
          <w:sz w:val="24"/>
          <w:szCs w:val="24"/>
        </w:rPr>
        <w:t xml:space="preserve"> deixada de empenhar por simples omissão ou por indisponibi</w:t>
      </w:r>
      <w:r w:rsidR="00AE0715" w:rsidRPr="00C83CC2">
        <w:rPr>
          <w:rFonts w:ascii="Arial" w:hAnsi="Arial" w:cs="Arial"/>
          <w:sz w:val="24"/>
          <w:szCs w:val="24"/>
        </w:rPr>
        <w:t>lidade de dotação orçamentária.</w:t>
      </w:r>
    </w:p>
    <w:p w14:paraId="3B32BBCC" w14:textId="4F552E80" w:rsidR="001743D2" w:rsidRPr="00C83CC2" w:rsidRDefault="000F7E19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2º </w:t>
      </w:r>
      <w:r w:rsidR="00CA0339" w:rsidRPr="00C83CC2">
        <w:rPr>
          <w:rFonts w:ascii="Arial" w:hAnsi="Arial" w:cs="Arial"/>
          <w:sz w:val="24"/>
          <w:szCs w:val="24"/>
        </w:rPr>
        <w:t xml:space="preserve">A </w:t>
      </w:r>
      <w:r w:rsidRPr="00C83CC2">
        <w:rPr>
          <w:rFonts w:ascii="Arial" w:hAnsi="Arial" w:cs="Arial"/>
          <w:sz w:val="24"/>
          <w:szCs w:val="24"/>
        </w:rPr>
        <w:t xml:space="preserve">alocação </w:t>
      </w:r>
      <w:r w:rsidR="00FF524F" w:rsidRPr="00C83CC2">
        <w:rPr>
          <w:rFonts w:ascii="Arial" w:hAnsi="Arial" w:cs="Arial"/>
          <w:sz w:val="24"/>
          <w:szCs w:val="24"/>
        </w:rPr>
        <w:t>no orçamento de 2009</w:t>
      </w:r>
      <w:r w:rsidR="00CA0339" w:rsidRPr="00C83CC2">
        <w:rPr>
          <w:rFonts w:ascii="Arial" w:hAnsi="Arial" w:cs="Arial"/>
          <w:sz w:val="24"/>
          <w:szCs w:val="24"/>
        </w:rPr>
        <w:t xml:space="preserve">, </w:t>
      </w:r>
      <w:r w:rsidRPr="00C83CC2">
        <w:rPr>
          <w:rFonts w:ascii="Arial" w:hAnsi="Arial" w:cs="Arial"/>
          <w:sz w:val="24"/>
          <w:szCs w:val="24"/>
        </w:rPr>
        <w:t>das despesas deixadas d</w:t>
      </w:r>
      <w:r w:rsidR="00FF524F" w:rsidRPr="00C83CC2">
        <w:rPr>
          <w:rFonts w:ascii="Arial" w:hAnsi="Arial" w:cs="Arial"/>
          <w:sz w:val="24"/>
          <w:szCs w:val="24"/>
        </w:rPr>
        <w:t>e empenhar em 2008</w:t>
      </w:r>
      <w:r w:rsidR="00CA0339" w:rsidRPr="00C83CC2">
        <w:rPr>
          <w:rFonts w:ascii="Arial" w:hAnsi="Arial" w:cs="Arial"/>
          <w:sz w:val="24"/>
          <w:szCs w:val="24"/>
        </w:rPr>
        <w:t>,</w:t>
      </w:r>
      <w:r w:rsidRPr="00C83CC2">
        <w:rPr>
          <w:rFonts w:ascii="Arial" w:hAnsi="Arial" w:cs="Arial"/>
          <w:sz w:val="24"/>
          <w:szCs w:val="24"/>
        </w:rPr>
        <w:t xml:space="preserve"> será efetuada em atividade </w:t>
      </w:r>
      <w:r w:rsidR="00BB3BCD" w:rsidRPr="00C83CC2">
        <w:rPr>
          <w:rFonts w:ascii="Arial" w:hAnsi="Arial" w:cs="Arial"/>
          <w:sz w:val="24"/>
          <w:szCs w:val="24"/>
        </w:rPr>
        <w:t>própria</w:t>
      </w:r>
      <w:r w:rsidRPr="00C83CC2">
        <w:rPr>
          <w:rFonts w:ascii="Arial" w:hAnsi="Arial" w:cs="Arial"/>
          <w:sz w:val="24"/>
          <w:szCs w:val="24"/>
        </w:rPr>
        <w:t xml:space="preserve">, </w:t>
      </w:r>
      <w:r w:rsidR="009567B5" w:rsidRPr="00C83CC2">
        <w:rPr>
          <w:rFonts w:ascii="Arial" w:hAnsi="Arial" w:cs="Arial"/>
          <w:sz w:val="24"/>
          <w:szCs w:val="24"/>
        </w:rPr>
        <w:t>agregada</w:t>
      </w:r>
      <w:r w:rsidR="00BB3BCD" w:rsidRPr="00C83CC2">
        <w:rPr>
          <w:rFonts w:ascii="Arial" w:hAnsi="Arial" w:cs="Arial"/>
          <w:sz w:val="24"/>
          <w:szCs w:val="24"/>
        </w:rPr>
        <w:t xml:space="preserve"> </w:t>
      </w:r>
      <w:r w:rsidR="009567B5" w:rsidRPr="00C83CC2">
        <w:rPr>
          <w:rFonts w:ascii="Arial" w:hAnsi="Arial" w:cs="Arial"/>
          <w:sz w:val="24"/>
          <w:szCs w:val="24"/>
        </w:rPr>
        <w:t>n</w:t>
      </w:r>
      <w:r w:rsidR="00BB3BCD" w:rsidRPr="00C83CC2">
        <w:rPr>
          <w:rFonts w:ascii="Arial" w:hAnsi="Arial" w:cs="Arial"/>
          <w:sz w:val="24"/>
          <w:szCs w:val="24"/>
        </w:rPr>
        <w:t xml:space="preserve">a </w:t>
      </w:r>
      <w:r w:rsidR="00B2352E" w:rsidRPr="00C83CC2">
        <w:rPr>
          <w:rFonts w:ascii="Arial" w:hAnsi="Arial" w:cs="Arial"/>
          <w:sz w:val="24"/>
          <w:szCs w:val="24"/>
        </w:rPr>
        <w:t>função respectiva</w:t>
      </w:r>
      <w:r w:rsidR="009567B5" w:rsidRPr="00C83CC2">
        <w:rPr>
          <w:rFonts w:ascii="Arial" w:hAnsi="Arial" w:cs="Arial"/>
          <w:sz w:val="24"/>
          <w:szCs w:val="24"/>
        </w:rPr>
        <w:t xml:space="preserve">, </w:t>
      </w:r>
      <w:r w:rsidR="001743D2" w:rsidRPr="00C83CC2">
        <w:rPr>
          <w:rFonts w:ascii="Arial" w:hAnsi="Arial" w:cs="Arial"/>
          <w:sz w:val="24"/>
          <w:szCs w:val="24"/>
        </w:rPr>
        <w:t>atendendo-se às seguintes condições:</w:t>
      </w:r>
    </w:p>
    <w:p w14:paraId="5DB7853A" w14:textId="77777777" w:rsidR="000F7E19" w:rsidRPr="00C83CC2" w:rsidRDefault="00620720" w:rsidP="005C016B">
      <w:pPr>
        <w:numPr>
          <w:ilvl w:val="0"/>
          <w:numId w:val="33"/>
        </w:numPr>
        <w:tabs>
          <w:tab w:val="clear" w:pos="735"/>
          <w:tab w:val="num" w:pos="113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lastRenderedPageBreak/>
        <w:t xml:space="preserve">A atividade </w:t>
      </w:r>
      <w:r w:rsidR="001743D2" w:rsidRPr="00C83CC2">
        <w:rPr>
          <w:rFonts w:ascii="Arial" w:hAnsi="Arial" w:cs="Arial"/>
          <w:sz w:val="24"/>
          <w:szCs w:val="24"/>
        </w:rPr>
        <w:t xml:space="preserve">será </w:t>
      </w:r>
      <w:r w:rsidR="00AD309F" w:rsidRPr="00C83CC2">
        <w:rPr>
          <w:rFonts w:ascii="Arial" w:hAnsi="Arial" w:cs="Arial"/>
          <w:sz w:val="24"/>
          <w:szCs w:val="24"/>
        </w:rPr>
        <w:t>incluída</w:t>
      </w:r>
      <w:r w:rsidR="000F7E19" w:rsidRPr="00C83CC2">
        <w:rPr>
          <w:rFonts w:ascii="Arial" w:hAnsi="Arial" w:cs="Arial"/>
          <w:sz w:val="24"/>
          <w:szCs w:val="24"/>
        </w:rPr>
        <w:t xml:space="preserve"> mediante crédito </w:t>
      </w:r>
      <w:r w:rsidR="00AD309F" w:rsidRPr="00C83CC2">
        <w:rPr>
          <w:rFonts w:ascii="Arial" w:hAnsi="Arial" w:cs="Arial"/>
          <w:sz w:val="24"/>
          <w:szCs w:val="24"/>
        </w:rPr>
        <w:t xml:space="preserve">orçamentário </w:t>
      </w:r>
      <w:r w:rsidR="00FF524F" w:rsidRPr="00C83CC2">
        <w:rPr>
          <w:rFonts w:ascii="Arial" w:hAnsi="Arial" w:cs="Arial"/>
          <w:sz w:val="24"/>
          <w:szCs w:val="24"/>
        </w:rPr>
        <w:t>próprio</w:t>
      </w:r>
      <w:r w:rsidR="000F7E19" w:rsidRPr="00C83CC2">
        <w:rPr>
          <w:rFonts w:ascii="Arial" w:hAnsi="Arial" w:cs="Arial"/>
          <w:sz w:val="24"/>
          <w:szCs w:val="24"/>
        </w:rPr>
        <w:t xml:space="preserve">, devendo </w:t>
      </w:r>
      <w:r w:rsidR="007E00CA" w:rsidRPr="00C83CC2">
        <w:rPr>
          <w:rFonts w:ascii="Arial" w:hAnsi="Arial" w:cs="Arial"/>
          <w:sz w:val="24"/>
          <w:szCs w:val="24"/>
        </w:rPr>
        <w:t xml:space="preserve">ser identificada </w:t>
      </w:r>
      <w:r w:rsidR="00FF524F" w:rsidRPr="00C83CC2">
        <w:rPr>
          <w:rFonts w:ascii="Arial" w:hAnsi="Arial" w:cs="Arial"/>
          <w:sz w:val="24"/>
          <w:szCs w:val="24"/>
        </w:rPr>
        <w:t>pelo título</w:t>
      </w:r>
      <w:r w:rsidR="000F7E19" w:rsidRPr="00C83CC2">
        <w:rPr>
          <w:rFonts w:ascii="Arial" w:hAnsi="Arial" w:cs="Arial"/>
          <w:sz w:val="24"/>
          <w:szCs w:val="24"/>
        </w:rPr>
        <w:t xml:space="preserve"> “Despesas da Gestão Anterior”.</w:t>
      </w:r>
    </w:p>
    <w:p w14:paraId="73A475D8" w14:textId="77777777" w:rsidR="009E6306" w:rsidRPr="00C83CC2" w:rsidRDefault="00620720" w:rsidP="005C016B">
      <w:pPr>
        <w:numPr>
          <w:ilvl w:val="0"/>
          <w:numId w:val="33"/>
        </w:numPr>
        <w:tabs>
          <w:tab w:val="clear" w:pos="735"/>
          <w:tab w:val="num" w:pos="113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>A</w:t>
      </w:r>
      <w:r w:rsidR="00DA0BEB" w:rsidRPr="00C83CC2">
        <w:rPr>
          <w:rFonts w:ascii="Arial" w:hAnsi="Arial" w:cs="Arial"/>
          <w:sz w:val="24"/>
          <w:szCs w:val="24"/>
        </w:rPr>
        <w:t xml:space="preserve"> despesa deverá ser registrada no elemento sintético de </w:t>
      </w:r>
      <w:r w:rsidR="005D7615" w:rsidRPr="00C83CC2">
        <w:rPr>
          <w:rFonts w:ascii="Arial" w:hAnsi="Arial" w:cs="Arial"/>
          <w:sz w:val="24"/>
          <w:szCs w:val="24"/>
        </w:rPr>
        <w:t>D</w:t>
      </w:r>
      <w:r w:rsidR="00DA0BEB" w:rsidRPr="00C83CC2">
        <w:rPr>
          <w:rFonts w:ascii="Arial" w:hAnsi="Arial" w:cs="Arial"/>
          <w:sz w:val="24"/>
          <w:szCs w:val="24"/>
        </w:rPr>
        <w:t xml:space="preserve">espesas de </w:t>
      </w:r>
      <w:r w:rsidR="005D7615" w:rsidRPr="00C83CC2">
        <w:rPr>
          <w:rFonts w:ascii="Arial" w:hAnsi="Arial" w:cs="Arial"/>
          <w:sz w:val="24"/>
          <w:szCs w:val="24"/>
        </w:rPr>
        <w:t>E</w:t>
      </w:r>
      <w:r w:rsidR="00DA0BEB" w:rsidRPr="00C83CC2">
        <w:rPr>
          <w:rFonts w:ascii="Arial" w:hAnsi="Arial" w:cs="Arial"/>
          <w:sz w:val="24"/>
          <w:szCs w:val="24"/>
        </w:rPr>
        <w:t xml:space="preserve">xercícios </w:t>
      </w:r>
      <w:r w:rsidR="005D7615" w:rsidRPr="00C83CC2">
        <w:rPr>
          <w:rFonts w:ascii="Arial" w:hAnsi="Arial" w:cs="Arial"/>
          <w:sz w:val="24"/>
          <w:szCs w:val="24"/>
        </w:rPr>
        <w:t>A</w:t>
      </w:r>
      <w:r w:rsidR="00DA0BEB" w:rsidRPr="00C83CC2">
        <w:rPr>
          <w:rFonts w:ascii="Arial" w:hAnsi="Arial" w:cs="Arial"/>
          <w:sz w:val="24"/>
          <w:szCs w:val="24"/>
        </w:rPr>
        <w:t xml:space="preserve">nteriores, </w:t>
      </w:r>
      <w:r w:rsidR="005D7615" w:rsidRPr="00C83CC2">
        <w:rPr>
          <w:rFonts w:ascii="Arial" w:hAnsi="Arial" w:cs="Arial"/>
          <w:sz w:val="24"/>
          <w:szCs w:val="24"/>
        </w:rPr>
        <w:t>acrescida</w:t>
      </w:r>
      <w:r w:rsidR="00F56C9E" w:rsidRPr="00C83CC2">
        <w:rPr>
          <w:rFonts w:ascii="Arial" w:hAnsi="Arial" w:cs="Arial"/>
          <w:sz w:val="24"/>
          <w:szCs w:val="24"/>
        </w:rPr>
        <w:t>,</w:t>
      </w:r>
      <w:r w:rsidR="00DA0BEB" w:rsidRPr="00C83CC2">
        <w:rPr>
          <w:rFonts w:ascii="Arial" w:hAnsi="Arial" w:cs="Arial"/>
          <w:sz w:val="24"/>
          <w:szCs w:val="24"/>
        </w:rPr>
        <w:t xml:space="preserve"> </w:t>
      </w:r>
      <w:r w:rsidR="005D7615" w:rsidRPr="00C83CC2">
        <w:rPr>
          <w:rFonts w:ascii="Arial" w:hAnsi="Arial" w:cs="Arial"/>
          <w:sz w:val="24"/>
          <w:szCs w:val="24"/>
        </w:rPr>
        <w:t xml:space="preserve">no </w:t>
      </w:r>
      <w:r w:rsidR="00DA0BEB" w:rsidRPr="00C83CC2">
        <w:rPr>
          <w:rFonts w:ascii="Arial" w:hAnsi="Arial" w:cs="Arial"/>
          <w:sz w:val="24"/>
          <w:szCs w:val="24"/>
        </w:rPr>
        <w:t>nível analítico</w:t>
      </w:r>
      <w:r w:rsidR="00F56C9E" w:rsidRPr="00C83CC2">
        <w:rPr>
          <w:rFonts w:ascii="Arial" w:hAnsi="Arial" w:cs="Arial"/>
          <w:sz w:val="24"/>
          <w:szCs w:val="24"/>
        </w:rPr>
        <w:t>,</w:t>
      </w:r>
      <w:r w:rsidR="00DA0BEB" w:rsidRPr="00C83CC2">
        <w:rPr>
          <w:rFonts w:ascii="Arial" w:hAnsi="Arial" w:cs="Arial"/>
          <w:sz w:val="24"/>
          <w:szCs w:val="24"/>
        </w:rPr>
        <w:t xml:space="preserve"> </w:t>
      </w:r>
      <w:r w:rsidR="005D7615" w:rsidRPr="00C83CC2">
        <w:rPr>
          <w:rFonts w:ascii="Arial" w:hAnsi="Arial" w:cs="Arial"/>
          <w:sz w:val="24"/>
          <w:szCs w:val="24"/>
        </w:rPr>
        <w:t>d</w:t>
      </w:r>
      <w:r w:rsidR="00DA0BEB" w:rsidRPr="00C83CC2">
        <w:rPr>
          <w:rFonts w:ascii="Arial" w:hAnsi="Arial" w:cs="Arial"/>
          <w:sz w:val="24"/>
          <w:szCs w:val="24"/>
        </w:rPr>
        <w:t>o desdobramento correspondente ao elemento pertinente ao objeto do gasto, nos termos do art</w:t>
      </w:r>
      <w:r w:rsidR="00BB3BCD" w:rsidRPr="00C83CC2">
        <w:rPr>
          <w:rFonts w:ascii="Arial" w:hAnsi="Arial" w:cs="Arial"/>
          <w:sz w:val="24"/>
          <w:szCs w:val="24"/>
        </w:rPr>
        <w:t>.</w:t>
      </w:r>
      <w:r w:rsidR="00DA0BEB" w:rsidRPr="00C83CC2">
        <w:rPr>
          <w:rFonts w:ascii="Arial" w:hAnsi="Arial" w:cs="Arial"/>
          <w:sz w:val="24"/>
          <w:szCs w:val="24"/>
        </w:rPr>
        <w:t xml:space="preserve"> 37</w:t>
      </w:r>
      <w:r w:rsidR="00FF524F" w:rsidRPr="00C83CC2">
        <w:rPr>
          <w:rFonts w:ascii="Arial" w:hAnsi="Arial" w:cs="Arial"/>
          <w:sz w:val="24"/>
          <w:szCs w:val="24"/>
        </w:rPr>
        <w:t>,</w:t>
      </w:r>
      <w:r w:rsidR="00DA0BEB" w:rsidRPr="00C83CC2">
        <w:rPr>
          <w:rFonts w:ascii="Arial" w:hAnsi="Arial" w:cs="Arial"/>
          <w:sz w:val="24"/>
          <w:szCs w:val="24"/>
        </w:rPr>
        <w:t xml:space="preserve"> da Lei nº 4.320/64</w:t>
      </w:r>
      <w:r w:rsidR="009E6306" w:rsidRPr="00C83CC2">
        <w:rPr>
          <w:rFonts w:ascii="Arial" w:hAnsi="Arial" w:cs="Arial"/>
          <w:sz w:val="24"/>
          <w:szCs w:val="24"/>
        </w:rPr>
        <w:t>.</w:t>
      </w:r>
    </w:p>
    <w:p w14:paraId="38FC90E3" w14:textId="30C77BD8" w:rsidR="001743D2" w:rsidRPr="00C83CC2" w:rsidRDefault="00DA0BEB" w:rsidP="005C016B">
      <w:pPr>
        <w:numPr>
          <w:ilvl w:val="0"/>
          <w:numId w:val="33"/>
        </w:numPr>
        <w:tabs>
          <w:tab w:val="clear" w:pos="735"/>
          <w:tab w:val="num" w:pos="1134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 </w:t>
      </w:r>
      <w:r w:rsidR="00537684" w:rsidRPr="00C83CC2">
        <w:rPr>
          <w:rFonts w:ascii="Arial" w:hAnsi="Arial" w:cs="Arial"/>
          <w:sz w:val="24"/>
          <w:szCs w:val="24"/>
        </w:rPr>
        <w:t xml:space="preserve">Conforme </w:t>
      </w:r>
      <w:r w:rsidR="009E6306" w:rsidRPr="00C83CC2">
        <w:rPr>
          <w:rFonts w:ascii="Arial" w:hAnsi="Arial" w:cs="Arial"/>
          <w:sz w:val="24"/>
          <w:szCs w:val="24"/>
        </w:rPr>
        <w:t>descrit</w:t>
      </w:r>
      <w:r w:rsidR="00537684" w:rsidRPr="00C83CC2">
        <w:rPr>
          <w:rFonts w:ascii="Arial" w:hAnsi="Arial" w:cs="Arial"/>
          <w:sz w:val="24"/>
          <w:szCs w:val="24"/>
        </w:rPr>
        <w:t>o</w:t>
      </w:r>
      <w:r w:rsidR="009E6306" w:rsidRPr="00C83CC2">
        <w:rPr>
          <w:rFonts w:ascii="Arial" w:hAnsi="Arial" w:cs="Arial"/>
          <w:sz w:val="24"/>
          <w:szCs w:val="24"/>
        </w:rPr>
        <w:t xml:space="preserve"> na alínea anterior</w:t>
      </w:r>
      <w:r w:rsidR="00537684" w:rsidRPr="00C83CC2">
        <w:rPr>
          <w:rFonts w:ascii="Arial" w:hAnsi="Arial" w:cs="Arial"/>
          <w:sz w:val="24"/>
          <w:szCs w:val="24"/>
        </w:rPr>
        <w:t>, a conta</w:t>
      </w:r>
      <w:r w:rsidR="009E6306" w:rsidRPr="00C83CC2">
        <w:rPr>
          <w:rFonts w:ascii="Arial" w:hAnsi="Arial" w:cs="Arial"/>
          <w:sz w:val="24"/>
          <w:szCs w:val="24"/>
        </w:rPr>
        <w:t xml:space="preserve"> resultará </w:t>
      </w:r>
      <w:r w:rsidR="005D7615" w:rsidRPr="00C83CC2">
        <w:rPr>
          <w:rFonts w:ascii="Arial" w:hAnsi="Arial" w:cs="Arial"/>
          <w:sz w:val="24"/>
          <w:szCs w:val="24"/>
        </w:rPr>
        <w:t>na seguinte representação gráfica: código cg</w:t>
      </w:r>
      <w:r w:rsidR="00537684" w:rsidRPr="00C83CC2">
        <w:rPr>
          <w:rFonts w:ascii="Arial" w:hAnsi="Arial" w:cs="Arial"/>
          <w:sz w:val="24"/>
          <w:szCs w:val="24"/>
        </w:rPr>
        <w:t>mm</w:t>
      </w:r>
      <w:r w:rsidR="005D7615" w:rsidRPr="00C83CC2">
        <w:rPr>
          <w:rFonts w:ascii="Arial" w:hAnsi="Arial" w:cs="Arial"/>
          <w:sz w:val="24"/>
          <w:szCs w:val="24"/>
        </w:rPr>
        <w:t>.92.dd, em</w:t>
      </w:r>
      <w:r w:rsidR="00620720" w:rsidRPr="00C83CC2">
        <w:rPr>
          <w:rFonts w:ascii="Arial" w:hAnsi="Arial" w:cs="Arial"/>
          <w:sz w:val="24"/>
          <w:szCs w:val="24"/>
        </w:rPr>
        <w:t xml:space="preserve"> </w:t>
      </w:r>
      <w:r w:rsidRPr="00C83CC2">
        <w:rPr>
          <w:rFonts w:ascii="Arial" w:hAnsi="Arial" w:cs="Arial"/>
          <w:sz w:val="24"/>
          <w:szCs w:val="24"/>
        </w:rPr>
        <w:t>que “</w:t>
      </w:r>
      <w:r w:rsidR="005D7615" w:rsidRPr="00C83CC2">
        <w:rPr>
          <w:rFonts w:ascii="Arial" w:hAnsi="Arial" w:cs="Arial"/>
          <w:sz w:val="24"/>
          <w:szCs w:val="24"/>
        </w:rPr>
        <w:t>c</w:t>
      </w:r>
      <w:r w:rsidRPr="00C83CC2">
        <w:rPr>
          <w:rFonts w:ascii="Arial" w:hAnsi="Arial" w:cs="Arial"/>
          <w:sz w:val="24"/>
          <w:szCs w:val="24"/>
        </w:rPr>
        <w:t>” representa a Categoria Econômica</w:t>
      </w:r>
      <w:r w:rsidR="00537684" w:rsidRPr="00C83CC2">
        <w:rPr>
          <w:rFonts w:ascii="Arial" w:hAnsi="Arial" w:cs="Arial"/>
          <w:sz w:val="24"/>
          <w:szCs w:val="24"/>
        </w:rPr>
        <w:t>;</w:t>
      </w:r>
      <w:r w:rsidR="005D7615" w:rsidRPr="00C83CC2">
        <w:rPr>
          <w:rFonts w:ascii="Arial" w:hAnsi="Arial" w:cs="Arial"/>
          <w:sz w:val="24"/>
          <w:szCs w:val="24"/>
        </w:rPr>
        <w:t xml:space="preserve"> “g</w:t>
      </w:r>
      <w:r w:rsidRPr="00C83CC2">
        <w:rPr>
          <w:rFonts w:ascii="Arial" w:hAnsi="Arial" w:cs="Arial"/>
          <w:sz w:val="24"/>
          <w:szCs w:val="24"/>
        </w:rPr>
        <w:t>”</w:t>
      </w:r>
      <w:r w:rsidR="005D7615" w:rsidRPr="00C83CC2">
        <w:rPr>
          <w:rFonts w:ascii="Arial" w:hAnsi="Arial" w:cs="Arial"/>
          <w:sz w:val="24"/>
          <w:szCs w:val="24"/>
        </w:rPr>
        <w:t xml:space="preserve"> o Grupo de Natureza da Despesa</w:t>
      </w:r>
      <w:r w:rsidR="00537684" w:rsidRPr="00C83CC2">
        <w:rPr>
          <w:rFonts w:ascii="Arial" w:hAnsi="Arial" w:cs="Arial"/>
          <w:sz w:val="24"/>
          <w:szCs w:val="24"/>
        </w:rPr>
        <w:t>; “mm”</w:t>
      </w:r>
      <w:r w:rsidR="00F56C9E" w:rsidRPr="00C83CC2">
        <w:rPr>
          <w:rFonts w:ascii="Arial" w:hAnsi="Arial" w:cs="Arial"/>
          <w:sz w:val="24"/>
          <w:szCs w:val="24"/>
        </w:rPr>
        <w:t xml:space="preserve"> os</w:t>
      </w:r>
      <w:r w:rsidR="00537684" w:rsidRPr="00C83CC2">
        <w:rPr>
          <w:rFonts w:ascii="Arial" w:hAnsi="Arial" w:cs="Arial"/>
          <w:sz w:val="24"/>
          <w:szCs w:val="24"/>
        </w:rPr>
        <w:t xml:space="preserve"> dígitos da modalidade de aplicação</w:t>
      </w:r>
      <w:r w:rsidR="005D7615" w:rsidRPr="00C83CC2">
        <w:rPr>
          <w:rFonts w:ascii="Arial" w:hAnsi="Arial" w:cs="Arial"/>
          <w:sz w:val="24"/>
          <w:szCs w:val="24"/>
        </w:rPr>
        <w:t xml:space="preserve"> e “</w:t>
      </w:r>
      <w:proofErr w:type="spellStart"/>
      <w:r w:rsidR="005D7615" w:rsidRPr="00C83CC2">
        <w:rPr>
          <w:rFonts w:ascii="Arial" w:hAnsi="Arial" w:cs="Arial"/>
          <w:sz w:val="24"/>
          <w:szCs w:val="24"/>
        </w:rPr>
        <w:t>dd</w:t>
      </w:r>
      <w:proofErr w:type="spellEnd"/>
      <w:r w:rsidR="005D7615" w:rsidRPr="00C83CC2">
        <w:rPr>
          <w:rFonts w:ascii="Arial" w:hAnsi="Arial" w:cs="Arial"/>
          <w:sz w:val="24"/>
          <w:szCs w:val="24"/>
        </w:rPr>
        <w:t>” o desdobramento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537684" w:rsidRPr="00C83CC2">
        <w:rPr>
          <w:rFonts w:ascii="Arial" w:hAnsi="Arial" w:cs="Arial"/>
          <w:sz w:val="24"/>
          <w:szCs w:val="24"/>
        </w:rPr>
        <w:t>representado pelo elemento objeto do gasto, em consonância com a Portaria STN nº 163/2001.</w:t>
      </w:r>
    </w:p>
    <w:p w14:paraId="12407413" w14:textId="6A9661C1" w:rsidR="00AE0715" w:rsidRPr="00C83CC2" w:rsidRDefault="005D3EF1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2352E">
        <w:rPr>
          <w:rFonts w:ascii="Arial" w:hAnsi="Arial" w:cs="Arial"/>
          <w:b/>
          <w:bCs/>
          <w:sz w:val="24"/>
          <w:szCs w:val="24"/>
        </w:rPr>
        <w:t>Art</w:t>
      </w:r>
      <w:r w:rsidR="0070153D" w:rsidRPr="00B2352E">
        <w:rPr>
          <w:rFonts w:ascii="Arial" w:hAnsi="Arial" w:cs="Arial"/>
          <w:b/>
          <w:bCs/>
          <w:sz w:val="24"/>
          <w:szCs w:val="24"/>
        </w:rPr>
        <w:t>.</w:t>
      </w:r>
      <w:r w:rsidRPr="00B2352E">
        <w:rPr>
          <w:rFonts w:ascii="Arial" w:hAnsi="Arial" w:cs="Arial"/>
          <w:b/>
          <w:bCs/>
          <w:sz w:val="24"/>
          <w:szCs w:val="24"/>
        </w:rPr>
        <w:t xml:space="preserve"> </w:t>
      </w:r>
      <w:r w:rsidR="0070153D" w:rsidRPr="00B2352E">
        <w:rPr>
          <w:rFonts w:ascii="Arial" w:hAnsi="Arial" w:cs="Arial"/>
          <w:b/>
          <w:bCs/>
          <w:sz w:val="24"/>
          <w:szCs w:val="24"/>
        </w:rPr>
        <w:t>13</w:t>
      </w:r>
      <w:r w:rsidR="00B2352E" w:rsidRPr="00B2352E">
        <w:rPr>
          <w:rFonts w:ascii="Arial" w:hAnsi="Arial" w:cs="Arial"/>
          <w:b/>
          <w:bCs/>
          <w:sz w:val="24"/>
          <w:szCs w:val="24"/>
        </w:rPr>
        <w:t>.</w:t>
      </w:r>
      <w:r w:rsidR="00AE0715" w:rsidRPr="00C83CC2">
        <w:rPr>
          <w:rFonts w:ascii="Arial" w:hAnsi="Arial" w:cs="Arial"/>
          <w:sz w:val="24"/>
          <w:szCs w:val="24"/>
        </w:rPr>
        <w:t xml:space="preserve"> Verificando-se a deliberada omissão de empenhos de despesas de caráter obrigatório, deverão as atuais administrações procederem à devida notificação dos ex-Ordenadores </w:t>
      </w:r>
      <w:r w:rsidR="00045B67" w:rsidRPr="00C83CC2">
        <w:rPr>
          <w:rFonts w:ascii="Arial" w:hAnsi="Arial" w:cs="Arial"/>
          <w:sz w:val="24"/>
          <w:szCs w:val="24"/>
        </w:rPr>
        <w:t xml:space="preserve">da situação constatada </w:t>
      </w:r>
      <w:r w:rsidR="00AE0715" w:rsidRPr="00C83CC2">
        <w:rPr>
          <w:rFonts w:ascii="Arial" w:hAnsi="Arial" w:cs="Arial"/>
          <w:sz w:val="24"/>
          <w:szCs w:val="24"/>
        </w:rPr>
        <w:t>e efetivarem os empenhos ainda no orçamento de 200</w:t>
      </w:r>
      <w:r w:rsidR="00FF524F" w:rsidRPr="00C83CC2">
        <w:rPr>
          <w:rFonts w:ascii="Arial" w:hAnsi="Arial" w:cs="Arial"/>
          <w:sz w:val="24"/>
          <w:szCs w:val="24"/>
        </w:rPr>
        <w:t>8</w:t>
      </w:r>
      <w:r w:rsidR="00AE0715" w:rsidRPr="00C83CC2">
        <w:rPr>
          <w:rFonts w:ascii="Arial" w:hAnsi="Arial" w:cs="Arial"/>
          <w:sz w:val="24"/>
          <w:szCs w:val="24"/>
        </w:rPr>
        <w:t>.</w:t>
      </w:r>
    </w:p>
    <w:p w14:paraId="36801720" w14:textId="42E629D2" w:rsidR="00045B67" w:rsidRPr="00C83CC2" w:rsidRDefault="00B2604E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>§ 1º</w:t>
      </w:r>
      <w:r w:rsidR="00045B67" w:rsidRPr="00C83CC2">
        <w:rPr>
          <w:rFonts w:ascii="Arial" w:hAnsi="Arial" w:cs="Arial"/>
          <w:sz w:val="24"/>
          <w:szCs w:val="24"/>
        </w:rPr>
        <w:t xml:space="preserve"> Para efeito deste artigo, citam-</w:t>
      </w:r>
      <w:r w:rsidR="005D3EF1" w:rsidRPr="00C83CC2">
        <w:rPr>
          <w:rFonts w:ascii="Arial" w:hAnsi="Arial" w:cs="Arial"/>
          <w:sz w:val="24"/>
          <w:szCs w:val="24"/>
        </w:rPr>
        <w:t xml:space="preserve">se como de caráter obrigatório </w:t>
      </w:r>
      <w:r w:rsidR="00785206" w:rsidRPr="00C83CC2">
        <w:rPr>
          <w:rFonts w:ascii="Arial" w:hAnsi="Arial" w:cs="Arial"/>
          <w:sz w:val="24"/>
          <w:szCs w:val="24"/>
        </w:rPr>
        <w:t xml:space="preserve">as </w:t>
      </w:r>
      <w:r w:rsidR="00045B67" w:rsidRPr="00C83CC2">
        <w:rPr>
          <w:rFonts w:ascii="Arial" w:hAnsi="Arial" w:cs="Arial"/>
          <w:sz w:val="24"/>
          <w:szCs w:val="24"/>
        </w:rPr>
        <w:t xml:space="preserve">despesas </w:t>
      </w:r>
      <w:r w:rsidR="0095166E" w:rsidRPr="00C83CC2">
        <w:rPr>
          <w:rFonts w:ascii="Arial" w:hAnsi="Arial" w:cs="Arial"/>
          <w:sz w:val="24"/>
          <w:szCs w:val="24"/>
        </w:rPr>
        <w:t>efetivamente realizadas com</w:t>
      </w:r>
      <w:r w:rsidR="00045B67" w:rsidRPr="00C83CC2">
        <w:rPr>
          <w:rFonts w:ascii="Arial" w:hAnsi="Arial" w:cs="Arial"/>
          <w:sz w:val="24"/>
          <w:szCs w:val="24"/>
        </w:rPr>
        <w:t xml:space="preserve"> o consumo de energia elétrica, </w:t>
      </w:r>
      <w:r w:rsidR="00785206" w:rsidRPr="00C83CC2">
        <w:rPr>
          <w:rFonts w:ascii="Arial" w:hAnsi="Arial" w:cs="Arial"/>
          <w:sz w:val="24"/>
          <w:szCs w:val="24"/>
        </w:rPr>
        <w:t xml:space="preserve">de </w:t>
      </w:r>
      <w:r w:rsidR="00045B67" w:rsidRPr="00C83CC2">
        <w:rPr>
          <w:rFonts w:ascii="Arial" w:hAnsi="Arial" w:cs="Arial"/>
          <w:sz w:val="24"/>
          <w:szCs w:val="24"/>
        </w:rPr>
        <w:t>água e esgoto, de telecomunicações</w:t>
      </w:r>
      <w:r w:rsidR="00DE72C6" w:rsidRPr="00C83CC2">
        <w:rPr>
          <w:rFonts w:ascii="Arial" w:hAnsi="Arial" w:cs="Arial"/>
          <w:sz w:val="24"/>
          <w:szCs w:val="24"/>
        </w:rPr>
        <w:t>,</w:t>
      </w:r>
      <w:r w:rsidR="00045B67" w:rsidRPr="00C83CC2">
        <w:rPr>
          <w:rFonts w:ascii="Arial" w:hAnsi="Arial" w:cs="Arial"/>
          <w:sz w:val="24"/>
          <w:szCs w:val="24"/>
        </w:rPr>
        <w:t xml:space="preserve"> </w:t>
      </w:r>
      <w:r w:rsidR="00587C96" w:rsidRPr="00C83CC2">
        <w:rPr>
          <w:rFonts w:ascii="Arial" w:hAnsi="Arial" w:cs="Arial"/>
          <w:sz w:val="24"/>
          <w:szCs w:val="24"/>
        </w:rPr>
        <w:t>com amortizações de principal</w:t>
      </w:r>
      <w:r w:rsidR="00DE72C6" w:rsidRPr="00C83CC2">
        <w:rPr>
          <w:rFonts w:ascii="Arial" w:hAnsi="Arial" w:cs="Arial"/>
          <w:sz w:val="24"/>
          <w:szCs w:val="24"/>
        </w:rPr>
        <w:t xml:space="preserve"> e encargos de operações de crédito e</w:t>
      </w:r>
      <w:r w:rsidR="00045B67" w:rsidRPr="00C83CC2">
        <w:rPr>
          <w:rFonts w:ascii="Arial" w:hAnsi="Arial" w:cs="Arial"/>
          <w:sz w:val="24"/>
          <w:szCs w:val="24"/>
        </w:rPr>
        <w:t xml:space="preserve"> </w:t>
      </w:r>
      <w:r w:rsidR="00587C96" w:rsidRPr="00C83CC2">
        <w:rPr>
          <w:rFonts w:ascii="Arial" w:hAnsi="Arial" w:cs="Arial"/>
          <w:sz w:val="24"/>
          <w:szCs w:val="24"/>
        </w:rPr>
        <w:t>de</w:t>
      </w:r>
      <w:r w:rsidR="00045B67" w:rsidRPr="00C83CC2">
        <w:rPr>
          <w:rFonts w:ascii="Arial" w:hAnsi="Arial" w:cs="Arial"/>
          <w:sz w:val="24"/>
          <w:szCs w:val="24"/>
        </w:rPr>
        <w:t xml:space="preserve"> folha</w:t>
      </w:r>
      <w:r w:rsidRPr="00C83CC2">
        <w:rPr>
          <w:rFonts w:ascii="Arial" w:hAnsi="Arial" w:cs="Arial"/>
          <w:sz w:val="24"/>
          <w:szCs w:val="24"/>
        </w:rPr>
        <w:t>s</w:t>
      </w:r>
      <w:r w:rsidR="00045B67" w:rsidRPr="00C83CC2">
        <w:rPr>
          <w:rFonts w:ascii="Arial" w:hAnsi="Arial" w:cs="Arial"/>
          <w:sz w:val="24"/>
          <w:szCs w:val="24"/>
        </w:rPr>
        <w:t xml:space="preserve"> de pagamentos e </w:t>
      </w:r>
      <w:r w:rsidR="00DE72C6" w:rsidRPr="00C83CC2">
        <w:rPr>
          <w:rFonts w:ascii="Arial" w:hAnsi="Arial" w:cs="Arial"/>
          <w:sz w:val="24"/>
          <w:szCs w:val="24"/>
        </w:rPr>
        <w:t>respectivos encargos</w:t>
      </w:r>
      <w:r w:rsidR="0095166E" w:rsidRPr="00C83CC2">
        <w:rPr>
          <w:rFonts w:ascii="Arial" w:hAnsi="Arial" w:cs="Arial"/>
          <w:sz w:val="24"/>
          <w:szCs w:val="24"/>
        </w:rPr>
        <w:t>, vencidas</w:t>
      </w:r>
      <w:r w:rsidR="00587C96" w:rsidRPr="00C83CC2">
        <w:rPr>
          <w:rFonts w:ascii="Arial" w:hAnsi="Arial" w:cs="Arial"/>
          <w:sz w:val="24"/>
          <w:szCs w:val="24"/>
        </w:rPr>
        <w:t xml:space="preserve"> </w:t>
      </w:r>
      <w:r w:rsidR="005E79AC" w:rsidRPr="00C83CC2">
        <w:rPr>
          <w:rFonts w:ascii="Arial" w:hAnsi="Arial" w:cs="Arial"/>
          <w:sz w:val="24"/>
          <w:szCs w:val="24"/>
        </w:rPr>
        <w:t xml:space="preserve">pelo regime de competência </w:t>
      </w:r>
      <w:r w:rsidR="00587C96" w:rsidRPr="00C83CC2">
        <w:rPr>
          <w:rFonts w:ascii="Arial" w:hAnsi="Arial" w:cs="Arial"/>
          <w:sz w:val="24"/>
          <w:szCs w:val="24"/>
        </w:rPr>
        <w:t>dentro do exercício, ainda que exigíveis no exercício seguinte.</w:t>
      </w:r>
    </w:p>
    <w:p w14:paraId="11006485" w14:textId="17A32F4C" w:rsidR="00B2604E" w:rsidRPr="00C83CC2" w:rsidRDefault="00B2604E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2º Para efeito deste artigo, considera-se deliberada omissão </w:t>
      </w:r>
      <w:r w:rsidR="00C60F64" w:rsidRPr="00C83CC2">
        <w:rPr>
          <w:rFonts w:ascii="Arial" w:hAnsi="Arial" w:cs="Arial"/>
          <w:sz w:val="24"/>
          <w:szCs w:val="24"/>
        </w:rPr>
        <w:t xml:space="preserve">a situação em que </w:t>
      </w:r>
      <w:r w:rsidRPr="00C83CC2">
        <w:rPr>
          <w:rFonts w:ascii="Arial" w:hAnsi="Arial" w:cs="Arial"/>
          <w:sz w:val="24"/>
          <w:szCs w:val="24"/>
        </w:rPr>
        <w:t>o orçamento dispunha de dotaçã</w:t>
      </w:r>
      <w:r w:rsidR="005E79AC" w:rsidRPr="00C83CC2">
        <w:rPr>
          <w:rFonts w:ascii="Arial" w:hAnsi="Arial" w:cs="Arial"/>
          <w:sz w:val="24"/>
          <w:szCs w:val="24"/>
        </w:rPr>
        <w:t>o suficiente para a cobertur</w:t>
      </w:r>
      <w:r w:rsidR="004101BF" w:rsidRPr="00C83CC2">
        <w:rPr>
          <w:rFonts w:ascii="Arial" w:hAnsi="Arial" w:cs="Arial"/>
          <w:sz w:val="24"/>
          <w:szCs w:val="24"/>
        </w:rPr>
        <w:t>a da</w:t>
      </w:r>
      <w:r w:rsidRPr="00C83CC2">
        <w:rPr>
          <w:rFonts w:ascii="Arial" w:hAnsi="Arial" w:cs="Arial"/>
          <w:sz w:val="24"/>
          <w:szCs w:val="24"/>
        </w:rPr>
        <w:t xml:space="preserve"> despesa de caráter obrigatório</w:t>
      </w:r>
      <w:r w:rsidR="005E79AC" w:rsidRPr="00C83CC2">
        <w:rPr>
          <w:rFonts w:ascii="Arial" w:hAnsi="Arial" w:cs="Arial"/>
          <w:sz w:val="24"/>
          <w:szCs w:val="24"/>
        </w:rPr>
        <w:t xml:space="preserve"> </w:t>
      </w:r>
      <w:r w:rsidR="004101BF" w:rsidRPr="00C83CC2">
        <w:rPr>
          <w:rFonts w:ascii="Arial" w:hAnsi="Arial" w:cs="Arial"/>
          <w:sz w:val="24"/>
          <w:szCs w:val="24"/>
        </w:rPr>
        <w:t>definida n</w:t>
      </w:r>
      <w:r w:rsidR="005E79AC" w:rsidRPr="00C83CC2">
        <w:rPr>
          <w:rFonts w:ascii="Arial" w:hAnsi="Arial" w:cs="Arial"/>
          <w:sz w:val="24"/>
          <w:szCs w:val="24"/>
        </w:rPr>
        <w:t>o parágrafo anterior</w:t>
      </w:r>
      <w:r w:rsidR="00A876AA" w:rsidRPr="00C83CC2">
        <w:rPr>
          <w:rFonts w:ascii="Arial" w:hAnsi="Arial" w:cs="Arial"/>
          <w:sz w:val="24"/>
          <w:szCs w:val="24"/>
        </w:rPr>
        <w:t>,</w:t>
      </w:r>
      <w:r w:rsidRPr="00C83CC2">
        <w:rPr>
          <w:rFonts w:ascii="Arial" w:hAnsi="Arial" w:cs="Arial"/>
          <w:sz w:val="24"/>
          <w:szCs w:val="24"/>
        </w:rPr>
        <w:t xml:space="preserve"> mas </w:t>
      </w:r>
      <w:r w:rsidR="005E79AC" w:rsidRPr="00C83CC2">
        <w:rPr>
          <w:rFonts w:ascii="Arial" w:hAnsi="Arial" w:cs="Arial"/>
          <w:sz w:val="24"/>
          <w:szCs w:val="24"/>
        </w:rPr>
        <w:t xml:space="preserve">cujo </w:t>
      </w:r>
      <w:r w:rsidRPr="00C83CC2">
        <w:rPr>
          <w:rFonts w:ascii="Arial" w:hAnsi="Arial" w:cs="Arial"/>
          <w:sz w:val="24"/>
          <w:szCs w:val="24"/>
        </w:rPr>
        <w:t>Ordenador</w:t>
      </w:r>
      <w:r w:rsidR="005E79AC" w:rsidRPr="00C83CC2">
        <w:rPr>
          <w:rFonts w:ascii="Arial" w:hAnsi="Arial" w:cs="Arial"/>
          <w:sz w:val="24"/>
          <w:szCs w:val="24"/>
        </w:rPr>
        <w:t xml:space="preserve">, para </w:t>
      </w:r>
      <w:r w:rsidR="00C168C2" w:rsidRPr="00C83CC2">
        <w:rPr>
          <w:rFonts w:ascii="Arial" w:hAnsi="Arial" w:cs="Arial"/>
          <w:sz w:val="24"/>
          <w:szCs w:val="24"/>
        </w:rPr>
        <w:t>reflexo</w:t>
      </w:r>
      <w:r w:rsidR="005E79AC" w:rsidRPr="00C83CC2">
        <w:rPr>
          <w:rFonts w:ascii="Arial" w:hAnsi="Arial" w:cs="Arial"/>
          <w:sz w:val="24"/>
          <w:szCs w:val="24"/>
        </w:rPr>
        <w:t xml:space="preserve"> indevido</w:t>
      </w:r>
      <w:r w:rsidR="004101BF" w:rsidRPr="00C83CC2">
        <w:rPr>
          <w:rFonts w:ascii="Arial" w:hAnsi="Arial" w:cs="Arial"/>
          <w:sz w:val="24"/>
          <w:szCs w:val="24"/>
        </w:rPr>
        <w:t xml:space="preserve"> </w:t>
      </w:r>
      <w:r w:rsidR="00C168C2" w:rsidRPr="00C83CC2">
        <w:rPr>
          <w:rFonts w:ascii="Arial" w:hAnsi="Arial" w:cs="Arial"/>
          <w:sz w:val="24"/>
          <w:szCs w:val="24"/>
        </w:rPr>
        <w:t>no resultado orçamentário d</w:t>
      </w:r>
      <w:r w:rsidR="004101BF" w:rsidRPr="00C83CC2">
        <w:rPr>
          <w:rFonts w:ascii="Arial" w:hAnsi="Arial" w:cs="Arial"/>
          <w:sz w:val="24"/>
          <w:szCs w:val="24"/>
        </w:rPr>
        <w:t>a sua gestão</w:t>
      </w:r>
      <w:r w:rsidR="005E79AC" w:rsidRPr="00C83CC2">
        <w:rPr>
          <w:rFonts w:ascii="Arial" w:hAnsi="Arial" w:cs="Arial"/>
          <w:sz w:val="24"/>
          <w:szCs w:val="24"/>
        </w:rPr>
        <w:t xml:space="preserve">, </w:t>
      </w:r>
      <w:r w:rsidR="004101BF" w:rsidRPr="00C83CC2">
        <w:rPr>
          <w:rFonts w:ascii="Arial" w:hAnsi="Arial" w:cs="Arial"/>
          <w:sz w:val="24"/>
          <w:szCs w:val="24"/>
        </w:rPr>
        <w:t>lapso ou despercebimento,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5E79AC" w:rsidRPr="00C83CC2">
        <w:rPr>
          <w:rFonts w:ascii="Arial" w:hAnsi="Arial" w:cs="Arial"/>
          <w:sz w:val="24"/>
          <w:szCs w:val="24"/>
        </w:rPr>
        <w:t xml:space="preserve">deixou de </w:t>
      </w:r>
      <w:r w:rsidRPr="00C83CC2">
        <w:rPr>
          <w:rFonts w:ascii="Arial" w:hAnsi="Arial" w:cs="Arial"/>
          <w:sz w:val="24"/>
          <w:szCs w:val="24"/>
        </w:rPr>
        <w:t>efetuar os</w:t>
      </w:r>
      <w:r w:rsidR="005E79AC" w:rsidRPr="00C83CC2">
        <w:rPr>
          <w:rFonts w:ascii="Arial" w:hAnsi="Arial" w:cs="Arial"/>
          <w:sz w:val="24"/>
          <w:szCs w:val="24"/>
        </w:rPr>
        <w:t xml:space="preserve"> empenhos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5E79AC" w:rsidRPr="00C83CC2">
        <w:rPr>
          <w:rFonts w:ascii="Arial" w:hAnsi="Arial" w:cs="Arial"/>
          <w:sz w:val="24"/>
          <w:szCs w:val="24"/>
        </w:rPr>
        <w:t>dentro do próprio exercício.</w:t>
      </w:r>
    </w:p>
    <w:p w14:paraId="1072575D" w14:textId="09E2925B" w:rsidR="005D3EF1" w:rsidRPr="00C83CC2" w:rsidRDefault="0070153D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2352E">
        <w:rPr>
          <w:rFonts w:ascii="Arial" w:hAnsi="Arial" w:cs="Arial"/>
          <w:b/>
          <w:bCs/>
          <w:sz w:val="24"/>
          <w:szCs w:val="24"/>
        </w:rPr>
        <w:t>Art.</w:t>
      </w:r>
      <w:r w:rsidR="005D3EF1" w:rsidRPr="00B2352E">
        <w:rPr>
          <w:rFonts w:ascii="Arial" w:hAnsi="Arial" w:cs="Arial"/>
          <w:b/>
          <w:bCs/>
          <w:sz w:val="24"/>
          <w:szCs w:val="24"/>
        </w:rPr>
        <w:t xml:space="preserve"> </w:t>
      </w:r>
      <w:r w:rsidR="00FF524F" w:rsidRPr="00B2352E">
        <w:rPr>
          <w:rFonts w:ascii="Arial" w:hAnsi="Arial" w:cs="Arial"/>
          <w:b/>
          <w:bCs/>
          <w:sz w:val="24"/>
          <w:szCs w:val="24"/>
        </w:rPr>
        <w:t>1</w:t>
      </w:r>
      <w:r w:rsidRPr="00B2352E">
        <w:rPr>
          <w:rFonts w:ascii="Arial" w:hAnsi="Arial" w:cs="Arial"/>
          <w:b/>
          <w:bCs/>
          <w:sz w:val="24"/>
          <w:szCs w:val="24"/>
        </w:rPr>
        <w:t>4</w:t>
      </w:r>
      <w:r w:rsidR="00B2352E" w:rsidRPr="00B2352E">
        <w:rPr>
          <w:rFonts w:ascii="Arial" w:hAnsi="Arial" w:cs="Arial"/>
          <w:b/>
          <w:bCs/>
          <w:sz w:val="24"/>
          <w:szCs w:val="24"/>
        </w:rPr>
        <w:t>.</w:t>
      </w:r>
      <w:r w:rsidR="005D3EF1" w:rsidRPr="00C83CC2">
        <w:rPr>
          <w:rFonts w:ascii="Arial" w:hAnsi="Arial" w:cs="Arial"/>
          <w:sz w:val="24"/>
          <w:szCs w:val="24"/>
        </w:rPr>
        <w:t xml:space="preserve"> </w:t>
      </w:r>
      <w:r w:rsidR="00562079" w:rsidRPr="00C83CC2">
        <w:rPr>
          <w:rFonts w:ascii="Arial" w:hAnsi="Arial" w:cs="Arial"/>
          <w:sz w:val="24"/>
          <w:szCs w:val="24"/>
        </w:rPr>
        <w:t>Os</w:t>
      </w:r>
      <w:r w:rsidR="005D3EF1" w:rsidRPr="00C83CC2">
        <w:rPr>
          <w:rFonts w:ascii="Arial" w:hAnsi="Arial" w:cs="Arial"/>
          <w:sz w:val="24"/>
          <w:szCs w:val="24"/>
        </w:rPr>
        <w:t xml:space="preserve"> </w:t>
      </w:r>
      <w:r w:rsidR="00562079" w:rsidRPr="00C83CC2">
        <w:rPr>
          <w:rFonts w:ascii="Arial" w:hAnsi="Arial" w:cs="Arial"/>
          <w:sz w:val="24"/>
          <w:szCs w:val="24"/>
        </w:rPr>
        <w:t>R</w:t>
      </w:r>
      <w:r w:rsidR="005D3EF1" w:rsidRPr="00C83CC2">
        <w:rPr>
          <w:rFonts w:ascii="Arial" w:hAnsi="Arial" w:cs="Arial"/>
          <w:sz w:val="24"/>
          <w:szCs w:val="24"/>
        </w:rPr>
        <w:t xml:space="preserve">estos a </w:t>
      </w:r>
      <w:r w:rsidR="00562079" w:rsidRPr="00C83CC2">
        <w:rPr>
          <w:rFonts w:ascii="Arial" w:hAnsi="Arial" w:cs="Arial"/>
          <w:sz w:val="24"/>
          <w:szCs w:val="24"/>
        </w:rPr>
        <w:t>R</w:t>
      </w:r>
      <w:r w:rsidR="00F4116A" w:rsidRPr="00C83CC2">
        <w:rPr>
          <w:rFonts w:ascii="Arial" w:hAnsi="Arial" w:cs="Arial"/>
          <w:sz w:val="24"/>
          <w:szCs w:val="24"/>
        </w:rPr>
        <w:t>eceber</w:t>
      </w:r>
      <w:r w:rsidR="005D3EF1" w:rsidRPr="00C83CC2">
        <w:rPr>
          <w:rFonts w:ascii="Arial" w:hAnsi="Arial" w:cs="Arial"/>
          <w:sz w:val="24"/>
          <w:szCs w:val="24"/>
        </w:rPr>
        <w:t xml:space="preserve"> </w:t>
      </w:r>
      <w:r w:rsidR="00562079" w:rsidRPr="00C83CC2">
        <w:rPr>
          <w:rFonts w:ascii="Arial" w:hAnsi="Arial" w:cs="Arial"/>
          <w:sz w:val="24"/>
          <w:szCs w:val="24"/>
        </w:rPr>
        <w:t xml:space="preserve">de que tratam a presente Instrução </w:t>
      </w:r>
      <w:r w:rsidR="00F4116A" w:rsidRPr="00C83CC2">
        <w:rPr>
          <w:rFonts w:ascii="Arial" w:hAnsi="Arial" w:cs="Arial"/>
          <w:sz w:val="24"/>
          <w:szCs w:val="24"/>
        </w:rPr>
        <w:t>comporão a Receita Corrente Líquida</w:t>
      </w:r>
      <w:r w:rsidR="00FF524F" w:rsidRPr="00C83CC2">
        <w:rPr>
          <w:rFonts w:ascii="Arial" w:hAnsi="Arial" w:cs="Arial"/>
          <w:sz w:val="24"/>
          <w:szCs w:val="24"/>
        </w:rPr>
        <w:t xml:space="preserve"> do exercício de 2008</w:t>
      </w:r>
      <w:r w:rsidR="00F4116A" w:rsidRPr="00C83CC2">
        <w:rPr>
          <w:rFonts w:ascii="Arial" w:hAnsi="Arial" w:cs="Arial"/>
          <w:sz w:val="24"/>
          <w:szCs w:val="24"/>
        </w:rPr>
        <w:t xml:space="preserve">, bem </w:t>
      </w:r>
      <w:r w:rsidR="006D5985" w:rsidRPr="00C83CC2">
        <w:rPr>
          <w:rFonts w:ascii="Arial" w:hAnsi="Arial" w:cs="Arial"/>
          <w:sz w:val="24"/>
          <w:szCs w:val="24"/>
        </w:rPr>
        <w:t xml:space="preserve">assim </w:t>
      </w:r>
      <w:r w:rsidR="00F4116A" w:rsidRPr="00C83CC2">
        <w:rPr>
          <w:rFonts w:ascii="Arial" w:hAnsi="Arial" w:cs="Arial"/>
          <w:sz w:val="24"/>
          <w:szCs w:val="24"/>
        </w:rPr>
        <w:t>os</w:t>
      </w:r>
      <w:r w:rsidR="007E4489" w:rsidRPr="00C83CC2">
        <w:rPr>
          <w:rFonts w:ascii="Arial" w:hAnsi="Arial" w:cs="Arial"/>
          <w:sz w:val="24"/>
          <w:szCs w:val="24"/>
        </w:rPr>
        <w:t xml:space="preserve"> </w:t>
      </w:r>
      <w:r w:rsidR="005D3EF1" w:rsidRPr="00C83CC2">
        <w:rPr>
          <w:rFonts w:ascii="Arial" w:hAnsi="Arial" w:cs="Arial"/>
          <w:sz w:val="24"/>
          <w:szCs w:val="24"/>
        </w:rPr>
        <w:t xml:space="preserve">limites </w:t>
      </w:r>
      <w:r w:rsidR="00F4116A" w:rsidRPr="00C83CC2">
        <w:rPr>
          <w:rFonts w:ascii="Arial" w:hAnsi="Arial" w:cs="Arial"/>
          <w:sz w:val="24"/>
          <w:szCs w:val="24"/>
        </w:rPr>
        <w:t xml:space="preserve">para </w:t>
      </w:r>
      <w:r w:rsidR="007E4489" w:rsidRPr="00C83CC2">
        <w:rPr>
          <w:rFonts w:ascii="Arial" w:hAnsi="Arial" w:cs="Arial"/>
          <w:sz w:val="24"/>
          <w:szCs w:val="24"/>
        </w:rPr>
        <w:t>a despesa total com pessoal, fixada</w:t>
      </w:r>
      <w:r w:rsidR="005D3EF1" w:rsidRPr="00C83CC2">
        <w:rPr>
          <w:rFonts w:ascii="Arial" w:hAnsi="Arial" w:cs="Arial"/>
          <w:sz w:val="24"/>
          <w:szCs w:val="24"/>
        </w:rPr>
        <w:t xml:space="preserve"> na Lei Complementar </w:t>
      </w:r>
      <w:r w:rsidR="007E4489" w:rsidRPr="00C83CC2">
        <w:rPr>
          <w:rFonts w:ascii="Arial" w:hAnsi="Arial" w:cs="Arial"/>
          <w:sz w:val="24"/>
          <w:szCs w:val="24"/>
        </w:rPr>
        <w:t>n</w:t>
      </w:r>
      <w:r w:rsidR="00F4116A" w:rsidRPr="00C83CC2">
        <w:rPr>
          <w:rFonts w:ascii="Arial" w:hAnsi="Arial" w:cs="Arial"/>
          <w:sz w:val="24"/>
          <w:szCs w:val="24"/>
        </w:rPr>
        <w:t>º 101/2000,</w:t>
      </w:r>
      <w:r w:rsidR="005D3EF1" w:rsidRPr="00C83CC2">
        <w:rPr>
          <w:rFonts w:ascii="Arial" w:hAnsi="Arial" w:cs="Arial"/>
          <w:sz w:val="24"/>
          <w:szCs w:val="24"/>
        </w:rPr>
        <w:t xml:space="preserve"> </w:t>
      </w:r>
      <w:r w:rsidR="00F4116A" w:rsidRPr="00C83CC2">
        <w:rPr>
          <w:rFonts w:ascii="Arial" w:hAnsi="Arial" w:cs="Arial"/>
          <w:sz w:val="24"/>
          <w:szCs w:val="24"/>
        </w:rPr>
        <w:t>e</w:t>
      </w:r>
      <w:r w:rsidR="00075923" w:rsidRPr="00C83CC2">
        <w:rPr>
          <w:rFonts w:ascii="Arial" w:hAnsi="Arial" w:cs="Arial"/>
          <w:sz w:val="24"/>
          <w:szCs w:val="24"/>
        </w:rPr>
        <w:t xml:space="preserve"> </w:t>
      </w:r>
      <w:r w:rsidR="006D5985" w:rsidRPr="00C83CC2">
        <w:rPr>
          <w:rFonts w:ascii="Arial" w:hAnsi="Arial" w:cs="Arial"/>
          <w:sz w:val="24"/>
          <w:szCs w:val="24"/>
        </w:rPr>
        <w:t xml:space="preserve">também </w:t>
      </w:r>
      <w:r w:rsidR="00075923" w:rsidRPr="00C83CC2">
        <w:rPr>
          <w:rFonts w:ascii="Arial" w:hAnsi="Arial" w:cs="Arial"/>
          <w:sz w:val="24"/>
          <w:szCs w:val="24"/>
        </w:rPr>
        <w:t xml:space="preserve">a base para fins </w:t>
      </w:r>
      <w:r w:rsidR="00F4116A" w:rsidRPr="00C83CC2">
        <w:rPr>
          <w:rFonts w:ascii="Arial" w:hAnsi="Arial" w:cs="Arial"/>
          <w:sz w:val="24"/>
          <w:szCs w:val="24"/>
        </w:rPr>
        <w:t xml:space="preserve">de despesas </w:t>
      </w:r>
      <w:r w:rsidR="006D5985" w:rsidRPr="00C83CC2">
        <w:rPr>
          <w:rFonts w:ascii="Arial" w:hAnsi="Arial" w:cs="Arial"/>
          <w:sz w:val="24"/>
          <w:szCs w:val="24"/>
        </w:rPr>
        <w:t>d</w:t>
      </w:r>
      <w:r w:rsidR="00F4116A" w:rsidRPr="00C83CC2">
        <w:rPr>
          <w:rFonts w:ascii="Arial" w:hAnsi="Arial" w:cs="Arial"/>
          <w:sz w:val="24"/>
          <w:szCs w:val="24"/>
        </w:rPr>
        <w:t>o Poder Legislativo Municipal, estabelecidas nos artigos 29, VII e 29-A da Constituição Federal</w:t>
      </w:r>
      <w:r w:rsidR="005D3EF1" w:rsidRPr="00C83CC2">
        <w:rPr>
          <w:rFonts w:ascii="Arial" w:hAnsi="Arial" w:cs="Arial"/>
          <w:sz w:val="24"/>
          <w:szCs w:val="24"/>
        </w:rPr>
        <w:t xml:space="preserve">. </w:t>
      </w:r>
    </w:p>
    <w:p w14:paraId="281C3DCD" w14:textId="2B039F7E" w:rsidR="007E7646" w:rsidRPr="00C83CC2" w:rsidRDefault="005D3EF1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519D8">
        <w:rPr>
          <w:rFonts w:ascii="Arial" w:hAnsi="Arial" w:cs="Arial"/>
          <w:b/>
          <w:bCs/>
          <w:sz w:val="24"/>
          <w:szCs w:val="24"/>
        </w:rPr>
        <w:t>Art</w:t>
      </w:r>
      <w:r w:rsidR="0070153D" w:rsidRPr="009519D8">
        <w:rPr>
          <w:rFonts w:ascii="Arial" w:hAnsi="Arial" w:cs="Arial"/>
          <w:b/>
          <w:bCs/>
          <w:sz w:val="24"/>
          <w:szCs w:val="24"/>
        </w:rPr>
        <w:t>.</w:t>
      </w:r>
      <w:r w:rsidR="0075679F" w:rsidRPr="009519D8">
        <w:rPr>
          <w:rFonts w:ascii="Arial" w:hAnsi="Arial" w:cs="Arial"/>
          <w:b/>
          <w:bCs/>
          <w:sz w:val="24"/>
          <w:szCs w:val="24"/>
        </w:rPr>
        <w:t xml:space="preserve"> </w:t>
      </w:r>
      <w:r w:rsidR="0070153D" w:rsidRPr="009519D8">
        <w:rPr>
          <w:rFonts w:ascii="Arial" w:hAnsi="Arial" w:cs="Arial"/>
          <w:b/>
          <w:bCs/>
          <w:sz w:val="24"/>
          <w:szCs w:val="24"/>
        </w:rPr>
        <w:t>15</w:t>
      </w:r>
      <w:r w:rsidR="00B46A95" w:rsidRPr="009519D8">
        <w:rPr>
          <w:rFonts w:ascii="Arial" w:hAnsi="Arial" w:cs="Arial"/>
          <w:b/>
          <w:bCs/>
          <w:sz w:val="24"/>
          <w:szCs w:val="24"/>
        </w:rPr>
        <w:t>.</w:t>
      </w:r>
      <w:r w:rsidR="00091119" w:rsidRPr="00C83CC2">
        <w:rPr>
          <w:rFonts w:ascii="Arial" w:hAnsi="Arial" w:cs="Arial"/>
          <w:sz w:val="24"/>
          <w:szCs w:val="24"/>
        </w:rPr>
        <w:t xml:space="preserve"> Considerada</w:t>
      </w:r>
      <w:r w:rsidR="0075679F" w:rsidRPr="00C83CC2">
        <w:rPr>
          <w:rFonts w:ascii="Arial" w:hAnsi="Arial" w:cs="Arial"/>
          <w:sz w:val="24"/>
          <w:szCs w:val="24"/>
        </w:rPr>
        <w:t xml:space="preserve"> </w:t>
      </w:r>
      <w:r w:rsidR="007E7646" w:rsidRPr="00C83CC2">
        <w:rPr>
          <w:rFonts w:ascii="Arial" w:hAnsi="Arial" w:cs="Arial"/>
          <w:sz w:val="24"/>
          <w:szCs w:val="24"/>
        </w:rPr>
        <w:t>a necessidade de compatibilização do registro das receitas e despesas orçamentárias</w:t>
      </w:r>
      <w:r w:rsidR="00B73A84" w:rsidRPr="00C83CC2">
        <w:rPr>
          <w:rFonts w:ascii="Arial" w:hAnsi="Arial" w:cs="Arial"/>
          <w:sz w:val="24"/>
          <w:szCs w:val="24"/>
        </w:rPr>
        <w:t>,</w:t>
      </w:r>
      <w:r w:rsidR="007E7646" w:rsidRPr="00C83CC2">
        <w:rPr>
          <w:rFonts w:ascii="Arial" w:hAnsi="Arial" w:cs="Arial"/>
          <w:sz w:val="24"/>
          <w:szCs w:val="24"/>
        </w:rPr>
        <w:t xml:space="preserve"> para fins de consolidação das contas públicas exigida na Lei de Responsa</w:t>
      </w:r>
      <w:r w:rsidR="00B73A84" w:rsidRPr="00C83CC2">
        <w:rPr>
          <w:rFonts w:ascii="Arial" w:hAnsi="Arial" w:cs="Arial"/>
          <w:sz w:val="24"/>
          <w:szCs w:val="24"/>
        </w:rPr>
        <w:t>bilidade Fiscal, as normas dest</w:t>
      </w:r>
      <w:r w:rsidR="007E7646" w:rsidRPr="00C83CC2">
        <w:rPr>
          <w:rFonts w:ascii="Arial" w:hAnsi="Arial" w:cs="Arial"/>
          <w:sz w:val="24"/>
          <w:szCs w:val="24"/>
        </w:rPr>
        <w:t xml:space="preserve">a Instrução </w:t>
      </w:r>
      <w:r w:rsidR="00B73A84" w:rsidRPr="00C83CC2">
        <w:rPr>
          <w:rFonts w:ascii="Arial" w:hAnsi="Arial" w:cs="Arial"/>
          <w:sz w:val="24"/>
          <w:szCs w:val="24"/>
        </w:rPr>
        <w:t>são de observância obrigatória por</w:t>
      </w:r>
      <w:r w:rsidR="007E7646" w:rsidRPr="00C83CC2">
        <w:rPr>
          <w:rFonts w:ascii="Arial" w:hAnsi="Arial" w:cs="Arial"/>
          <w:sz w:val="24"/>
          <w:szCs w:val="24"/>
        </w:rPr>
        <w:t xml:space="preserve"> todos os Municípios</w:t>
      </w:r>
      <w:r w:rsidR="00B73A84" w:rsidRPr="00C83CC2">
        <w:rPr>
          <w:rFonts w:ascii="Arial" w:hAnsi="Arial" w:cs="Arial"/>
          <w:sz w:val="24"/>
          <w:szCs w:val="24"/>
        </w:rPr>
        <w:t>.</w:t>
      </w:r>
    </w:p>
    <w:p w14:paraId="4B4983AF" w14:textId="3EE47BFE" w:rsidR="00B73A84" w:rsidRPr="00C83CC2" w:rsidRDefault="00B73A84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§ 1º </w:t>
      </w:r>
      <w:r w:rsidR="00765948" w:rsidRPr="00C83CC2">
        <w:rPr>
          <w:rFonts w:ascii="Arial" w:hAnsi="Arial" w:cs="Arial"/>
          <w:sz w:val="24"/>
          <w:szCs w:val="24"/>
        </w:rPr>
        <w:t xml:space="preserve">No contexto de </w:t>
      </w:r>
      <w:r w:rsidRPr="00C83CC2">
        <w:rPr>
          <w:rFonts w:ascii="Arial" w:hAnsi="Arial" w:cs="Arial"/>
          <w:sz w:val="24"/>
          <w:szCs w:val="24"/>
        </w:rPr>
        <w:t>Município considera os Poderes Executivos e, no que couber, as respectivas entidades de administração indireta, abrangendo os Fundos cuja contabilidade é descentralizada, os Fundos Previdenciários, as Fundações de Direito Público Int</w:t>
      </w:r>
      <w:r w:rsidR="001809E9" w:rsidRPr="00C83CC2">
        <w:rPr>
          <w:rFonts w:ascii="Arial" w:hAnsi="Arial" w:cs="Arial"/>
          <w:sz w:val="24"/>
          <w:szCs w:val="24"/>
        </w:rPr>
        <w:t>erno e as Autarquias Municipais.</w:t>
      </w:r>
    </w:p>
    <w:p w14:paraId="6427FAD5" w14:textId="5CA832AB" w:rsidR="00CB58F9" w:rsidRPr="00C83CC2" w:rsidRDefault="00B73A84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lastRenderedPageBreak/>
        <w:t>§ 2º</w:t>
      </w:r>
      <w:r w:rsidR="001809E9" w:rsidRPr="00C83CC2">
        <w:rPr>
          <w:rFonts w:ascii="Arial" w:hAnsi="Arial" w:cs="Arial"/>
          <w:sz w:val="24"/>
          <w:szCs w:val="24"/>
        </w:rPr>
        <w:t xml:space="preserve"> Aos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1809E9" w:rsidRPr="00C83CC2">
        <w:rPr>
          <w:rFonts w:ascii="Arial" w:hAnsi="Arial" w:cs="Arial"/>
          <w:sz w:val="24"/>
          <w:szCs w:val="24"/>
        </w:rPr>
        <w:t>Poderes Legislativos Municipais aplicam-se a parte correspondente aos Restos a Receber de Interferências Financeiras</w:t>
      </w:r>
      <w:r w:rsidR="00AC11DB" w:rsidRPr="00C83CC2">
        <w:rPr>
          <w:rFonts w:ascii="Arial" w:hAnsi="Arial" w:cs="Arial"/>
          <w:sz w:val="24"/>
          <w:szCs w:val="24"/>
        </w:rPr>
        <w:t xml:space="preserve"> e </w:t>
      </w:r>
      <w:r w:rsidR="00DE72C6" w:rsidRPr="00C83CC2">
        <w:rPr>
          <w:rFonts w:ascii="Arial" w:hAnsi="Arial" w:cs="Arial"/>
          <w:sz w:val="24"/>
          <w:szCs w:val="24"/>
        </w:rPr>
        <w:t>Responsáveis p</w:t>
      </w:r>
      <w:r w:rsidR="00CB58F9" w:rsidRPr="00C83CC2">
        <w:rPr>
          <w:rFonts w:ascii="Arial" w:hAnsi="Arial" w:cs="Arial"/>
          <w:sz w:val="24"/>
          <w:szCs w:val="24"/>
        </w:rPr>
        <w:t>or Despesas Não Empenhadas.</w:t>
      </w:r>
    </w:p>
    <w:p w14:paraId="5177185F" w14:textId="6B96B421" w:rsidR="00765948" w:rsidRPr="00C83CC2" w:rsidRDefault="0070153D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A95">
        <w:rPr>
          <w:rFonts w:ascii="Arial" w:hAnsi="Arial" w:cs="Arial"/>
          <w:b/>
          <w:bCs/>
          <w:sz w:val="24"/>
          <w:szCs w:val="24"/>
        </w:rPr>
        <w:t>Art.</w:t>
      </w:r>
      <w:r w:rsidR="00765948" w:rsidRPr="00B46A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6A95">
        <w:rPr>
          <w:rFonts w:ascii="Arial" w:hAnsi="Arial" w:cs="Arial"/>
          <w:b/>
          <w:bCs/>
          <w:sz w:val="24"/>
          <w:szCs w:val="24"/>
        </w:rPr>
        <w:t>16</w:t>
      </w:r>
      <w:r w:rsidR="00B46A95" w:rsidRPr="00B46A95">
        <w:rPr>
          <w:rFonts w:ascii="Arial" w:hAnsi="Arial" w:cs="Arial"/>
          <w:b/>
          <w:bCs/>
          <w:sz w:val="24"/>
          <w:szCs w:val="24"/>
        </w:rPr>
        <w:t>.</w:t>
      </w:r>
      <w:r w:rsidR="00765948" w:rsidRPr="00C83CC2">
        <w:rPr>
          <w:rFonts w:ascii="Arial" w:hAnsi="Arial" w:cs="Arial"/>
          <w:sz w:val="24"/>
          <w:szCs w:val="24"/>
        </w:rPr>
        <w:t xml:space="preserve"> </w:t>
      </w:r>
      <w:r w:rsidR="009D17FA" w:rsidRPr="00C83CC2">
        <w:rPr>
          <w:rFonts w:ascii="Arial" w:hAnsi="Arial" w:cs="Arial"/>
          <w:sz w:val="24"/>
          <w:szCs w:val="24"/>
        </w:rPr>
        <w:t>Para fins de plena</w:t>
      </w:r>
      <w:r w:rsidR="00765948" w:rsidRPr="00C83CC2">
        <w:rPr>
          <w:rFonts w:ascii="Arial" w:hAnsi="Arial" w:cs="Arial"/>
          <w:sz w:val="24"/>
          <w:szCs w:val="24"/>
        </w:rPr>
        <w:t xml:space="preserve"> evidenciação, a contabilização dos Restos a Receber e das despesas deixadas de empenhar pela gestão anterior depende de processo composto por documentos hábeis e cabais</w:t>
      </w:r>
      <w:r w:rsidR="009D17FA" w:rsidRPr="00C83CC2">
        <w:rPr>
          <w:rFonts w:ascii="Arial" w:hAnsi="Arial" w:cs="Arial"/>
          <w:sz w:val="24"/>
          <w:szCs w:val="24"/>
        </w:rPr>
        <w:t>,</w:t>
      </w:r>
      <w:r w:rsidR="00765948" w:rsidRPr="00C83CC2">
        <w:rPr>
          <w:rFonts w:ascii="Arial" w:hAnsi="Arial" w:cs="Arial"/>
          <w:sz w:val="24"/>
          <w:szCs w:val="24"/>
        </w:rPr>
        <w:t xml:space="preserve"> </w:t>
      </w:r>
      <w:r w:rsidR="009D17FA" w:rsidRPr="00C83CC2">
        <w:rPr>
          <w:rFonts w:ascii="Arial" w:hAnsi="Arial" w:cs="Arial"/>
          <w:sz w:val="24"/>
          <w:szCs w:val="24"/>
        </w:rPr>
        <w:t>evidenciadores</w:t>
      </w:r>
      <w:r w:rsidR="00765948" w:rsidRPr="00C83CC2">
        <w:rPr>
          <w:rFonts w:ascii="Arial" w:hAnsi="Arial" w:cs="Arial"/>
          <w:sz w:val="24"/>
          <w:szCs w:val="24"/>
        </w:rPr>
        <w:t xml:space="preserve"> da efetividade da </w:t>
      </w:r>
      <w:r w:rsidR="00091119" w:rsidRPr="00C83CC2">
        <w:rPr>
          <w:rFonts w:ascii="Arial" w:hAnsi="Arial" w:cs="Arial"/>
          <w:sz w:val="24"/>
          <w:szCs w:val="24"/>
        </w:rPr>
        <w:t>arrecadação no exercício de 2008</w:t>
      </w:r>
      <w:r w:rsidR="00765948" w:rsidRPr="00C83CC2">
        <w:rPr>
          <w:rFonts w:ascii="Arial" w:hAnsi="Arial" w:cs="Arial"/>
          <w:sz w:val="24"/>
          <w:szCs w:val="24"/>
        </w:rPr>
        <w:t xml:space="preserve"> e do </w:t>
      </w:r>
      <w:r w:rsidR="009D17FA" w:rsidRPr="00C83CC2">
        <w:rPr>
          <w:rFonts w:ascii="Arial" w:hAnsi="Arial" w:cs="Arial"/>
          <w:sz w:val="24"/>
          <w:szCs w:val="24"/>
        </w:rPr>
        <w:t>cumprimento do estágio</w:t>
      </w:r>
      <w:r w:rsidR="00765948" w:rsidRPr="00C83CC2">
        <w:rPr>
          <w:rFonts w:ascii="Arial" w:hAnsi="Arial" w:cs="Arial"/>
          <w:sz w:val="24"/>
          <w:szCs w:val="24"/>
        </w:rPr>
        <w:t xml:space="preserve"> da</w:t>
      </w:r>
      <w:r w:rsidR="009D17FA" w:rsidRPr="00C83CC2">
        <w:rPr>
          <w:rFonts w:ascii="Arial" w:hAnsi="Arial" w:cs="Arial"/>
          <w:sz w:val="24"/>
          <w:szCs w:val="24"/>
        </w:rPr>
        <w:t xml:space="preserve"> liquidação da</w:t>
      </w:r>
      <w:r w:rsidR="00765948" w:rsidRPr="00C83CC2">
        <w:rPr>
          <w:rFonts w:ascii="Arial" w:hAnsi="Arial" w:cs="Arial"/>
          <w:sz w:val="24"/>
          <w:szCs w:val="24"/>
        </w:rPr>
        <w:t xml:space="preserve"> despesa, respectivamente.</w:t>
      </w:r>
    </w:p>
    <w:p w14:paraId="44132881" w14:textId="2F4C64E8" w:rsidR="00DA509E" w:rsidRPr="00C83CC2" w:rsidRDefault="007F457A" w:rsidP="005C016B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A95">
        <w:rPr>
          <w:rFonts w:ascii="Arial" w:hAnsi="Arial" w:cs="Arial"/>
          <w:b/>
          <w:bCs/>
          <w:sz w:val="24"/>
          <w:szCs w:val="24"/>
        </w:rPr>
        <w:t>Art</w:t>
      </w:r>
      <w:r w:rsidR="0070153D" w:rsidRPr="00B46A95">
        <w:rPr>
          <w:rFonts w:ascii="Arial" w:hAnsi="Arial" w:cs="Arial"/>
          <w:b/>
          <w:bCs/>
          <w:sz w:val="24"/>
          <w:szCs w:val="24"/>
        </w:rPr>
        <w:t xml:space="preserve">. </w:t>
      </w:r>
      <w:r w:rsidR="00091119" w:rsidRPr="00B46A95">
        <w:rPr>
          <w:rFonts w:ascii="Arial" w:hAnsi="Arial" w:cs="Arial"/>
          <w:b/>
          <w:bCs/>
          <w:sz w:val="24"/>
          <w:szCs w:val="24"/>
        </w:rPr>
        <w:t>1</w:t>
      </w:r>
      <w:r w:rsidR="0070153D" w:rsidRPr="00B46A95">
        <w:rPr>
          <w:rFonts w:ascii="Arial" w:hAnsi="Arial" w:cs="Arial"/>
          <w:b/>
          <w:bCs/>
          <w:sz w:val="24"/>
          <w:szCs w:val="24"/>
        </w:rPr>
        <w:t>7</w:t>
      </w:r>
      <w:r w:rsidR="00B46A95" w:rsidRPr="00B46A95">
        <w:rPr>
          <w:rFonts w:ascii="Arial" w:hAnsi="Arial" w:cs="Arial"/>
          <w:b/>
          <w:bCs/>
          <w:sz w:val="24"/>
          <w:szCs w:val="24"/>
        </w:rPr>
        <w:t>.</w:t>
      </w:r>
      <w:r w:rsidRPr="00C83CC2">
        <w:rPr>
          <w:rFonts w:ascii="Arial" w:hAnsi="Arial" w:cs="Arial"/>
          <w:sz w:val="24"/>
          <w:szCs w:val="24"/>
        </w:rPr>
        <w:t xml:space="preserve"> </w:t>
      </w:r>
      <w:r w:rsidR="00DA509E" w:rsidRPr="00C83CC2">
        <w:rPr>
          <w:rFonts w:ascii="Arial" w:hAnsi="Arial" w:cs="Arial"/>
          <w:sz w:val="24"/>
          <w:szCs w:val="24"/>
        </w:rPr>
        <w:t>Fica estabelecido que, do exercício de 2009 em diante, será adotada a definição técnica de registros aludida no artigo 5º desta Instrução, devendo</w:t>
      </w:r>
      <w:r w:rsidR="0070153D" w:rsidRPr="00C83CC2">
        <w:rPr>
          <w:rFonts w:ascii="Arial" w:hAnsi="Arial" w:cs="Arial"/>
          <w:sz w:val="24"/>
          <w:szCs w:val="24"/>
        </w:rPr>
        <w:t>,</w:t>
      </w:r>
      <w:r w:rsidR="00DA509E" w:rsidRPr="00C83CC2">
        <w:rPr>
          <w:rFonts w:ascii="Arial" w:hAnsi="Arial" w:cs="Arial"/>
          <w:sz w:val="24"/>
          <w:szCs w:val="24"/>
        </w:rPr>
        <w:t xml:space="preserve"> </w:t>
      </w:r>
      <w:r w:rsidR="0070153D" w:rsidRPr="00C83CC2">
        <w:rPr>
          <w:rFonts w:ascii="Arial" w:hAnsi="Arial" w:cs="Arial"/>
          <w:sz w:val="24"/>
          <w:szCs w:val="24"/>
        </w:rPr>
        <w:t xml:space="preserve">então, </w:t>
      </w:r>
      <w:r w:rsidR="00DA509E" w:rsidRPr="00C83CC2">
        <w:rPr>
          <w:rFonts w:ascii="Arial" w:hAnsi="Arial" w:cs="Arial"/>
          <w:sz w:val="24"/>
          <w:szCs w:val="24"/>
        </w:rPr>
        <w:t>o efeito financeiro ocorrer no ingresso efetivo do recurso no ente recebedor, efetuando-se a baixa do ativo patrimonial contra uma conta de variação passiva e o registro da receita orçamentária, em contrapartida com a conta bancos pertinente.</w:t>
      </w:r>
    </w:p>
    <w:p w14:paraId="2EB18CDF" w14:textId="699396CB" w:rsidR="0070153D" w:rsidRPr="00C83CC2" w:rsidRDefault="007E7646" w:rsidP="005C016B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 </w:t>
      </w:r>
      <w:r w:rsidR="0070153D" w:rsidRPr="00B46A95">
        <w:rPr>
          <w:rFonts w:ascii="Arial" w:hAnsi="Arial" w:cs="Arial"/>
          <w:b/>
          <w:bCs/>
          <w:sz w:val="24"/>
          <w:szCs w:val="24"/>
        </w:rPr>
        <w:t>Art. 18</w:t>
      </w:r>
      <w:r w:rsidR="00B46A95" w:rsidRPr="00B46A95">
        <w:rPr>
          <w:rFonts w:ascii="Arial" w:hAnsi="Arial" w:cs="Arial"/>
          <w:b/>
          <w:bCs/>
          <w:sz w:val="24"/>
          <w:szCs w:val="24"/>
        </w:rPr>
        <w:t>.</w:t>
      </w:r>
      <w:r w:rsidR="0070153D" w:rsidRPr="00C83CC2">
        <w:rPr>
          <w:rFonts w:ascii="Arial" w:hAnsi="Arial" w:cs="Arial"/>
          <w:sz w:val="24"/>
          <w:szCs w:val="24"/>
        </w:rPr>
        <w:t xml:space="preserve"> Esta Instrução Normativa entrará em vigor na data de sua publicação nos Atos Oficiais do Tribunal de Contas do Estado do Paraná</w:t>
      </w:r>
      <w:r w:rsidR="00621852" w:rsidRPr="00C83CC2">
        <w:rPr>
          <w:rFonts w:ascii="Arial" w:hAnsi="Arial" w:cs="Arial"/>
          <w:sz w:val="24"/>
          <w:szCs w:val="24"/>
        </w:rPr>
        <w:t xml:space="preserve">, em substituição à </w:t>
      </w:r>
      <w:hyperlink r:id="rId11" w:history="1">
        <w:r w:rsidR="00621852" w:rsidRPr="00867168">
          <w:rPr>
            <w:rStyle w:val="Hyperlink"/>
            <w:rFonts w:ascii="Arial" w:hAnsi="Arial" w:cs="Arial"/>
            <w:sz w:val="24"/>
            <w:szCs w:val="24"/>
          </w:rPr>
          <w:t>Instrução Técnica TCE/PR nº 38/2005</w:t>
        </w:r>
      </w:hyperlink>
      <w:r w:rsidR="0070153D" w:rsidRPr="00C83CC2">
        <w:rPr>
          <w:rFonts w:ascii="Arial" w:hAnsi="Arial" w:cs="Arial"/>
          <w:sz w:val="24"/>
          <w:szCs w:val="24"/>
        </w:rPr>
        <w:t>.</w:t>
      </w:r>
    </w:p>
    <w:p w14:paraId="085EB953" w14:textId="77777777" w:rsidR="0070153D" w:rsidRPr="00C83CC2" w:rsidRDefault="0070153D" w:rsidP="00385F1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 xml:space="preserve">Sala das Sessões, em </w:t>
      </w:r>
      <w:r w:rsidR="008C2218" w:rsidRPr="00C83CC2">
        <w:rPr>
          <w:rFonts w:ascii="Arial" w:hAnsi="Arial" w:cs="Arial"/>
          <w:sz w:val="24"/>
          <w:szCs w:val="24"/>
        </w:rPr>
        <w:t>18</w:t>
      </w:r>
      <w:r w:rsidRPr="00C83CC2">
        <w:rPr>
          <w:rFonts w:ascii="Arial" w:hAnsi="Arial" w:cs="Arial"/>
          <w:sz w:val="24"/>
          <w:szCs w:val="24"/>
        </w:rPr>
        <w:t xml:space="preserve"> de </w:t>
      </w:r>
      <w:r w:rsidR="008C2218" w:rsidRPr="00C83CC2">
        <w:rPr>
          <w:rFonts w:ascii="Arial" w:hAnsi="Arial" w:cs="Arial"/>
          <w:sz w:val="24"/>
          <w:szCs w:val="24"/>
        </w:rPr>
        <w:t>dez</w:t>
      </w:r>
      <w:r w:rsidRPr="00C83CC2">
        <w:rPr>
          <w:rFonts w:ascii="Arial" w:hAnsi="Arial" w:cs="Arial"/>
          <w:sz w:val="24"/>
          <w:szCs w:val="24"/>
        </w:rPr>
        <w:t>embro de 2008.</w:t>
      </w:r>
    </w:p>
    <w:p w14:paraId="34F84A3E" w14:textId="77777777" w:rsidR="008C2218" w:rsidRPr="00C83CC2" w:rsidRDefault="008C2218" w:rsidP="00385F17">
      <w:pPr>
        <w:autoSpaceDE w:val="0"/>
        <w:autoSpaceDN w:val="0"/>
        <w:adjustRightInd w:val="0"/>
        <w:spacing w:before="240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909547" w14:textId="77777777" w:rsidR="0070153D" w:rsidRPr="00C83CC2" w:rsidRDefault="0070153D" w:rsidP="00385F1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C83CC2">
        <w:rPr>
          <w:rFonts w:ascii="Arial" w:hAnsi="Arial" w:cs="Arial"/>
          <w:b/>
          <w:bCs/>
          <w:sz w:val="24"/>
          <w:szCs w:val="24"/>
        </w:rPr>
        <w:t>NESTOR BAPTISTA</w:t>
      </w:r>
    </w:p>
    <w:p w14:paraId="03BB97D1" w14:textId="77777777" w:rsidR="009020D8" w:rsidRPr="00C83CC2" w:rsidRDefault="0070153D" w:rsidP="0086716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83CC2">
        <w:rPr>
          <w:rFonts w:ascii="Arial" w:hAnsi="Arial" w:cs="Arial"/>
          <w:sz w:val="24"/>
          <w:szCs w:val="24"/>
        </w:rPr>
        <w:t>Presidente</w:t>
      </w:r>
    </w:p>
    <w:sectPr w:rsidR="009020D8" w:rsidRPr="00C83CC2" w:rsidSect="00C83CC2">
      <w:headerReference w:type="default" r:id="rId12"/>
      <w:footerReference w:type="even" r:id="rId13"/>
      <w:footerReference w:type="default" r:id="rId14"/>
      <w:footnotePr>
        <w:numFmt w:val="chicago"/>
      </w:footnotePr>
      <w:pgSz w:w="12240" w:h="15840" w:code="1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96DF" w14:textId="77777777" w:rsidR="005D78CE" w:rsidRDefault="005D78CE">
      <w:r>
        <w:separator/>
      </w:r>
    </w:p>
  </w:endnote>
  <w:endnote w:type="continuationSeparator" w:id="0">
    <w:p w14:paraId="2BAA7551" w14:textId="77777777" w:rsidR="005D78CE" w:rsidRDefault="005D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651F" w14:textId="77777777" w:rsidR="00BB3BCD" w:rsidRDefault="00BB3BC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D40624" w14:textId="77777777" w:rsidR="00BB3BCD" w:rsidRDefault="00BB3B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E084" w14:textId="4A410B11" w:rsidR="00BB3BCD" w:rsidRDefault="00BB3BCD">
    <w:pPr>
      <w:pStyle w:val="Rodap"/>
      <w:framePr w:wrap="around" w:vAnchor="text" w:hAnchor="margin" w:xAlign="center" w:y="1"/>
      <w:rPr>
        <w:rStyle w:val="Nmerodepgina"/>
      </w:rPr>
    </w:pPr>
  </w:p>
  <w:p w14:paraId="17650A90" w14:textId="77777777" w:rsidR="00BB3BCD" w:rsidRDefault="00BB3B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8329" w14:textId="77777777" w:rsidR="005D78CE" w:rsidRDefault="005D78CE">
      <w:r>
        <w:separator/>
      </w:r>
    </w:p>
  </w:footnote>
  <w:footnote w:type="continuationSeparator" w:id="0">
    <w:p w14:paraId="231F15A9" w14:textId="77777777" w:rsidR="005D78CE" w:rsidRDefault="005D78CE">
      <w:r>
        <w:continuationSeparator/>
      </w:r>
    </w:p>
  </w:footnote>
  <w:footnote w:id="1">
    <w:p w14:paraId="0A926EAD" w14:textId="77777777" w:rsidR="00C12CD3" w:rsidRPr="00B67FCB" w:rsidRDefault="00C12CD3" w:rsidP="00C12CD3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67FCB">
        <w:rPr>
          <w:rFonts w:ascii="Arial" w:hAnsi="Arial" w:cs="Arial"/>
          <w:b/>
        </w:rPr>
        <w:t>Notas da Biblioteca:</w:t>
      </w:r>
    </w:p>
    <w:bookmarkEnd w:id="0"/>
    <w:p w14:paraId="2EACAAC8" w14:textId="239089EF" w:rsidR="00C12CD3" w:rsidRPr="00405077" w:rsidRDefault="00C12CD3" w:rsidP="00405077">
      <w:pPr>
        <w:pStyle w:val="Textodenotaderodap"/>
        <w:numPr>
          <w:ilvl w:val="0"/>
          <w:numId w:val="35"/>
        </w:numPr>
        <w:ind w:left="426" w:hanging="284"/>
        <w:jc w:val="both"/>
        <w:textAlignment w:val="top"/>
        <w:rPr>
          <w:rFonts w:ascii="Arial" w:hAnsi="Arial" w:cs="Arial"/>
          <w:color w:val="0000FF"/>
        </w:rPr>
      </w:pPr>
      <w:r w:rsidRPr="00405077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65F2A" w:rsidRPr="0012128D">
          <w:rPr>
            <w:rStyle w:val="Hyperlink"/>
            <w:rFonts w:ascii="Arial" w:hAnsi="Arial" w:cs="Arial"/>
            <w:b/>
          </w:rPr>
          <w:t>Atos Oficiais do Tribunal de Contas do Estado do Paraná</w:t>
        </w:r>
        <w:r w:rsidR="00665F2A" w:rsidRPr="00405077">
          <w:rPr>
            <w:rStyle w:val="Hyperlink"/>
            <w:rFonts w:ascii="Arial" w:hAnsi="Arial" w:cs="Arial"/>
            <w:bCs/>
          </w:rPr>
          <w:t>,</w:t>
        </w:r>
        <w:r w:rsidR="00665F2A" w:rsidRPr="00405077">
          <w:rPr>
            <w:rStyle w:val="Hyperlink"/>
            <w:rFonts w:ascii="Arial" w:hAnsi="Arial" w:cs="Arial"/>
          </w:rPr>
          <w:t xml:space="preserve"> Curitiba, PR, n. 183, 23 jan. 2009, p. 70</w:t>
        </w:r>
      </w:hyperlink>
      <w:r w:rsidR="00665F2A" w:rsidRPr="00405077">
        <w:rPr>
          <w:rFonts w:ascii="Arial" w:hAnsi="Arial" w:cs="Arial"/>
        </w:rPr>
        <w:t>.</w:t>
      </w:r>
    </w:p>
    <w:p w14:paraId="31207C85" w14:textId="6E10A21B" w:rsidR="00C12CD3" w:rsidRPr="00405077" w:rsidRDefault="00425901" w:rsidP="00405077">
      <w:pPr>
        <w:pStyle w:val="Ttulo1"/>
        <w:numPr>
          <w:ilvl w:val="0"/>
          <w:numId w:val="35"/>
        </w:numPr>
        <w:ind w:left="426" w:hanging="284"/>
        <w:jc w:val="both"/>
        <w:rPr>
          <w:rStyle w:val="Hyperlink"/>
          <w:rFonts w:ascii="Arial" w:hAnsi="Arial" w:cs="Arial"/>
          <w:b w:val="0"/>
          <w:bCs w:val="0"/>
        </w:rPr>
      </w:pPr>
      <w:r w:rsidRPr="009C6FCD">
        <w:rPr>
          <w:rFonts w:ascii="Arial" w:hAnsi="Arial" w:cs="Arial"/>
          <w:b w:val="0"/>
          <w:bCs w:val="0"/>
        </w:rPr>
        <w:t>Origem:</w:t>
      </w:r>
      <w:r w:rsidRPr="00440443">
        <w:rPr>
          <w:rFonts w:cs="Calibri"/>
        </w:rPr>
        <w:t xml:space="preserve"> </w:t>
      </w:r>
      <w:r w:rsidR="00C12CD3" w:rsidRPr="00405077">
        <w:rPr>
          <w:rFonts w:ascii="Arial" w:hAnsi="Arial" w:cs="Arial"/>
          <w:b w:val="0"/>
          <w:bCs w:val="0"/>
        </w:rPr>
        <w:t xml:space="preserve">Processo n. 62659-2/08 – </w:t>
      </w:r>
      <w:hyperlink r:id="rId2" w:history="1">
        <w:r w:rsidR="00C12CD3" w:rsidRPr="00405077">
          <w:rPr>
            <w:rStyle w:val="Hyperlink"/>
            <w:rFonts w:ascii="Arial" w:hAnsi="Arial" w:cs="Arial"/>
            <w:b w:val="0"/>
            <w:bCs w:val="0"/>
          </w:rPr>
          <w:t>Acórdão n. 1.835/2008 – Tribunal Pleno.</w:t>
        </w:r>
      </w:hyperlink>
    </w:p>
    <w:p w14:paraId="2586E51D" w14:textId="77C32A57" w:rsidR="00C12CD3" w:rsidRPr="00785F95" w:rsidRDefault="00405077" w:rsidP="00405077">
      <w:pPr>
        <w:pStyle w:val="PargrafodaLista"/>
        <w:numPr>
          <w:ilvl w:val="0"/>
          <w:numId w:val="35"/>
        </w:numPr>
        <w:ind w:left="426" w:hanging="284"/>
      </w:pPr>
      <w:r w:rsidRPr="00405077">
        <w:rPr>
          <w:rFonts w:ascii="Arial" w:hAnsi="Arial" w:cs="Arial"/>
          <w:b/>
        </w:rPr>
        <w:t>Substitui</w:t>
      </w:r>
      <w:r w:rsidRPr="00405077">
        <w:rPr>
          <w:rFonts w:ascii="Arial" w:hAnsi="Arial" w:cs="Arial"/>
        </w:rPr>
        <w:t xml:space="preserve">: </w:t>
      </w:r>
      <w:hyperlink r:id="rId3" w:history="1">
        <w:r w:rsidR="00DE0DAC" w:rsidRPr="00696921">
          <w:rPr>
            <w:rStyle w:val="Hyperlink"/>
            <w:rFonts w:ascii="Arial" w:hAnsi="Arial" w:cs="Arial"/>
          </w:rPr>
          <w:t>Instrução Técnica n. 38, de 14 de janeiro de 2005</w:t>
        </w:r>
      </w:hyperlink>
      <w:r w:rsidR="00DE0DAC" w:rsidRPr="00E2231E">
        <w:rPr>
          <w:rFonts w:ascii="Arial" w:hAnsi="Arial" w:cs="Arial"/>
        </w:rPr>
        <w:t>.</w:t>
      </w:r>
    </w:p>
    <w:p w14:paraId="379A1AEA" w14:textId="77777777" w:rsidR="009B32B8" w:rsidRPr="00230B23" w:rsidRDefault="009B32B8" w:rsidP="00230B23">
      <w:pPr>
        <w:numPr>
          <w:ilvl w:val="0"/>
          <w:numId w:val="35"/>
        </w:numPr>
        <w:ind w:left="426" w:hanging="284"/>
        <w:rPr>
          <w:rFonts w:ascii="Arial" w:hAnsi="Arial" w:cs="Arial"/>
        </w:rPr>
      </w:pPr>
      <w:r w:rsidRPr="00230B23">
        <w:rPr>
          <w:rFonts w:ascii="Arial" w:hAnsi="Arial" w:cs="Arial"/>
          <w:b/>
          <w:bCs/>
        </w:rPr>
        <w:t>Ver também</w:t>
      </w:r>
      <w:r w:rsidRPr="00230B23">
        <w:rPr>
          <w:rFonts w:ascii="Arial" w:hAnsi="Arial" w:cs="Arial"/>
        </w:rPr>
        <w:t>:</w:t>
      </w:r>
    </w:p>
    <w:bookmarkStart w:id="1" w:name="_Hlk107342513"/>
    <w:p w14:paraId="771F928D" w14:textId="77777777" w:rsidR="00290F5B" w:rsidRPr="00290F5B" w:rsidRDefault="00290F5B" w:rsidP="00DE0DAC">
      <w:pPr>
        <w:ind w:firstLine="426"/>
        <w:rPr>
          <w:rFonts w:ascii="Arial" w:hAnsi="Arial" w:cs="Arial"/>
        </w:rPr>
      </w:pPr>
      <w:r w:rsidRPr="00290F5B">
        <w:rPr>
          <w:rFonts w:ascii="Arial" w:hAnsi="Arial" w:cs="Arial"/>
        </w:rPr>
        <w:fldChar w:fldCharType="begin"/>
      </w:r>
      <w:r w:rsidRPr="00290F5B">
        <w:rPr>
          <w:rFonts w:ascii="Arial" w:hAnsi="Arial" w:cs="Arial"/>
        </w:rPr>
        <w:instrText xml:space="preserve"> HYPERLINK "https://www1.tce.pr.gov.br/conteudo/provimento-n%C2%BA-37-99antigo-01-99-regulamentacao-do-controle-da-aplicacao-de-r/1340/area/249" </w:instrText>
      </w:r>
      <w:r w:rsidRPr="00290F5B">
        <w:rPr>
          <w:rFonts w:ascii="Arial" w:hAnsi="Arial" w:cs="Arial"/>
        </w:rPr>
        <w:fldChar w:fldCharType="separate"/>
      </w:r>
      <w:r w:rsidRPr="00290F5B">
        <w:rPr>
          <w:rStyle w:val="Hyperlink"/>
          <w:rFonts w:ascii="Arial" w:hAnsi="Arial" w:cs="Arial"/>
        </w:rPr>
        <w:t xml:space="preserve">Provimento n.  37, de 7 de dezembro de 1999. </w:t>
      </w:r>
      <w:r w:rsidRPr="00290F5B">
        <w:rPr>
          <w:rFonts w:ascii="Arial" w:hAnsi="Arial" w:cs="Arial"/>
        </w:rPr>
        <w:fldChar w:fldCharType="end"/>
      </w:r>
      <w:r w:rsidRPr="00290F5B">
        <w:rPr>
          <w:rFonts w:ascii="Arial" w:hAnsi="Arial" w:cs="Arial"/>
        </w:rPr>
        <w:t xml:space="preserve"> </w:t>
      </w:r>
    </w:p>
    <w:p w14:paraId="08DA5970" w14:textId="496C1817" w:rsidR="00785F95" w:rsidRDefault="008E3604" w:rsidP="00230B23">
      <w:pPr>
        <w:ind w:firstLine="426"/>
      </w:pPr>
      <w:hyperlink r:id="rId4" w:history="1">
        <w:r w:rsidR="009B32B8" w:rsidRPr="008E3604">
          <w:rPr>
            <w:rStyle w:val="Hyperlink"/>
            <w:rFonts w:ascii="Arial" w:hAnsi="Arial" w:cs="Arial"/>
          </w:rPr>
          <w:t>Resolução n</w:t>
        </w:r>
        <w:r w:rsidR="0088017D">
          <w:rPr>
            <w:rStyle w:val="Hyperlink"/>
            <w:rFonts w:ascii="Arial" w:hAnsi="Arial" w:cs="Arial"/>
          </w:rPr>
          <w:t>.</w:t>
        </w:r>
        <w:r w:rsidR="009B32B8" w:rsidRPr="008E3604">
          <w:rPr>
            <w:rStyle w:val="Hyperlink"/>
            <w:rFonts w:ascii="Arial" w:hAnsi="Arial" w:cs="Arial"/>
          </w:rPr>
          <w:t xml:space="preserve"> 122/2004</w:t>
        </w:r>
        <w:bookmarkEnd w:id="1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7B0A" w14:textId="1F3C7879" w:rsidR="00CC5E7A" w:rsidRDefault="008E1D22" w:rsidP="00CE6A2C">
    <w:pPr>
      <w:pStyle w:val="Cabealho"/>
      <w:spacing w:before="24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9E65D2" wp14:editId="5EB500BB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3EC3CD38" w14:textId="77777777" w:rsidR="00CE6A2C" w:rsidRDefault="00CE6A2C" w:rsidP="005C016B">
    <w:pPr>
      <w:pStyle w:val="Cabealho"/>
      <w:spacing w:before="120"/>
      <w:jc w:val="center"/>
      <w:rPr>
        <w:sz w:val="28"/>
      </w:rPr>
    </w:pPr>
  </w:p>
  <w:p w14:paraId="0B1A7DBA" w14:textId="77777777" w:rsidR="00BB3BCD" w:rsidRDefault="00BB3B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475"/>
    <w:multiLevelType w:val="hybridMultilevel"/>
    <w:tmpl w:val="43F21FDC"/>
    <w:lvl w:ilvl="0" w:tplc="BAACEB8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408"/>
    <w:multiLevelType w:val="hybridMultilevel"/>
    <w:tmpl w:val="6FD83C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320CC"/>
    <w:multiLevelType w:val="hybridMultilevel"/>
    <w:tmpl w:val="B3F8C77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 w15:restartNumberingAfterBreak="0">
    <w:nsid w:val="1286436D"/>
    <w:multiLevelType w:val="hybridMultilevel"/>
    <w:tmpl w:val="C0AE8C3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410D9"/>
    <w:multiLevelType w:val="hybridMultilevel"/>
    <w:tmpl w:val="EE46B7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8286286"/>
    <w:multiLevelType w:val="hybridMultilevel"/>
    <w:tmpl w:val="1530462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64"/>
        </w:tabs>
        <w:ind w:left="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84"/>
        </w:tabs>
        <w:ind w:left="1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04"/>
        </w:tabs>
        <w:ind w:left="2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24"/>
        </w:tabs>
        <w:ind w:left="2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64"/>
        </w:tabs>
        <w:ind w:left="4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84"/>
        </w:tabs>
        <w:ind w:left="4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04"/>
        </w:tabs>
        <w:ind w:left="5604" w:hanging="180"/>
      </w:pPr>
    </w:lvl>
  </w:abstractNum>
  <w:abstractNum w:abstractNumId="9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25D6310C"/>
    <w:multiLevelType w:val="hybridMultilevel"/>
    <w:tmpl w:val="B3C4D58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5726A"/>
    <w:multiLevelType w:val="hybridMultilevel"/>
    <w:tmpl w:val="45706C88"/>
    <w:lvl w:ilvl="0" w:tplc="5E02065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FC602D2"/>
    <w:multiLevelType w:val="hybridMultilevel"/>
    <w:tmpl w:val="D50A6004"/>
    <w:lvl w:ilvl="0" w:tplc="E8EE9A9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FD3A3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432430"/>
    <w:multiLevelType w:val="hybridMultilevel"/>
    <w:tmpl w:val="CF62A0A0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674AE"/>
    <w:multiLevelType w:val="hybridMultilevel"/>
    <w:tmpl w:val="F940CE6A"/>
    <w:lvl w:ilvl="0" w:tplc="0416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966B56"/>
    <w:multiLevelType w:val="hybridMultilevel"/>
    <w:tmpl w:val="3DD8F122"/>
    <w:lvl w:ilvl="0" w:tplc="F8208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05C41"/>
    <w:multiLevelType w:val="hybridMultilevel"/>
    <w:tmpl w:val="D8CA4B7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427839B5"/>
    <w:multiLevelType w:val="hybridMultilevel"/>
    <w:tmpl w:val="34D2EB3C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B291976"/>
    <w:multiLevelType w:val="hybridMultilevel"/>
    <w:tmpl w:val="60868130"/>
    <w:lvl w:ilvl="0" w:tplc="B0402B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pacing w:val="-1"/>
        <w:w w:val="10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51324"/>
    <w:multiLevelType w:val="multilevel"/>
    <w:tmpl w:val="D8CA4B7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 w15:restartNumberingAfterBreak="0">
    <w:nsid w:val="53245AE0"/>
    <w:multiLevelType w:val="hybridMultilevel"/>
    <w:tmpl w:val="2CC00804"/>
    <w:lvl w:ilvl="0" w:tplc="4FBEB3FC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CA6F52"/>
    <w:multiLevelType w:val="multilevel"/>
    <w:tmpl w:val="B3F8C77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80A0E40"/>
    <w:multiLevelType w:val="hybridMultilevel"/>
    <w:tmpl w:val="A4DAAF54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68F84CF1"/>
    <w:multiLevelType w:val="hybridMultilevel"/>
    <w:tmpl w:val="01684958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736C5038"/>
    <w:multiLevelType w:val="hybridMultilevel"/>
    <w:tmpl w:val="943E8E4C"/>
    <w:lvl w:ilvl="0" w:tplc="4FBEB3FC">
      <w:start w:val="1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70D09F0"/>
    <w:multiLevelType w:val="hybridMultilevel"/>
    <w:tmpl w:val="CB74A676"/>
    <w:lvl w:ilvl="0" w:tplc="88709E3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24F34"/>
    <w:multiLevelType w:val="hybridMultilevel"/>
    <w:tmpl w:val="FE7A4FFC"/>
    <w:lvl w:ilvl="0" w:tplc="DEF4DE68">
      <w:start w:val="1"/>
      <w:numFmt w:val="upperRoman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4" w15:restartNumberingAfterBreak="0">
    <w:nsid w:val="7E3C1C9B"/>
    <w:multiLevelType w:val="hybridMultilevel"/>
    <w:tmpl w:val="3912D3FA"/>
    <w:lvl w:ilvl="0" w:tplc="A3BCCA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6" w15:restartNumberingAfterBreak="0">
    <w:nsid w:val="7FD84820"/>
    <w:multiLevelType w:val="hybridMultilevel"/>
    <w:tmpl w:val="4CF6EE3A"/>
    <w:lvl w:ilvl="0" w:tplc="FF98071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526604">
    <w:abstractNumId w:val="15"/>
  </w:num>
  <w:num w:numId="2" w16cid:durableId="2063018259">
    <w:abstractNumId w:val="22"/>
  </w:num>
  <w:num w:numId="3" w16cid:durableId="2083064001">
    <w:abstractNumId w:val="7"/>
  </w:num>
  <w:num w:numId="4" w16cid:durableId="27225085">
    <w:abstractNumId w:val="28"/>
  </w:num>
  <w:num w:numId="5" w16cid:durableId="390228382">
    <w:abstractNumId w:val="9"/>
  </w:num>
  <w:num w:numId="6" w16cid:durableId="613026486">
    <w:abstractNumId w:val="21"/>
  </w:num>
  <w:num w:numId="7" w16cid:durableId="682244013">
    <w:abstractNumId w:val="3"/>
  </w:num>
  <w:num w:numId="8" w16cid:durableId="338236631">
    <w:abstractNumId w:val="16"/>
  </w:num>
  <w:num w:numId="9" w16cid:durableId="584385344">
    <w:abstractNumId w:val="4"/>
  </w:num>
  <w:num w:numId="10" w16cid:durableId="1500846511">
    <w:abstractNumId w:val="35"/>
  </w:num>
  <w:num w:numId="11" w16cid:durableId="2113553056">
    <w:abstractNumId w:val="25"/>
  </w:num>
  <w:num w:numId="12" w16cid:durableId="1186989480">
    <w:abstractNumId w:val="18"/>
  </w:num>
  <w:num w:numId="13" w16cid:durableId="684357367">
    <w:abstractNumId w:val="33"/>
  </w:num>
  <w:num w:numId="14" w16cid:durableId="899632060">
    <w:abstractNumId w:val="29"/>
  </w:num>
  <w:num w:numId="15" w16cid:durableId="685057853">
    <w:abstractNumId w:val="32"/>
  </w:num>
  <w:num w:numId="16" w16cid:durableId="300503201">
    <w:abstractNumId w:val="19"/>
  </w:num>
  <w:num w:numId="17" w16cid:durableId="2136483529">
    <w:abstractNumId w:val="10"/>
  </w:num>
  <w:num w:numId="18" w16cid:durableId="800806675">
    <w:abstractNumId w:val="8"/>
  </w:num>
  <w:num w:numId="19" w16cid:durableId="735861521">
    <w:abstractNumId w:val="1"/>
  </w:num>
  <w:num w:numId="20" w16cid:durableId="1488083760">
    <w:abstractNumId w:val="20"/>
  </w:num>
  <w:num w:numId="21" w16cid:durableId="316736988">
    <w:abstractNumId w:val="5"/>
  </w:num>
  <w:num w:numId="22" w16cid:durableId="1774737858">
    <w:abstractNumId w:val="6"/>
  </w:num>
  <w:num w:numId="23" w16cid:durableId="892352059">
    <w:abstractNumId w:val="24"/>
  </w:num>
  <w:num w:numId="24" w16cid:durableId="821315492">
    <w:abstractNumId w:val="2"/>
  </w:num>
  <w:num w:numId="25" w16cid:durableId="802041479">
    <w:abstractNumId w:val="27"/>
  </w:num>
  <w:num w:numId="26" w16cid:durableId="1020352171">
    <w:abstractNumId w:val="30"/>
  </w:num>
  <w:num w:numId="27" w16cid:durableId="327828426">
    <w:abstractNumId w:val="12"/>
  </w:num>
  <w:num w:numId="28" w16cid:durableId="1420567781">
    <w:abstractNumId w:val="13"/>
  </w:num>
  <w:num w:numId="29" w16cid:durableId="607204836">
    <w:abstractNumId w:val="17"/>
  </w:num>
  <w:num w:numId="30" w16cid:durableId="862937848">
    <w:abstractNumId w:val="36"/>
  </w:num>
  <w:num w:numId="31" w16cid:durableId="1132945934">
    <w:abstractNumId w:val="31"/>
  </w:num>
  <w:num w:numId="32" w16cid:durableId="1667780817">
    <w:abstractNumId w:val="11"/>
  </w:num>
  <w:num w:numId="33" w16cid:durableId="2113747450">
    <w:abstractNumId w:val="14"/>
  </w:num>
  <w:num w:numId="34" w16cid:durableId="225730009">
    <w:abstractNumId w:val="26"/>
  </w:num>
  <w:num w:numId="35" w16cid:durableId="1473137091">
    <w:abstractNumId w:val="34"/>
  </w:num>
  <w:num w:numId="36" w16cid:durableId="1247032095">
    <w:abstractNumId w:val="23"/>
  </w:num>
  <w:num w:numId="37" w16cid:durableId="168540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BB"/>
    <w:rsid w:val="00011775"/>
    <w:rsid w:val="000155A7"/>
    <w:rsid w:val="000317A6"/>
    <w:rsid w:val="00033CCB"/>
    <w:rsid w:val="00035831"/>
    <w:rsid w:val="000373AE"/>
    <w:rsid w:val="00043CBB"/>
    <w:rsid w:val="00045B67"/>
    <w:rsid w:val="000523A7"/>
    <w:rsid w:val="0007534A"/>
    <w:rsid w:val="00075923"/>
    <w:rsid w:val="00084A1A"/>
    <w:rsid w:val="00091119"/>
    <w:rsid w:val="00093FEB"/>
    <w:rsid w:val="000A2DF0"/>
    <w:rsid w:val="000A4DC0"/>
    <w:rsid w:val="000C53B2"/>
    <w:rsid w:val="000E09EE"/>
    <w:rsid w:val="000E0C6E"/>
    <w:rsid w:val="000E3A20"/>
    <w:rsid w:val="000E4D04"/>
    <w:rsid w:val="000F7E19"/>
    <w:rsid w:val="00101C04"/>
    <w:rsid w:val="00101D9A"/>
    <w:rsid w:val="001122BF"/>
    <w:rsid w:val="0012059B"/>
    <w:rsid w:val="0012128D"/>
    <w:rsid w:val="00137383"/>
    <w:rsid w:val="001373B2"/>
    <w:rsid w:val="00150CE0"/>
    <w:rsid w:val="00155A61"/>
    <w:rsid w:val="00170CC1"/>
    <w:rsid w:val="001743D2"/>
    <w:rsid w:val="001809E9"/>
    <w:rsid w:val="001A151D"/>
    <w:rsid w:val="001C1B01"/>
    <w:rsid w:val="001C1B82"/>
    <w:rsid w:val="001C5060"/>
    <w:rsid w:val="001C79D8"/>
    <w:rsid w:val="001F26F2"/>
    <w:rsid w:val="00203248"/>
    <w:rsid w:val="0021777D"/>
    <w:rsid w:val="00230B23"/>
    <w:rsid w:val="002407DE"/>
    <w:rsid w:val="0025010A"/>
    <w:rsid w:val="00250DD7"/>
    <w:rsid w:val="00280A16"/>
    <w:rsid w:val="00281D9C"/>
    <w:rsid w:val="00290F5B"/>
    <w:rsid w:val="002A1CF1"/>
    <w:rsid w:val="002E25E4"/>
    <w:rsid w:val="002E5726"/>
    <w:rsid w:val="002E7F09"/>
    <w:rsid w:val="0030462F"/>
    <w:rsid w:val="0032085F"/>
    <w:rsid w:val="003227D7"/>
    <w:rsid w:val="003304E4"/>
    <w:rsid w:val="003351C0"/>
    <w:rsid w:val="00342CF2"/>
    <w:rsid w:val="00351218"/>
    <w:rsid w:val="0035164D"/>
    <w:rsid w:val="003722DC"/>
    <w:rsid w:val="00372BDC"/>
    <w:rsid w:val="00382A58"/>
    <w:rsid w:val="00385F17"/>
    <w:rsid w:val="003C6955"/>
    <w:rsid w:val="003D5804"/>
    <w:rsid w:val="003F4141"/>
    <w:rsid w:val="003F5582"/>
    <w:rsid w:val="0040347F"/>
    <w:rsid w:val="00405077"/>
    <w:rsid w:val="004101BF"/>
    <w:rsid w:val="00416A9A"/>
    <w:rsid w:val="0042360A"/>
    <w:rsid w:val="00425327"/>
    <w:rsid w:val="00425901"/>
    <w:rsid w:val="00444EF9"/>
    <w:rsid w:val="00447594"/>
    <w:rsid w:val="00452BF7"/>
    <w:rsid w:val="00455ECA"/>
    <w:rsid w:val="00456DEB"/>
    <w:rsid w:val="004648F6"/>
    <w:rsid w:val="00480F04"/>
    <w:rsid w:val="004959E9"/>
    <w:rsid w:val="004A4F40"/>
    <w:rsid w:val="004B00DD"/>
    <w:rsid w:val="004B6607"/>
    <w:rsid w:val="004D214E"/>
    <w:rsid w:val="004D5124"/>
    <w:rsid w:val="004E28C3"/>
    <w:rsid w:val="004E45DA"/>
    <w:rsid w:val="004E57C6"/>
    <w:rsid w:val="00515103"/>
    <w:rsid w:val="00522ACB"/>
    <w:rsid w:val="00527D1A"/>
    <w:rsid w:val="005318D5"/>
    <w:rsid w:val="00537684"/>
    <w:rsid w:val="005379C5"/>
    <w:rsid w:val="00550C5F"/>
    <w:rsid w:val="00557781"/>
    <w:rsid w:val="00562079"/>
    <w:rsid w:val="00570442"/>
    <w:rsid w:val="0057287E"/>
    <w:rsid w:val="00574AF9"/>
    <w:rsid w:val="005763EE"/>
    <w:rsid w:val="005816D5"/>
    <w:rsid w:val="00583714"/>
    <w:rsid w:val="00587C96"/>
    <w:rsid w:val="0059402C"/>
    <w:rsid w:val="005B747C"/>
    <w:rsid w:val="005C016B"/>
    <w:rsid w:val="005C230C"/>
    <w:rsid w:val="005D30FD"/>
    <w:rsid w:val="005D3EF1"/>
    <w:rsid w:val="005D7615"/>
    <w:rsid w:val="005D78CE"/>
    <w:rsid w:val="005E1A3C"/>
    <w:rsid w:val="005E72A8"/>
    <w:rsid w:val="005E79AC"/>
    <w:rsid w:val="00620720"/>
    <w:rsid w:val="00621852"/>
    <w:rsid w:val="00622A10"/>
    <w:rsid w:val="006253C8"/>
    <w:rsid w:val="00633CCC"/>
    <w:rsid w:val="00635ED2"/>
    <w:rsid w:val="00643597"/>
    <w:rsid w:val="00650828"/>
    <w:rsid w:val="00655121"/>
    <w:rsid w:val="00655585"/>
    <w:rsid w:val="0066517F"/>
    <w:rsid w:val="00665F2A"/>
    <w:rsid w:val="00683122"/>
    <w:rsid w:val="006854D2"/>
    <w:rsid w:val="00693103"/>
    <w:rsid w:val="006A130B"/>
    <w:rsid w:val="006B4864"/>
    <w:rsid w:val="006C322D"/>
    <w:rsid w:val="006D15E0"/>
    <w:rsid w:val="006D2372"/>
    <w:rsid w:val="006D5985"/>
    <w:rsid w:val="006D69AC"/>
    <w:rsid w:val="006E719A"/>
    <w:rsid w:val="006E7AC8"/>
    <w:rsid w:val="006F2B0F"/>
    <w:rsid w:val="0070153D"/>
    <w:rsid w:val="00704336"/>
    <w:rsid w:val="00707CB9"/>
    <w:rsid w:val="00714959"/>
    <w:rsid w:val="00725471"/>
    <w:rsid w:val="00726819"/>
    <w:rsid w:val="007269E7"/>
    <w:rsid w:val="007335C3"/>
    <w:rsid w:val="0073656C"/>
    <w:rsid w:val="00746E60"/>
    <w:rsid w:val="007520C4"/>
    <w:rsid w:val="0075679F"/>
    <w:rsid w:val="00757F32"/>
    <w:rsid w:val="00760742"/>
    <w:rsid w:val="00765948"/>
    <w:rsid w:val="00774D96"/>
    <w:rsid w:val="007824A0"/>
    <w:rsid w:val="00785206"/>
    <w:rsid w:val="00785F95"/>
    <w:rsid w:val="00786CE1"/>
    <w:rsid w:val="007B02AD"/>
    <w:rsid w:val="007B5372"/>
    <w:rsid w:val="007C4F25"/>
    <w:rsid w:val="007D11EB"/>
    <w:rsid w:val="007D498E"/>
    <w:rsid w:val="007D5C08"/>
    <w:rsid w:val="007E00CA"/>
    <w:rsid w:val="007E2F1E"/>
    <w:rsid w:val="007E3387"/>
    <w:rsid w:val="007E394C"/>
    <w:rsid w:val="007E4489"/>
    <w:rsid w:val="007E56A0"/>
    <w:rsid w:val="007E7646"/>
    <w:rsid w:val="007F0501"/>
    <w:rsid w:val="007F1D7C"/>
    <w:rsid w:val="007F457A"/>
    <w:rsid w:val="0080458B"/>
    <w:rsid w:val="00804E6A"/>
    <w:rsid w:val="00812772"/>
    <w:rsid w:val="0081465C"/>
    <w:rsid w:val="00817642"/>
    <w:rsid w:val="0083231E"/>
    <w:rsid w:val="00835232"/>
    <w:rsid w:val="00847CEA"/>
    <w:rsid w:val="008645EE"/>
    <w:rsid w:val="00867168"/>
    <w:rsid w:val="0088017D"/>
    <w:rsid w:val="008809BD"/>
    <w:rsid w:val="00890DDE"/>
    <w:rsid w:val="008B3477"/>
    <w:rsid w:val="008B57DB"/>
    <w:rsid w:val="008B5B70"/>
    <w:rsid w:val="008B6221"/>
    <w:rsid w:val="008C2218"/>
    <w:rsid w:val="008C2B7E"/>
    <w:rsid w:val="008C4BF6"/>
    <w:rsid w:val="008C7B8F"/>
    <w:rsid w:val="008D0A3F"/>
    <w:rsid w:val="008E1D22"/>
    <w:rsid w:val="008E348D"/>
    <w:rsid w:val="008E3604"/>
    <w:rsid w:val="008F1948"/>
    <w:rsid w:val="008F489E"/>
    <w:rsid w:val="00901B1F"/>
    <w:rsid w:val="009020D8"/>
    <w:rsid w:val="00902EB1"/>
    <w:rsid w:val="0090551D"/>
    <w:rsid w:val="00905C06"/>
    <w:rsid w:val="0091142D"/>
    <w:rsid w:val="00917BFA"/>
    <w:rsid w:val="009327EC"/>
    <w:rsid w:val="00934AD4"/>
    <w:rsid w:val="0095166E"/>
    <w:rsid w:val="009519D8"/>
    <w:rsid w:val="00952F07"/>
    <w:rsid w:val="009567B5"/>
    <w:rsid w:val="00967354"/>
    <w:rsid w:val="009727E9"/>
    <w:rsid w:val="0097359A"/>
    <w:rsid w:val="009830EE"/>
    <w:rsid w:val="00990F0C"/>
    <w:rsid w:val="00997A76"/>
    <w:rsid w:val="009B1DEE"/>
    <w:rsid w:val="009B32B8"/>
    <w:rsid w:val="009B6D9A"/>
    <w:rsid w:val="009D17FA"/>
    <w:rsid w:val="009D1A31"/>
    <w:rsid w:val="009E6306"/>
    <w:rsid w:val="009F001D"/>
    <w:rsid w:val="009F6815"/>
    <w:rsid w:val="00A07531"/>
    <w:rsid w:val="00A1030A"/>
    <w:rsid w:val="00A2444E"/>
    <w:rsid w:val="00A24B06"/>
    <w:rsid w:val="00A3470B"/>
    <w:rsid w:val="00A56E38"/>
    <w:rsid w:val="00A62025"/>
    <w:rsid w:val="00A647E2"/>
    <w:rsid w:val="00A6765C"/>
    <w:rsid w:val="00A74625"/>
    <w:rsid w:val="00A876AA"/>
    <w:rsid w:val="00AA02DF"/>
    <w:rsid w:val="00AA2577"/>
    <w:rsid w:val="00AA43B6"/>
    <w:rsid w:val="00AC11DB"/>
    <w:rsid w:val="00AC7FF6"/>
    <w:rsid w:val="00AD309F"/>
    <w:rsid w:val="00AE0715"/>
    <w:rsid w:val="00AE521D"/>
    <w:rsid w:val="00AE6F36"/>
    <w:rsid w:val="00B00A27"/>
    <w:rsid w:val="00B01528"/>
    <w:rsid w:val="00B2352E"/>
    <w:rsid w:val="00B246EC"/>
    <w:rsid w:val="00B2604E"/>
    <w:rsid w:val="00B37A0F"/>
    <w:rsid w:val="00B42B07"/>
    <w:rsid w:val="00B45C29"/>
    <w:rsid w:val="00B46A95"/>
    <w:rsid w:val="00B511F9"/>
    <w:rsid w:val="00B55DD5"/>
    <w:rsid w:val="00B566E2"/>
    <w:rsid w:val="00B57473"/>
    <w:rsid w:val="00B60F9E"/>
    <w:rsid w:val="00B72DEE"/>
    <w:rsid w:val="00B73A84"/>
    <w:rsid w:val="00B813F2"/>
    <w:rsid w:val="00B82D68"/>
    <w:rsid w:val="00B86C03"/>
    <w:rsid w:val="00B95104"/>
    <w:rsid w:val="00B95B06"/>
    <w:rsid w:val="00BB268C"/>
    <w:rsid w:val="00BB3BCD"/>
    <w:rsid w:val="00BB4FF4"/>
    <w:rsid w:val="00BD609A"/>
    <w:rsid w:val="00BE5A47"/>
    <w:rsid w:val="00BE6AC4"/>
    <w:rsid w:val="00BE6E79"/>
    <w:rsid w:val="00BE77AD"/>
    <w:rsid w:val="00BF45DA"/>
    <w:rsid w:val="00BF636D"/>
    <w:rsid w:val="00C05728"/>
    <w:rsid w:val="00C06E95"/>
    <w:rsid w:val="00C06EF9"/>
    <w:rsid w:val="00C12CD3"/>
    <w:rsid w:val="00C12D3D"/>
    <w:rsid w:val="00C168C2"/>
    <w:rsid w:val="00C17315"/>
    <w:rsid w:val="00C21555"/>
    <w:rsid w:val="00C24F76"/>
    <w:rsid w:val="00C374BC"/>
    <w:rsid w:val="00C4721B"/>
    <w:rsid w:val="00C60F64"/>
    <w:rsid w:val="00C645DF"/>
    <w:rsid w:val="00C710A1"/>
    <w:rsid w:val="00C757BC"/>
    <w:rsid w:val="00C75B15"/>
    <w:rsid w:val="00C83CC2"/>
    <w:rsid w:val="00C95EA5"/>
    <w:rsid w:val="00CA0339"/>
    <w:rsid w:val="00CA3B04"/>
    <w:rsid w:val="00CB58F9"/>
    <w:rsid w:val="00CC5E7A"/>
    <w:rsid w:val="00CD12A6"/>
    <w:rsid w:val="00CD2405"/>
    <w:rsid w:val="00CE0B09"/>
    <w:rsid w:val="00CE2AEB"/>
    <w:rsid w:val="00CE4D56"/>
    <w:rsid w:val="00CE6A2C"/>
    <w:rsid w:val="00CF535F"/>
    <w:rsid w:val="00D1015E"/>
    <w:rsid w:val="00D103B3"/>
    <w:rsid w:val="00D15013"/>
    <w:rsid w:val="00D17360"/>
    <w:rsid w:val="00D25028"/>
    <w:rsid w:val="00D27EC4"/>
    <w:rsid w:val="00D51DF3"/>
    <w:rsid w:val="00D54023"/>
    <w:rsid w:val="00D677EF"/>
    <w:rsid w:val="00D823DF"/>
    <w:rsid w:val="00D83633"/>
    <w:rsid w:val="00D84816"/>
    <w:rsid w:val="00D964D4"/>
    <w:rsid w:val="00DA08AE"/>
    <w:rsid w:val="00DA0BEB"/>
    <w:rsid w:val="00DA509E"/>
    <w:rsid w:val="00DC2EE6"/>
    <w:rsid w:val="00DD0388"/>
    <w:rsid w:val="00DE0DAC"/>
    <w:rsid w:val="00DE6C33"/>
    <w:rsid w:val="00DE72C6"/>
    <w:rsid w:val="00DF315C"/>
    <w:rsid w:val="00DF44F6"/>
    <w:rsid w:val="00E27A99"/>
    <w:rsid w:val="00E3088E"/>
    <w:rsid w:val="00E4257B"/>
    <w:rsid w:val="00E50355"/>
    <w:rsid w:val="00E517F6"/>
    <w:rsid w:val="00E53BBB"/>
    <w:rsid w:val="00E552B8"/>
    <w:rsid w:val="00E57295"/>
    <w:rsid w:val="00E62DB8"/>
    <w:rsid w:val="00E63A40"/>
    <w:rsid w:val="00E668AF"/>
    <w:rsid w:val="00E669B5"/>
    <w:rsid w:val="00E70B0C"/>
    <w:rsid w:val="00E7100E"/>
    <w:rsid w:val="00E71442"/>
    <w:rsid w:val="00E7296F"/>
    <w:rsid w:val="00E82A47"/>
    <w:rsid w:val="00E8748B"/>
    <w:rsid w:val="00E972DB"/>
    <w:rsid w:val="00EA0E0D"/>
    <w:rsid w:val="00EC31AB"/>
    <w:rsid w:val="00ED0E1A"/>
    <w:rsid w:val="00EF3985"/>
    <w:rsid w:val="00EF43D9"/>
    <w:rsid w:val="00EF56ED"/>
    <w:rsid w:val="00EF7156"/>
    <w:rsid w:val="00F14FF4"/>
    <w:rsid w:val="00F274F2"/>
    <w:rsid w:val="00F34CAB"/>
    <w:rsid w:val="00F4116A"/>
    <w:rsid w:val="00F54DA5"/>
    <w:rsid w:val="00F56C9E"/>
    <w:rsid w:val="00F60942"/>
    <w:rsid w:val="00F6367D"/>
    <w:rsid w:val="00F63FD0"/>
    <w:rsid w:val="00F679CD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925DE"/>
  <w15:chartTrackingRefBased/>
  <w15:docId w15:val="{B1613802-C9FF-4A6B-86EE-4E19190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ind w:left="708"/>
      <w:jc w:val="both"/>
      <w:outlineLvl w:val="4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xtcomum">
    <w:name w:val="txtcomum"/>
    <w:basedOn w:val="Normal"/>
    <w:rsid w:val="00DD0388"/>
    <w:pPr>
      <w:spacing w:before="100" w:beforeAutospacing="1" w:after="100" w:afterAutospacing="1"/>
    </w:pPr>
    <w:rPr>
      <w:rFonts w:ascii="Verdana" w:hAnsi="Verdana"/>
      <w:color w:val="333333"/>
      <w:sz w:val="14"/>
      <w:szCs w:val="14"/>
    </w:rPr>
  </w:style>
  <w:style w:type="paragraph" w:styleId="Corpodetexto3">
    <w:name w:val="Body Text 3"/>
    <w:basedOn w:val="Normal"/>
    <w:rsid w:val="004E57C6"/>
    <w:pPr>
      <w:spacing w:after="120"/>
    </w:pPr>
    <w:rPr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AA43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ontetituloscript">
    <w:name w:val="fontetituloscript"/>
    <w:basedOn w:val="Fontepargpadro"/>
    <w:rsid w:val="00AA43B6"/>
  </w:style>
  <w:style w:type="paragraph" w:styleId="NormalWeb">
    <w:name w:val="Normal (Web)"/>
    <w:basedOn w:val="Normal"/>
    <w:rsid w:val="00AA43B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AA43B6"/>
    <w:rPr>
      <w:b/>
      <w:bCs/>
    </w:rPr>
  </w:style>
  <w:style w:type="character" w:styleId="Hyperlink">
    <w:name w:val="Hyperlink"/>
    <w:basedOn w:val="Fontepargpadro"/>
    <w:uiPriority w:val="99"/>
    <w:rsid w:val="00AA43B6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hidden/>
    <w:rsid w:val="00AA43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E1D22"/>
  </w:style>
  <w:style w:type="paragraph" w:styleId="PargrafodaLista">
    <w:name w:val="List Paragraph"/>
    <w:basedOn w:val="Normal"/>
    <w:uiPriority w:val="34"/>
    <w:qFormat/>
    <w:rsid w:val="00D823D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C12CD3"/>
  </w:style>
  <w:style w:type="character" w:customStyle="1" w:styleId="TextodenotaderodapChar">
    <w:name w:val="Texto de nota de rodapé Char"/>
    <w:basedOn w:val="Fontepargpadro"/>
    <w:link w:val="Textodenotaderodap"/>
    <w:rsid w:val="00C12CD3"/>
  </w:style>
  <w:style w:type="character" w:styleId="Refdenotaderodap">
    <w:name w:val="footnote reference"/>
    <w:basedOn w:val="Fontepargpadro"/>
    <w:rsid w:val="00C12CD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D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tecnica-n%C2%BA-38-2005/1244/area/24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nstrucao-tecnica-n%C2%BA-38-2005/1244/area/2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1.tce.pr.gov.br/conteudo/resolucao-122-2004-do-tribunal-pleno/2322/area/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provimento-n%C2%BA-37-99antigo-01-99-regulamentacao-do-controle-da-aplicacao-de-r/1340/area/249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tecnica-n%C2%BA-38-2005/1244/area/249" TargetMode="External"/><Relationship Id="rId2" Type="http://schemas.openxmlformats.org/officeDocument/2006/relationships/hyperlink" Target="https://www1.tce.pr.gov.br/multimidia/2009/1/pdf/00017716.pdf" TargetMode="External"/><Relationship Id="rId1" Type="http://schemas.openxmlformats.org/officeDocument/2006/relationships/hyperlink" Target="http://www1.tce.pr.gov.br/multimidia/2009/1/pdf/00000423.pdf" TargetMode="External"/><Relationship Id="rId4" Type="http://schemas.openxmlformats.org/officeDocument/2006/relationships/hyperlink" Target="https://www1.tce.pr.gov.br/conteudo/resolucao-122-2004-do-tribunal-pleno/2322/area/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7C07-6D1D-46D2-AF08-27D8BC5C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1641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 Fonseca</cp:lastModifiedBy>
  <cp:revision>45</cp:revision>
  <cp:lastPrinted>2008-11-27T11:25:00Z</cp:lastPrinted>
  <dcterms:created xsi:type="dcterms:W3CDTF">2022-06-08T19:38:00Z</dcterms:created>
  <dcterms:modified xsi:type="dcterms:W3CDTF">2022-07-12T18:13:00Z</dcterms:modified>
</cp:coreProperties>
</file>