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D42" w14:textId="44B895B7" w:rsidR="00727866" w:rsidRDefault="00727866" w:rsidP="00727866">
      <w:pPr>
        <w:spacing w:before="240"/>
        <w:jc w:val="center"/>
        <w:rPr>
          <w:rFonts w:cs="Arial"/>
          <w:b/>
          <w:bCs/>
          <w:sz w:val="28"/>
          <w:szCs w:val="28"/>
        </w:rPr>
      </w:pPr>
      <w:r>
        <w:rPr>
          <w:rFonts w:cs="Arial"/>
          <w:b/>
          <w:bCs/>
          <w:sz w:val="28"/>
          <w:szCs w:val="28"/>
        </w:rPr>
        <w:t>INSTRUÇÃO NORMATIVA Nº 109/2015</w:t>
      </w:r>
      <w:r w:rsidR="00037C80">
        <w:rPr>
          <w:rStyle w:val="Refdenotaderodap"/>
          <w:rFonts w:cs="Arial"/>
          <w:b/>
          <w:bCs/>
          <w:sz w:val="28"/>
          <w:szCs w:val="28"/>
        </w:rPr>
        <w:footnoteReference w:id="1"/>
      </w:r>
    </w:p>
    <w:p w14:paraId="0A5E2DA3" w14:textId="2BED8F9A" w:rsidR="00727866" w:rsidRDefault="00727866" w:rsidP="00727866">
      <w:pPr>
        <w:spacing w:before="360" w:after="360"/>
        <w:ind w:left="4536"/>
        <w:jc w:val="both"/>
        <w:rPr>
          <w:rFonts w:cs="Arial"/>
          <w:bCs/>
          <w:i/>
          <w:szCs w:val="22"/>
        </w:rPr>
      </w:pPr>
      <w:r>
        <w:rPr>
          <w:rFonts w:cs="Arial"/>
          <w:bCs/>
          <w:i/>
          <w:szCs w:val="22"/>
        </w:rPr>
        <w:t xml:space="preserve">Altera a </w:t>
      </w:r>
      <w:hyperlink r:id="rId8" w:history="1">
        <w:r w:rsidRPr="00B74E14">
          <w:rPr>
            <w:rStyle w:val="Hyperlink"/>
            <w:rFonts w:cs="Arial"/>
            <w:bCs/>
            <w:i/>
            <w:color w:val="0000FF"/>
            <w:szCs w:val="22"/>
          </w:rPr>
          <w:t>Instrução Normativa nº 95, de 13 de março de 2014</w:t>
        </w:r>
      </w:hyperlink>
      <w:r>
        <w:rPr>
          <w:rFonts w:cs="Arial"/>
          <w:bCs/>
          <w:i/>
          <w:szCs w:val="22"/>
        </w:rPr>
        <w:t>, que dispõe sobre o Procedimento de Acompanhamento Remoto – PROAR, instrumento para fiscalização, à distância, de atos de gestão das entidades de Administração Pública Municipal, e dá outras providências.</w:t>
      </w:r>
    </w:p>
    <w:p w14:paraId="5A0985FA" w14:textId="77777777" w:rsidR="00727866" w:rsidRPr="00116B6F" w:rsidRDefault="00727866" w:rsidP="00727866">
      <w:pPr>
        <w:tabs>
          <w:tab w:val="left" w:pos="1260"/>
          <w:tab w:val="left" w:pos="1440"/>
          <w:tab w:val="left" w:pos="1620"/>
          <w:tab w:val="left" w:pos="1800"/>
          <w:tab w:val="left" w:pos="1980"/>
        </w:tabs>
        <w:spacing w:before="120" w:after="120"/>
        <w:ind w:firstLine="1134"/>
        <w:jc w:val="both"/>
        <w:rPr>
          <w:rFonts w:cs="Arial"/>
          <w:sz w:val="24"/>
          <w:szCs w:val="24"/>
        </w:rPr>
      </w:pPr>
      <w:r w:rsidRPr="00116B6F">
        <w:rPr>
          <w:rFonts w:cs="Arial"/>
          <w:b/>
          <w:sz w:val="24"/>
          <w:szCs w:val="24"/>
        </w:rPr>
        <w:t>O TRIBUNAL DE CONTAS DO ESTADO DO PARANÁ</w:t>
      </w:r>
      <w:r w:rsidRPr="00116B6F">
        <w:rPr>
          <w:rFonts w:cs="Arial"/>
          <w:sz w:val="24"/>
          <w:szCs w:val="24"/>
        </w:rPr>
        <w:t xml:space="preserve">, no uso das atribuições contidas no art. 2º, I, da Lei Complementar n.º 113, de 15 de dezembro de 2005, e no art. 5.º, XIII, do Regimento Interno, e com base nos </w:t>
      </w:r>
      <w:proofErr w:type="spellStart"/>
      <w:r w:rsidRPr="00116B6F">
        <w:rPr>
          <w:rFonts w:cs="Arial"/>
          <w:sz w:val="24"/>
          <w:szCs w:val="24"/>
        </w:rPr>
        <w:t>arts</w:t>
      </w:r>
      <w:proofErr w:type="spellEnd"/>
      <w:r w:rsidRPr="00116B6F">
        <w:rPr>
          <w:rFonts w:cs="Arial"/>
          <w:sz w:val="24"/>
          <w:szCs w:val="24"/>
        </w:rPr>
        <w:t>. 187, II, 193 a 196, também do Regimento Interno,</w:t>
      </w:r>
    </w:p>
    <w:p w14:paraId="3A65B7C4" w14:textId="77777777" w:rsidR="00727866" w:rsidRPr="00116B6F" w:rsidRDefault="00727866" w:rsidP="00727866">
      <w:pPr>
        <w:tabs>
          <w:tab w:val="left" w:pos="1260"/>
          <w:tab w:val="left" w:pos="1440"/>
          <w:tab w:val="left" w:pos="1620"/>
          <w:tab w:val="left" w:pos="1800"/>
          <w:tab w:val="left" w:pos="1980"/>
        </w:tabs>
        <w:spacing w:before="240" w:after="240"/>
        <w:ind w:firstLine="1134"/>
        <w:rPr>
          <w:rFonts w:cs="Arial"/>
          <w:b/>
          <w:bCs/>
          <w:sz w:val="24"/>
          <w:szCs w:val="24"/>
        </w:rPr>
      </w:pPr>
      <w:r w:rsidRPr="00116B6F">
        <w:rPr>
          <w:rFonts w:cs="Arial"/>
          <w:b/>
          <w:bCs/>
          <w:sz w:val="24"/>
          <w:szCs w:val="24"/>
        </w:rPr>
        <w:t>RESOLVE</w:t>
      </w:r>
    </w:p>
    <w:p w14:paraId="6B479BEA" w14:textId="0B9A42ED" w:rsidR="00727866" w:rsidRPr="00D53E3B" w:rsidRDefault="00727866" w:rsidP="004B7A45">
      <w:pPr>
        <w:tabs>
          <w:tab w:val="left" w:pos="1260"/>
          <w:tab w:val="left" w:pos="1440"/>
          <w:tab w:val="left" w:pos="1620"/>
          <w:tab w:val="left" w:pos="1800"/>
          <w:tab w:val="left" w:pos="1980"/>
        </w:tabs>
        <w:spacing w:before="120"/>
        <w:ind w:firstLine="1134"/>
        <w:jc w:val="both"/>
        <w:rPr>
          <w:rFonts w:cs="Arial"/>
          <w:sz w:val="24"/>
          <w:szCs w:val="24"/>
        </w:rPr>
      </w:pPr>
      <w:r w:rsidRPr="00D53E3B">
        <w:rPr>
          <w:rFonts w:cs="Arial"/>
          <w:b/>
          <w:sz w:val="24"/>
          <w:szCs w:val="24"/>
        </w:rPr>
        <w:t xml:space="preserve">Art. 1º </w:t>
      </w:r>
      <w:r w:rsidRPr="00D53E3B">
        <w:rPr>
          <w:rFonts w:cs="Arial"/>
          <w:sz w:val="24"/>
          <w:szCs w:val="24"/>
        </w:rPr>
        <w:t xml:space="preserve">Os artigos da </w:t>
      </w:r>
      <w:hyperlink r:id="rId9" w:history="1">
        <w:r w:rsidRPr="00D53E3B">
          <w:rPr>
            <w:rStyle w:val="Hyperlink"/>
            <w:rFonts w:cs="Arial"/>
            <w:color w:val="0000FF"/>
            <w:sz w:val="24"/>
            <w:szCs w:val="24"/>
          </w:rPr>
          <w:t xml:space="preserve">Instrução Normativa nº 95, de </w:t>
        </w:r>
        <w:r w:rsidRPr="00D53E3B">
          <w:rPr>
            <w:rStyle w:val="Hyperlink"/>
            <w:rFonts w:cs="Arial"/>
            <w:bCs/>
            <w:color w:val="0000FF"/>
            <w:sz w:val="24"/>
            <w:szCs w:val="24"/>
          </w:rPr>
          <w:t>13 de março de 2014</w:t>
        </w:r>
      </w:hyperlink>
      <w:r w:rsidRPr="00D53E3B">
        <w:rPr>
          <w:rFonts w:cs="Arial"/>
          <w:color w:val="0000FF"/>
          <w:sz w:val="24"/>
          <w:szCs w:val="24"/>
        </w:rPr>
        <w:t>,</w:t>
      </w:r>
      <w:r w:rsidRPr="00D53E3B">
        <w:rPr>
          <w:rFonts w:cs="Arial"/>
          <w:sz w:val="24"/>
          <w:szCs w:val="24"/>
        </w:rPr>
        <w:t xml:space="preserve"> abaixo enumerados, passam a vigorar com as seguintes alterações:</w:t>
      </w:r>
    </w:p>
    <w:p w14:paraId="35354550" w14:textId="77777777" w:rsidR="00727866" w:rsidRPr="00D53E3B" w:rsidRDefault="00727866" w:rsidP="00727866">
      <w:pPr>
        <w:tabs>
          <w:tab w:val="left" w:pos="0"/>
          <w:tab w:val="left" w:pos="1260"/>
          <w:tab w:val="left" w:pos="1440"/>
        </w:tabs>
        <w:spacing w:before="120"/>
        <w:ind w:firstLine="1134"/>
        <w:jc w:val="both"/>
        <w:rPr>
          <w:rFonts w:cs="Arial"/>
          <w:sz w:val="24"/>
          <w:szCs w:val="24"/>
        </w:rPr>
      </w:pPr>
      <w:r w:rsidRPr="00D53E3B">
        <w:rPr>
          <w:rFonts w:cs="Arial"/>
          <w:sz w:val="24"/>
          <w:szCs w:val="24"/>
        </w:rPr>
        <w:t>“Art. 2º A unidade técnica responsável</w:t>
      </w:r>
      <w:r w:rsidRPr="00D53E3B">
        <w:rPr>
          <w:rFonts w:cs="Arial"/>
          <w:color w:val="FF0000"/>
          <w:sz w:val="24"/>
          <w:szCs w:val="24"/>
        </w:rPr>
        <w:t xml:space="preserve"> </w:t>
      </w:r>
      <w:r w:rsidRPr="00D53E3B">
        <w:rPr>
          <w:rFonts w:cs="Arial"/>
          <w:sz w:val="24"/>
          <w:szCs w:val="24"/>
        </w:rPr>
        <w:t>realizará acompanhamento remoto rotineiro, nos termos desta Instrução Normativa, abrangendo assuntos não integrantes do escopo da prestação de contas anual, ou diante de fatos que evidenciem incorreções, falhas, distorções ou riscos à gestão, independentemente de provocação, ressalvadas as determinações da Presidência do Tribunal para atuações específicas.”</w:t>
      </w:r>
    </w:p>
    <w:p w14:paraId="57B0D7B7" w14:textId="77777777" w:rsidR="00727866" w:rsidRPr="00D53E3B" w:rsidRDefault="00727866" w:rsidP="00727866">
      <w:pPr>
        <w:tabs>
          <w:tab w:val="left" w:pos="0"/>
          <w:tab w:val="left" w:pos="1260"/>
          <w:tab w:val="left" w:pos="1440"/>
        </w:tabs>
        <w:spacing w:before="120"/>
        <w:ind w:firstLine="1134"/>
        <w:jc w:val="both"/>
        <w:rPr>
          <w:rFonts w:cs="Arial"/>
          <w:sz w:val="24"/>
          <w:szCs w:val="24"/>
        </w:rPr>
      </w:pPr>
      <w:r w:rsidRPr="00D53E3B">
        <w:rPr>
          <w:rFonts w:cs="Arial"/>
          <w:sz w:val="24"/>
          <w:szCs w:val="24"/>
        </w:rPr>
        <w:t>“Art. 3º Na ocorrência de fatos que ensejem necessidade de esclarecimentos, será encaminhada comunicação contendo a descrição do Apontamento Preliminar de Acompanhamento - APA, pela unidade técnica, via mensagem eletrônica, diretamente ao gestor cadastrado no sistema do Tribunal e ao responsável pelo controle interno.”</w:t>
      </w:r>
    </w:p>
    <w:p w14:paraId="36507686" w14:textId="77777777" w:rsidR="00727866" w:rsidRPr="00D53E3B" w:rsidRDefault="00727866" w:rsidP="00727866">
      <w:pPr>
        <w:tabs>
          <w:tab w:val="left" w:pos="0"/>
          <w:tab w:val="left" w:pos="1260"/>
          <w:tab w:val="left" w:pos="1440"/>
        </w:tabs>
        <w:spacing w:before="120"/>
        <w:ind w:firstLine="1134"/>
        <w:rPr>
          <w:sz w:val="24"/>
          <w:szCs w:val="24"/>
        </w:rPr>
      </w:pPr>
      <w:r w:rsidRPr="00D53E3B">
        <w:rPr>
          <w:sz w:val="24"/>
          <w:szCs w:val="24"/>
        </w:rPr>
        <w:t>“Art. 6º [...]</w:t>
      </w:r>
    </w:p>
    <w:p w14:paraId="47DFD3DD" w14:textId="77777777" w:rsidR="00727866" w:rsidRPr="00D53E3B" w:rsidRDefault="00727866" w:rsidP="00727866">
      <w:pPr>
        <w:tabs>
          <w:tab w:val="left" w:pos="0"/>
          <w:tab w:val="left" w:pos="1260"/>
          <w:tab w:val="left" w:pos="1440"/>
        </w:tabs>
        <w:spacing w:before="120"/>
        <w:ind w:firstLine="1134"/>
        <w:rPr>
          <w:sz w:val="24"/>
          <w:szCs w:val="24"/>
        </w:rPr>
      </w:pPr>
      <w:r w:rsidRPr="00D53E3B">
        <w:rPr>
          <w:sz w:val="24"/>
          <w:szCs w:val="24"/>
        </w:rPr>
        <w:t>[...]</w:t>
      </w:r>
    </w:p>
    <w:p w14:paraId="70CF8F50" w14:textId="77777777" w:rsidR="00727866" w:rsidRPr="00D53E3B" w:rsidRDefault="00727866" w:rsidP="00727866">
      <w:pPr>
        <w:tabs>
          <w:tab w:val="left" w:pos="0"/>
          <w:tab w:val="left" w:pos="1260"/>
          <w:tab w:val="left" w:pos="1440"/>
        </w:tabs>
        <w:spacing w:before="120"/>
        <w:ind w:firstLine="1134"/>
        <w:jc w:val="both"/>
        <w:rPr>
          <w:sz w:val="24"/>
          <w:szCs w:val="24"/>
        </w:rPr>
      </w:pPr>
      <w:r w:rsidRPr="00D53E3B">
        <w:rPr>
          <w:sz w:val="24"/>
          <w:szCs w:val="24"/>
        </w:rPr>
        <w:t xml:space="preserve">§ 1º Quando a verificação do objeto do APA não for possível de maneira remota e depender da adoção de providências por parte deste Tribunal, no intuito de suprir omissões, lacunas de informações e esclarecer dúvidas, poderá ser realizada, por determinação do Presidente, no âmbito do </w:t>
      </w:r>
      <w:r w:rsidRPr="00D53E3B">
        <w:rPr>
          <w:sz w:val="24"/>
          <w:szCs w:val="24"/>
        </w:rPr>
        <w:lastRenderedPageBreak/>
        <w:t xml:space="preserve">procedimento de acompanhamento, visita técnica, nos termos do artigo 258, V, do Regimento Interno. </w:t>
      </w:r>
      <w:r w:rsidRPr="00D53E3B">
        <w:rPr>
          <w:i/>
          <w:sz w:val="24"/>
          <w:szCs w:val="24"/>
        </w:rPr>
        <w:t>(nova redação do antigo inciso IV)</w:t>
      </w:r>
    </w:p>
    <w:p w14:paraId="65B9DB95" w14:textId="77777777" w:rsidR="00727866" w:rsidRPr="00D53E3B" w:rsidRDefault="00727866" w:rsidP="00727866">
      <w:pPr>
        <w:tabs>
          <w:tab w:val="left" w:pos="0"/>
          <w:tab w:val="left" w:pos="1260"/>
          <w:tab w:val="left" w:pos="1440"/>
        </w:tabs>
        <w:spacing w:before="120"/>
        <w:ind w:firstLine="1134"/>
        <w:jc w:val="both"/>
        <w:rPr>
          <w:sz w:val="24"/>
          <w:szCs w:val="24"/>
        </w:rPr>
      </w:pPr>
      <w:r w:rsidRPr="00D53E3B">
        <w:rPr>
          <w:sz w:val="24"/>
          <w:szCs w:val="24"/>
        </w:rPr>
        <w:t>[...]</w:t>
      </w:r>
    </w:p>
    <w:p w14:paraId="2629D625" w14:textId="77777777" w:rsidR="00727866" w:rsidRPr="00D53E3B" w:rsidRDefault="00727866" w:rsidP="00727866">
      <w:pPr>
        <w:tabs>
          <w:tab w:val="left" w:pos="0"/>
          <w:tab w:val="left" w:pos="1260"/>
          <w:tab w:val="left" w:pos="1440"/>
        </w:tabs>
        <w:spacing w:before="120"/>
        <w:ind w:firstLine="1134"/>
        <w:jc w:val="both"/>
        <w:rPr>
          <w:sz w:val="24"/>
          <w:szCs w:val="24"/>
        </w:rPr>
      </w:pPr>
      <w:r w:rsidRPr="00D53E3B">
        <w:rPr>
          <w:sz w:val="24"/>
          <w:szCs w:val="24"/>
        </w:rPr>
        <w:t xml:space="preserve">§ 3º O ato instrutivo elaborado na análise da prestação de contas anual conterá o escopo dos assuntos abrangidos pelo PROAR, aplicado no período correspondente a tais contas, e dele deverão constar, ainda, os processos abertos conforme as hipóteses dos incisos II e III.” </w:t>
      </w:r>
      <w:r w:rsidRPr="00D53E3B">
        <w:rPr>
          <w:i/>
          <w:sz w:val="24"/>
          <w:szCs w:val="24"/>
        </w:rPr>
        <w:t>(nova redação do antigo parágrafo único)</w:t>
      </w:r>
    </w:p>
    <w:p w14:paraId="2E091C50" w14:textId="1896D2F3" w:rsidR="00727866" w:rsidRPr="00D53E3B" w:rsidRDefault="00727866" w:rsidP="00727866">
      <w:pPr>
        <w:tabs>
          <w:tab w:val="left" w:pos="0"/>
          <w:tab w:val="left" w:pos="1260"/>
          <w:tab w:val="left" w:pos="1440"/>
        </w:tabs>
        <w:spacing w:before="120"/>
        <w:ind w:firstLine="1134"/>
        <w:jc w:val="both"/>
        <w:rPr>
          <w:rFonts w:cs="Arial"/>
          <w:sz w:val="24"/>
          <w:szCs w:val="24"/>
        </w:rPr>
      </w:pPr>
      <w:r w:rsidRPr="00D53E3B">
        <w:rPr>
          <w:rFonts w:cs="Arial"/>
          <w:b/>
          <w:sz w:val="24"/>
          <w:szCs w:val="24"/>
        </w:rPr>
        <w:t xml:space="preserve">Art. 2º </w:t>
      </w:r>
      <w:r w:rsidRPr="00D53E3B">
        <w:rPr>
          <w:rFonts w:cs="Arial"/>
          <w:sz w:val="24"/>
          <w:szCs w:val="24"/>
        </w:rPr>
        <w:t xml:space="preserve">Fica incluído no art. 6º da </w:t>
      </w:r>
      <w:hyperlink r:id="rId10" w:history="1">
        <w:r w:rsidRPr="00612091">
          <w:rPr>
            <w:rStyle w:val="Hyperlink"/>
            <w:rFonts w:cs="Arial"/>
            <w:color w:val="0000FF"/>
            <w:sz w:val="24"/>
            <w:szCs w:val="24"/>
          </w:rPr>
          <w:t>Instrução Normativa nº 95/2014</w:t>
        </w:r>
      </w:hyperlink>
      <w:r w:rsidRPr="00D53E3B">
        <w:rPr>
          <w:rFonts w:cs="Arial"/>
          <w:sz w:val="24"/>
          <w:szCs w:val="24"/>
        </w:rPr>
        <w:t xml:space="preserve"> o seguinte parágrafo:</w:t>
      </w:r>
    </w:p>
    <w:p w14:paraId="2E8FFEDB" w14:textId="77777777" w:rsidR="00727866" w:rsidRPr="00D53E3B" w:rsidRDefault="00727866" w:rsidP="00727866">
      <w:pPr>
        <w:tabs>
          <w:tab w:val="left" w:pos="0"/>
          <w:tab w:val="left" w:pos="1134"/>
          <w:tab w:val="left" w:pos="1260"/>
          <w:tab w:val="left" w:pos="1440"/>
        </w:tabs>
        <w:spacing w:before="120"/>
        <w:ind w:firstLine="1134"/>
        <w:rPr>
          <w:sz w:val="24"/>
          <w:szCs w:val="24"/>
        </w:rPr>
      </w:pPr>
      <w:r w:rsidRPr="00D53E3B">
        <w:rPr>
          <w:sz w:val="24"/>
          <w:szCs w:val="24"/>
        </w:rPr>
        <w:t>“Art. 6º [...]</w:t>
      </w:r>
    </w:p>
    <w:p w14:paraId="218A0927" w14:textId="77777777" w:rsidR="00727866" w:rsidRPr="00D53E3B" w:rsidRDefault="00727866" w:rsidP="00727866">
      <w:pPr>
        <w:tabs>
          <w:tab w:val="left" w:pos="0"/>
          <w:tab w:val="left" w:pos="1134"/>
          <w:tab w:val="left" w:pos="1260"/>
          <w:tab w:val="left" w:pos="1440"/>
        </w:tabs>
        <w:spacing w:before="120"/>
        <w:ind w:firstLine="1134"/>
        <w:rPr>
          <w:sz w:val="24"/>
          <w:szCs w:val="24"/>
        </w:rPr>
      </w:pPr>
      <w:r w:rsidRPr="00D53E3B">
        <w:rPr>
          <w:sz w:val="24"/>
          <w:szCs w:val="24"/>
        </w:rPr>
        <w:t>[...]</w:t>
      </w:r>
    </w:p>
    <w:p w14:paraId="478DD72A" w14:textId="77777777" w:rsidR="00727866" w:rsidRPr="00D53E3B" w:rsidRDefault="00727866" w:rsidP="00727866">
      <w:pPr>
        <w:tabs>
          <w:tab w:val="left" w:pos="0"/>
          <w:tab w:val="left" w:pos="1134"/>
          <w:tab w:val="left" w:pos="1260"/>
          <w:tab w:val="left" w:pos="1440"/>
        </w:tabs>
        <w:spacing w:before="120"/>
        <w:ind w:firstLine="1134"/>
        <w:jc w:val="both"/>
        <w:rPr>
          <w:sz w:val="24"/>
          <w:szCs w:val="24"/>
        </w:rPr>
      </w:pPr>
      <w:r w:rsidRPr="00D53E3B">
        <w:rPr>
          <w:sz w:val="24"/>
          <w:szCs w:val="24"/>
        </w:rPr>
        <w:t>§ 2º Autorizada a visita técnica prevista no § 1º, esta resultará na emissão de relatório, que comporá o procedimento de acompanhamento e subsidiará a conclusão intermediária, nos termos dos incisos I, II e III deste artigo.</w:t>
      </w:r>
    </w:p>
    <w:p w14:paraId="2784305D" w14:textId="77777777" w:rsidR="00727866" w:rsidRDefault="00727866" w:rsidP="00727866">
      <w:pPr>
        <w:tabs>
          <w:tab w:val="left" w:pos="1260"/>
          <w:tab w:val="left" w:pos="1440"/>
          <w:tab w:val="left" w:pos="1620"/>
          <w:tab w:val="left" w:pos="1800"/>
          <w:tab w:val="left" w:pos="1980"/>
        </w:tabs>
        <w:spacing w:before="120"/>
        <w:ind w:firstLine="1134"/>
        <w:jc w:val="both"/>
        <w:rPr>
          <w:rFonts w:cs="Arial"/>
          <w:sz w:val="24"/>
          <w:szCs w:val="24"/>
        </w:rPr>
      </w:pPr>
      <w:r w:rsidRPr="00D53E3B">
        <w:rPr>
          <w:rFonts w:cs="Arial"/>
          <w:b/>
          <w:sz w:val="24"/>
          <w:szCs w:val="24"/>
        </w:rPr>
        <w:t>Art. 3º</w:t>
      </w:r>
      <w:r w:rsidRPr="00D53E3B">
        <w:rPr>
          <w:rFonts w:cs="Arial"/>
          <w:sz w:val="24"/>
          <w:szCs w:val="24"/>
        </w:rPr>
        <w:t xml:space="preserve"> Esta Instrução Normativa entra em vigor na data de sua publicação.</w:t>
      </w:r>
    </w:p>
    <w:p w14:paraId="5C44BBA2" w14:textId="77777777" w:rsidR="00B94364" w:rsidRPr="00D53E3B" w:rsidRDefault="00B94364" w:rsidP="00727866">
      <w:pPr>
        <w:tabs>
          <w:tab w:val="left" w:pos="1260"/>
          <w:tab w:val="left" w:pos="1440"/>
          <w:tab w:val="left" w:pos="1620"/>
          <w:tab w:val="left" w:pos="1800"/>
          <w:tab w:val="left" w:pos="1980"/>
        </w:tabs>
        <w:spacing w:before="120"/>
        <w:ind w:firstLine="1134"/>
        <w:jc w:val="both"/>
        <w:rPr>
          <w:rFonts w:cs="Arial"/>
          <w:sz w:val="24"/>
          <w:szCs w:val="24"/>
        </w:rPr>
      </w:pPr>
    </w:p>
    <w:p w14:paraId="15402BEA" w14:textId="77777777" w:rsidR="00727866" w:rsidRDefault="00727866" w:rsidP="00B94364">
      <w:pPr>
        <w:tabs>
          <w:tab w:val="left" w:pos="4471"/>
        </w:tabs>
        <w:spacing w:before="360"/>
        <w:jc w:val="center"/>
        <w:rPr>
          <w:rFonts w:cs="Arial"/>
          <w:color w:val="000000"/>
          <w:sz w:val="24"/>
          <w:szCs w:val="24"/>
          <w:lang w:eastAsia="x-none"/>
        </w:rPr>
      </w:pPr>
      <w:r w:rsidRPr="00D53E3B">
        <w:rPr>
          <w:rFonts w:cs="Arial"/>
          <w:color w:val="000000"/>
          <w:sz w:val="24"/>
          <w:szCs w:val="24"/>
          <w:lang w:val="x-none" w:eastAsia="x-none"/>
        </w:rPr>
        <w:t xml:space="preserve">Curitiba, </w:t>
      </w:r>
      <w:r w:rsidRPr="00D53E3B">
        <w:rPr>
          <w:rFonts w:cs="Arial"/>
          <w:color w:val="000000"/>
          <w:sz w:val="24"/>
          <w:szCs w:val="24"/>
          <w:lang w:eastAsia="x-none"/>
        </w:rPr>
        <w:t>19 de novembro de 2015.</w:t>
      </w:r>
    </w:p>
    <w:p w14:paraId="304FC0A1" w14:textId="77777777" w:rsidR="00B94364" w:rsidRPr="00D53E3B" w:rsidRDefault="00B94364" w:rsidP="00B94364">
      <w:pPr>
        <w:tabs>
          <w:tab w:val="left" w:pos="4471"/>
        </w:tabs>
        <w:spacing w:before="360"/>
        <w:jc w:val="center"/>
        <w:rPr>
          <w:rFonts w:cs="Arial"/>
          <w:color w:val="000000"/>
          <w:sz w:val="24"/>
          <w:szCs w:val="24"/>
          <w:lang w:eastAsia="x-none"/>
        </w:rPr>
      </w:pPr>
    </w:p>
    <w:p w14:paraId="59E17876" w14:textId="77777777" w:rsidR="00727866" w:rsidRPr="00D53E3B" w:rsidRDefault="00727866" w:rsidP="00B94364">
      <w:pPr>
        <w:spacing w:before="360"/>
        <w:jc w:val="center"/>
        <w:rPr>
          <w:rFonts w:cs="Arial"/>
          <w:b/>
          <w:color w:val="000000"/>
          <w:sz w:val="24"/>
          <w:szCs w:val="24"/>
        </w:rPr>
      </w:pPr>
      <w:r w:rsidRPr="00D53E3B">
        <w:rPr>
          <w:rFonts w:cs="Arial"/>
          <w:b/>
          <w:color w:val="000000"/>
          <w:sz w:val="24"/>
          <w:szCs w:val="24"/>
        </w:rPr>
        <w:t>IVAN LELIS BONILHA</w:t>
      </w:r>
    </w:p>
    <w:p w14:paraId="39D73982" w14:textId="77777777" w:rsidR="0043161F" w:rsidRPr="00D53E3B" w:rsidRDefault="00727866" w:rsidP="00B94364">
      <w:pPr>
        <w:jc w:val="center"/>
        <w:rPr>
          <w:rFonts w:cs="Arial"/>
          <w:color w:val="000000"/>
          <w:sz w:val="24"/>
          <w:szCs w:val="24"/>
        </w:rPr>
      </w:pPr>
      <w:r w:rsidRPr="00D53E3B">
        <w:rPr>
          <w:rFonts w:cs="Arial"/>
          <w:color w:val="000000"/>
          <w:sz w:val="24"/>
          <w:szCs w:val="24"/>
        </w:rPr>
        <w:t>Presidente</w:t>
      </w:r>
    </w:p>
    <w:sectPr w:rsidR="0043161F" w:rsidRPr="00D53E3B" w:rsidSect="00F55C1D">
      <w:headerReference w:type="default" r:id="rId11"/>
      <w:footerReference w:type="default" r:id="rId12"/>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EF44" w14:textId="77777777" w:rsidR="00E050A4" w:rsidRDefault="00E050A4" w:rsidP="00727866">
      <w:r>
        <w:separator/>
      </w:r>
    </w:p>
  </w:endnote>
  <w:endnote w:type="continuationSeparator" w:id="0">
    <w:p w14:paraId="65001776" w14:textId="77777777" w:rsidR="00E050A4" w:rsidRDefault="00E050A4" w:rsidP="0072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3595" w14:textId="5C149868" w:rsidR="005B6A40" w:rsidRDefault="005B6A40">
    <w:pPr>
      <w:pStyle w:val="Rodap"/>
      <w:jc w:val="right"/>
    </w:pPr>
  </w:p>
  <w:p w14:paraId="26A37231" w14:textId="77777777" w:rsidR="005B6A40" w:rsidRDefault="005B6A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3071" w14:textId="77777777" w:rsidR="00E050A4" w:rsidRDefault="00E050A4" w:rsidP="00727866">
      <w:r>
        <w:separator/>
      </w:r>
    </w:p>
  </w:footnote>
  <w:footnote w:type="continuationSeparator" w:id="0">
    <w:p w14:paraId="131772AD" w14:textId="77777777" w:rsidR="00E050A4" w:rsidRDefault="00E050A4" w:rsidP="00727866">
      <w:r>
        <w:continuationSeparator/>
      </w:r>
    </w:p>
  </w:footnote>
  <w:footnote w:id="1">
    <w:p w14:paraId="39A609F9" w14:textId="77777777" w:rsidR="00037C80" w:rsidRPr="00865ED5" w:rsidRDefault="00037C80" w:rsidP="00037C80">
      <w:pPr>
        <w:pStyle w:val="Textodenotaderodap"/>
        <w:contextualSpacing/>
        <w:rPr>
          <w:rFonts w:cs="Arial"/>
        </w:rPr>
      </w:pPr>
      <w:r>
        <w:rPr>
          <w:rStyle w:val="Refdenotaderodap"/>
        </w:rPr>
        <w:footnoteRef/>
      </w:r>
      <w:r>
        <w:t xml:space="preserve"> </w:t>
      </w:r>
      <w:bookmarkStart w:id="0" w:name="_Hlk9321415"/>
      <w:r w:rsidRPr="00865ED5">
        <w:rPr>
          <w:rFonts w:cs="Arial"/>
          <w:b/>
        </w:rPr>
        <w:t>Notas da Biblioteca:</w:t>
      </w:r>
    </w:p>
    <w:bookmarkEnd w:id="0"/>
    <w:p w14:paraId="31D95D51" w14:textId="65DA1BE0" w:rsidR="00037C80" w:rsidRPr="00462B6C" w:rsidRDefault="00037C80" w:rsidP="00462B6C">
      <w:pPr>
        <w:pStyle w:val="PargrafodaLista"/>
        <w:numPr>
          <w:ilvl w:val="0"/>
          <w:numId w:val="1"/>
        </w:numPr>
        <w:autoSpaceDE/>
        <w:autoSpaceDN/>
        <w:spacing w:before="0" w:after="0" w:line="240" w:lineRule="auto"/>
        <w:ind w:left="426" w:hanging="284"/>
        <w:rPr>
          <w:rFonts w:ascii="Arial" w:hAnsi="Arial" w:cs="Arial"/>
          <w:color w:val="0000FF"/>
          <w:sz w:val="20"/>
          <w:u w:val="single"/>
        </w:rPr>
      </w:pPr>
      <w:r w:rsidRPr="00462B6C">
        <w:rPr>
          <w:rFonts w:ascii="Arial" w:hAnsi="Arial" w:cs="Arial"/>
          <w:bCs/>
          <w:sz w:val="20"/>
        </w:rPr>
        <w:t xml:space="preserve">Este texto não substitui o publicado no periódico: </w:t>
      </w:r>
      <w:hyperlink r:id="rId1" w:history="1">
        <w:r w:rsidR="002A59F0" w:rsidRPr="00B9761D">
          <w:rPr>
            <w:rStyle w:val="Hyperlink"/>
            <w:rFonts w:ascii="Arial" w:hAnsi="Arial" w:cs="Arial"/>
            <w:b/>
            <w:bCs/>
            <w:color w:val="0000FF"/>
            <w:sz w:val="20"/>
          </w:rPr>
          <w:t>Diário Eletrônico do Tribunal de Contas do Estado do Paraná</w:t>
        </w:r>
        <w:r w:rsidR="002A59F0" w:rsidRPr="00462B6C">
          <w:rPr>
            <w:rStyle w:val="Hyperlink"/>
            <w:rFonts w:ascii="Arial" w:hAnsi="Arial" w:cs="Arial"/>
            <w:color w:val="0000FF"/>
            <w:sz w:val="20"/>
          </w:rPr>
          <w:t>, Curitiba, PR, n. 1270, 4 jan. 2016, p. 143-144</w:t>
        </w:r>
      </w:hyperlink>
      <w:r w:rsidR="002A59F0" w:rsidRPr="00462B6C">
        <w:rPr>
          <w:rFonts w:ascii="Arial" w:hAnsi="Arial" w:cs="Arial"/>
          <w:color w:val="0000FF"/>
          <w:sz w:val="20"/>
        </w:rPr>
        <w:t>.</w:t>
      </w:r>
    </w:p>
    <w:p w14:paraId="7ADDA751" w14:textId="26E5C672" w:rsidR="00037C80" w:rsidRPr="00462B6C" w:rsidRDefault="00037C80" w:rsidP="00462B6C">
      <w:pPr>
        <w:pStyle w:val="Textodenotaderodap"/>
        <w:numPr>
          <w:ilvl w:val="0"/>
          <w:numId w:val="1"/>
        </w:numPr>
        <w:overflowPunct/>
        <w:adjustRightInd/>
        <w:ind w:left="426" w:hanging="284"/>
        <w:jc w:val="both"/>
        <w:textAlignment w:val="auto"/>
        <w:rPr>
          <w:rStyle w:val="Hyperlink"/>
          <w:rFonts w:cs="Arial"/>
        </w:rPr>
      </w:pPr>
      <w:r w:rsidRPr="00462B6C">
        <w:rPr>
          <w:rFonts w:cs="Arial"/>
        </w:rPr>
        <w:t xml:space="preserve">Origem: </w:t>
      </w:r>
      <w:r w:rsidR="00DB100A" w:rsidRPr="00462B6C">
        <w:rPr>
          <w:rFonts w:cs="Arial"/>
        </w:rPr>
        <w:t xml:space="preserve">Processo n. 889564/15 – </w:t>
      </w:r>
      <w:hyperlink r:id="rId2" w:history="1">
        <w:r w:rsidR="00DB100A" w:rsidRPr="00462B6C">
          <w:rPr>
            <w:rStyle w:val="Hyperlink"/>
            <w:rFonts w:cs="Arial"/>
            <w:color w:val="0000FF"/>
          </w:rPr>
          <w:t>Acórdão n. 5.658/2015 – Tribunal Pleno.</w:t>
        </w:r>
      </w:hyperlink>
    </w:p>
    <w:p w14:paraId="05B30238" w14:textId="699362BC" w:rsidR="00462B6C" w:rsidRPr="00462B6C" w:rsidRDefault="00462B6C" w:rsidP="00462B6C">
      <w:pPr>
        <w:numPr>
          <w:ilvl w:val="0"/>
          <w:numId w:val="1"/>
        </w:numPr>
        <w:ind w:left="426" w:hanging="284"/>
        <w:rPr>
          <w:rFonts w:cs="Arial"/>
          <w:bCs/>
          <w:color w:val="0000FF"/>
          <w:sz w:val="20"/>
        </w:rPr>
      </w:pPr>
      <w:r w:rsidRPr="00462B6C">
        <w:rPr>
          <w:rFonts w:cs="Arial"/>
          <w:b/>
          <w:sz w:val="20"/>
        </w:rPr>
        <w:t xml:space="preserve">Altera: </w:t>
      </w:r>
      <w:hyperlink r:id="rId3" w:history="1">
        <w:r w:rsidRPr="00462B6C">
          <w:rPr>
            <w:rStyle w:val="Hyperlink"/>
            <w:rFonts w:cs="Arial"/>
            <w:bCs/>
            <w:color w:val="0000FF"/>
            <w:sz w:val="20"/>
          </w:rPr>
          <w:t>Instrução Normativa n. 95, de 27 de fevereiro de 2014</w:t>
        </w:r>
      </w:hyperlink>
      <w:r w:rsidRPr="00462B6C">
        <w:rPr>
          <w:rFonts w:cs="Arial"/>
          <w:bCs/>
          <w:color w:val="0000FF"/>
          <w:sz w:val="20"/>
        </w:rPr>
        <w:t>.</w:t>
      </w:r>
    </w:p>
    <w:p w14:paraId="78545F26" w14:textId="39A19240" w:rsidR="00037C80" w:rsidRDefault="00462B6C" w:rsidP="00037C80">
      <w:pPr>
        <w:numPr>
          <w:ilvl w:val="0"/>
          <w:numId w:val="1"/>
        </w:numPr>
        <w:ind w:left="426" w:hanging="284"/>
      </w:pPr>
      <w:r w:rsidRPr="00462B6C">
        <w:rPr>
          <w:rFonts w:cs="Arial"/>
          <w:b/>
          <w:bCs/>
          <w:color w:val="FF0000"/>
          <w:sz w:val="20"/>
        </w:rPr>
        <w:t>Revogada</w:t>
      </w:r>
      <w:r w:rsidRPr="00462B6C">
        <w:rPr>
          <w:rFonts w:cs="Arial"/>
          <w:sz w:val="20"/>
        </w:rPr>
        <w:t xml:space="preserve"> por: </w:t>
      </w:r>
      <w:hyperlink r:id="rId4" w:history="1">
        <w:r w:rsidRPr="00462B6C">
          <w:rPr>
            <w:rStyle w:val="Hyperlink"/>
            <w:rFonts w:cs="Arial"/>
            <w:color w:val="0000FF"/>
            <w:sz w:val="20"/>
          </w:rPr>
          <w:t>Instrução Normativa n. 122, de 27 de outubro de 2016</w:t>
        </w:r>
      </w:hyperlink>
      <w:r w:rsidRPr="00462B6C">
        <w:rPr>
          <w:rFonts w:cs="Arial"/>
          <w:color w:val="0000FF"/>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0649" w14:textId="77777777" w:rsidR="00727866" w:rsidRDefault="00000000" w:rsidP="00727866">
    <w:pPr>
      <w:tabs>
        <w:tab w:val="center" w:pos="4419"/>
        <w:tab w:val="right" w:pos="8838"/>
      </w:tabs>
      <w:spacing w:before="360" w:after="120"/>
      <w:ind w:left="1134"/>
      <w:rPr>
        <w:rFonts w:cs="Arial"/>
        <w:b/>
        <w:sz w:val="30"/>
        <w:szCs w:val="30"/>
      </w:rPr>
    </w:pPr>
    <w:r>
      <w:rPr>
        <w:noProof/>
      </w:rPr>
      <w:pict w14:anchorId="6A499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
          <v:imagedata r:id="rId1" o:title="logo TC colorido - medio"/>
          <w10:wrap type="square"/>
        </v:shape>
      </w:pict>
    </w:r>
    <w:r w:rsidR="00727866" w:rsidRPr="00A26B29">
      <w:rPr>
        <w:rFonts w:cs="Arial"/>
        <w:b/>
        <w:sz w:val="30"/>
        <w:szCs w:val="30"/>
      </w:rPr>
      <w:t>TRIBUNAL DE CONTAS DO ESTADO DO PARANÁ</w:t>
    </w:r>
  </w:p>
  <w:p w14:paraId="159B4D55" w14:textId="77777777" w:rsidR="00F55C1D" w:rsidRPr="00A26B29" w:rsidRDefault="00F55C1D" w:rsidP="00F55C1D">
    <w:pPr>
      <w:tabs>
        <w:tab w:val="center" w:pos="4419"/>
        <w:tab w:val="right" w:pos="8838"/>
      </w:tabs>
      <w:spacing w:before="120" w:after="120"/>
      <w:ind w:left="1134"/>
      <w:rPr>
        <w:rFonts w:cs="Arial"/>
        <w:b/>
        <w:sz w:val="30"/>
        <w:szCs w:val="30"/>
      </w:rPr>
    </w:pPr>
  </w:p>
  <w:p w14:paraId="360E0300" w14:textId="77777777" w:rsidR="00727866" w:rsidRDefault="007278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72F02"/>
    <w:multiLevelType w:val="hybridMultilevel"/>
    <w:tmpl w:val="31D62FB4"/>
    <w:lvl w:ilvl="0" w:tplc="80A855A0">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1960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866"/>
    <w:rsid w:val="00037C80"/>
    <w:rsid w:val="00116B6F"/>
    <w:rsid w:val="00120A13"/>
    <w:rsid w:val="002A59F0"/>
    <w:rsid w:val="002E1B0D"/>
    <w:rsid w:val="0038422F"/>
    <w:rsid w:val="0043161F"/>
    <w:rsid w:val="00462B6C"/>
    <w:rsid w:val="004B7A45"/>
    <w:rsid w:val="005B6A40"/>
    <w:rsid w:val="00612091"/>
    <w:rsid w:val="00694418"/>
    <w:rsid w:val="00727866"/>
    <w:rsid w:val="008C79C4"/>
    <w:rsid w:val="00A0117F"/>
    <w:rsid w:val="00AE604A"/>
    <w:rsid w:val="00B74E14"/>
    <w:rsid w:val="00B94364"/>
    <w:rsid w:val="00B9761D"/>
    <w:rsid w:val="00C612B0"/>
    <w:rsid w:val="00C64AAF"/>
    <w:rsid w:val="00D53E3B"/>
    <w:rsid w:val="00DB100A"/>
    <w:rsid w:val="00E050A4"/>
    <w:rsid w:val="00F55C1D"/>
    <w:rsid w:val="00F666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7ED72"/>
  <w15:chartTrackingRefBased/>
  <w15:docId w15:val="{0E6605BA-3D83-4BE4-88A8-5882E027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66"/>
    <w:pPr>
      <w:overflowPunct w:val="0"/>
      <w:autoSpaceDE w:val="0"/>
      <w:autoSpaceDN w:val="0"/>
      <w:adjustRightInd w:val="0"/>
      <w:textAlignment w:val="baseline"/>
    </w:pPr>
    <w:rPr>
      <w:rFonts w:ascii="Arial" w:eastAsia="Times New Roman" w:hAnsi="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7866"/>
    <w:pPr>
      <w:tabs>
        <w:tab w:val="center" w:pos="4252"/>
        <w:tab w:val="right" w:pos="8504"/>
      </w:tabs>
    </w:pPr>
  </w:style>
  <w:style w:type="character" w:customStyle="1" w:styleId="CabealhoChar">
    <w:name w:val="Cabeçalho Char"/>
    <w:link w:val="Cabealho"/>
    <w:uiPriority w:val="99"/>
    <w:rsid w:val="00727866"/>
    <w:rPr>
      <w:rFonts w:ascii="Arial" w:eastAsia="Times New Roman" w:hAnsi="Arial" w:cs="Times New Roman"/>
      <w:szCs w:val="20"/>
      <w:lang w:eastAsia="pt-BR"/>
    </w:rPr>
  </w:style>
  <w:style w:type="paragraph" w:styleId="Rodap">
    <w:name w:val="footer"/>
    <w:basedOn w:val="Normal"/>
    <w:link w:val="RodapChar"/>
    <w:uiPriority w:val="99"/>
    <w:unhideWhenUsed/>
    <w:rsid w:val="00727866"/>
    <w:pPr>
      <w:tabs>
        <w:tab w:val="center" w:pos="4252"/>
        <w:tab w:val="right" w:pos="8504"/>
      </w:tabs>
    </w:pPr>
  </w:style>
  <w:style w:type="character" w:customStyle="1" w:styleId="RodapChar">
    <w:name w:val="Rodapé Char"/>
    <w:link w:val="Rodap"/>
    <w:uiPriority w:val="99"/>
    <w:rsid w:val="00727866"/>
    <w:rPr>
      <w:rFonts w:ascii="Arial" w:eastAsia="Times New Roman" w:hAnsi="Arial" w:cs="Times New Roman"/>
      <w:szCs w:val="20"/>
      <w:lang w:eastAsia="pt-BR"/>
    </w:rPr>
  </w:style>
  <w:style w:type="character" w:styleId="Hyperlink">
    <w:name w:val="Hyperlink"/>
    <w:uiPriority w:val="99"/>
    <w:unhideWhenUsed/>
    <w:rsid w:val="002E1B0D"/>
    <w:rPr>
      <w:color w:val="0563C1"/>
      <w:u w:val="single"/>
    </w:rPr>
  </w:style>
  <w:style w:type="character" w:styleId="MenoPendente">
    <w:name w:val="Unresolved Mention"/>
    <w:uiPriority w:val="99"/>
    <w:semiHidden/>
    <w:unhideWhenUsed/>
    <w:rsid w:val="002E1B0D"/>
    <w:rPr>
      <w:color w:val="605E5C"/>
      <w:shd w:val="clear" w:color="auto" w:fill="E1DFDD"/>
    </w:rPr>
  </w:style>
  <w:style w:type="paragraph" w:styleId="Textodenotaderodap">
    <w:name w:val="footnote text"/>
    <w:basedOn w:val="Normal"/>
    <w:link w:val="TextodenotaderodapChar"/>
    <w:unhideWhenUsed/>
    <w:rsid w:val="00037C80"/>
    <w:rPr>
      <w:sz w:val="20"/>
    </w:rPr>
  </w:style>
  <w:style w:type="character" w:customStyle="1" w:styleId="TextodenotaderodapChar">
    <w:name w:val="Texto de nota de rodapé Char"/>
    <w:link w:val="Textodenotaderodap"/>
    <w:rsid w:val="00037C80"/>
    <w:rPr>
      <w:rFonts w:ascii="Arial" w:eastAsia="Times New Roman" w:hAnsi="Arial"/>
    </w:rPr>
  </w:style>
  <w:style w:type="character" w:styleId="Refdenotaderodap">
    <w:name w:val="footnote reference"/>
    <w:uiPriority w:val="99"/>
    <w:semiHidden/>
    <w:unhideWhenUsed/>
    <w:rsid w:val="00037C80"/>
    <w:rPr>
      <w:vertAlign w:val="superscript"/>
    </w:rPr>
  </w:style>
  <w:style w:type="paragraph" w:styleId="PargrafodaLista">
    <w:name w:val="List Paragraph"/>
    <w:basedOn w:val="Normal"/>
    <w:uiPriority w:val="34"/>
    <w:qFormat/>
    <w:rsid w:val="00037C80"/>
    <w:pPr>
      <w:overflowPunct/>
      <w:adjustRightInd/>
      <w:spacing w:before="60" w:after="60" w:line="360" w:lineRule="auto"/>
      <w:ind w:left="720" w:firstLine="1701"/>
      <w:contextualSpacing/>
      <w:jc w:val="both"/>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95-de-27-de-fevereiro-de-2014/251469/area/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tce.pr.gov.br/conteudo/instrucao-normativa-n-95-de-27-de-fevereiro-de-2014/251469/area/10" TargetMode="External"/><Relationship Id="rId4" Type="http://schemas.openxmlformats.org/officeDocument/2006/relationships/settings" Target="settings.xml"/><Relationship Id="rId9" Type="http://schemas.openxmlformats.org/officeDocument/2006/relationships/hyperlink" Target="http://www1.tce.pr.gov.br/conteudo/instrucao-normativa-n-95-de-27-de-fevereiro-de-2014/251469/area/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95-de-27-de-fevereiro-de-2014/251469/area/10" TargetMode="External"/><Relationship Id="rId2" Type="http://schemas.openxmlformats.org/officeDocument/2006/relationships/hyperlink" Target="https://www1.tce.pr.gov.br/multimidia/2015/11/pdf/00286430.pdf" TargetMode="External"/><Relationship Id="rId1" Type="http://schemas.openxmlformats.org/officeDocument/2006/relationships/hyperlink" Target="http://www1.tce.pr.gov.br/multimidia/2016/1/pdf/00287588.pdf" TargetMode="External"/><Relationship Id="rId4" Type="http://schemas.openxmlformats.org/officeDocument/2006/relationships/hyperlink" Target="http://www1.tce.pr.gov.br/conteudo/instrucao-normativa-n-122-de-27-de-outubro-de-2016/293129/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C522-287F-4FE6-8324-BB519881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469</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cp:lastModifiedBy>Yarusya Fonseca</cp:lastModifiedBy>
  <cp:revision>18</cp:revision>
  <dcterms:created xsi:type="dcterms:W3CDTF">2022-06-23T17:49:00Z</dcterms:created>
  <dcterms:modified xsi:type="dcterms:W3CDTF">2022-07-13T00:41:00Z</dcterms:modified>
</cp:coreProperties>
</file>