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4B72" w14:textId="452D1BD4" w:rsidR="00984AC3" w:rsidRPr="00A67DF8" w:rsidRDefault="00984AC3" w:rsidP="00C37B9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7DF8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413851">
        <w:rPr>
          <w:rFonts w:ascii="Arial" w:hAnsi="Arial" w:cs="Arial"/>
          <w:b/>
          <w:bCs/>
          <w:sz w:val="28"/>
          <w:szCs w:val="28"/>
        </w:rPr>
        <w:t>167/</w:t>
      </w:r>
      <w:r w:rsidRPr="00A67DF8">
        <w:rPr>
          <w:rFonts w:ascii="Arial" w:hAnsi="Arial" w:cs="Arial"/>
          <w:b/>
          <w:bCs/>
          <w:sz w:val="28"/>
          <w:szCs w:val="28"/>
        </w:rPr>
        <w:t>20</w:t>
      </w:r>
      <w:r w:rsidR="004B4665">
        <w:rPr>
          <w:rFonts w:ascii="Arial" w:hAnsi="Arial" w:cs="Arial"/>
          <w:b/>
          <w:bCs/>
          <w:sz w:val="28"/>
          <w:szCs w:val="28"/>
        </w:rPr>
        <w:t>21</w:t>
      </w:r>
      <w:r w:rsidR="00315D98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01822DE" w14:textId="77777777" w:rsidR="00984AC3" w:rsidRPr="00D7391F" w:rsidRDefault="00984AC3" w:rsidP="00667C8D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  <w:szCs w:val="24"/>
        </w:rPr>
      </w:pPr>
      <w:r w:rsidRPr="00DB7D1C">
        <w:rPr>
          <w:rFonts w:ascii="Arial" w:hAnsi="Arial" w:cs="Arial"/>
          <w:bCs/>
          <w:i/>
          <w:szCs w:val="24"/>
        </w:rPr>
        <w:t xml:space="preserve">Dispõe sobre o encaminhamento </w:t>
      </w:r>
      <w:r w:rsidR="00A902E5" w:rsidRPr="00DB7D1C">
        <w:rPr>
          <w:rFonts w:ascii="Arial" w:hAnsi="Arial" w:cs="Arial"/>
          <w:bCs/>
          <w:i/>
          <w:szCs w:val="24"/>
        </w:rPr>
        <w:t xml:space="preserve">e estabelece o escopo de análise </w:t>
      </w:r>
      <w:r w:rsidRPr="00DB7D1C">
        <w:rPr>
          <w:rFonts w:ascii="Arial" w:hAnsi="Arial" w:cs="Arial"/>
          <w:bCs/>
          <w:i/>
          <w:szCs w:val="24"/>
        </w:rPr>
        <w:t>da Prestação de Contas</w:t>
      </w:r>
      <w:r w:rsidRPr="00A67DF8">
        <w:rPr>
          <w:rFonts w:ascii="Arial" w:hAnsi="Arial" w:cs="Arial"/>
          <w:bCs/>
          <w:i/>
          <w:szCs w:val="24"/>
        </w:rPr>
        <w:t xml:space="preserve"> do Chefe do Poder Executivo Estadual, relativa ao </w:t>
      </w:r>
      <w:r w:rsidRPr="00D7391F">
        <w:rPr>
          <w:rFonts w:ascii="Arial" w:hAnsi="Arial" w:cs="Arial"/>
          <w:bCs/>
          <w:i/>
          <w:szCs w:val="24"/>
        </w:rPr>
        <w:t>exercício de 20</w:t>
      </w:r>
      <w:r w:rsidR="00A158E3" w:rsidRPr="00D7391F">
        <w:rPr>
          <w:rFonts w:ascii="Arial" w:hAnsi="Arial" w:cs="Arial"/>
          <w:bCs/>
          <w:i/>
          <w:szCs w:val="24"/>
        </w:rPr>
        <w:t>2</w:t>
      </w:r>
      <w:r w:rsidR="00873A35" w:rsidRPr="00D7391F">
        <w:rPr>
          <w:rFonts w:ascii="Arial" w:hAnsi="Arial" w:cs="Arial"/>
          <w:bCs/>
          <w:i/>
          <w:szCs w:val="24"/>
        </w:rPr>
        <w:t>1</w:t>
      </w:r>
      <w:r w:rsidR="008562BA" w:rsidRPr="00D7391F">
        <w:rPr>
          <w:rFonts w:ascii="Arial" w:hAnsi="Arial" w:cs="Arial"/>
          <w:bCs/>
          <w:i/>
          <w:szCs w:val="24"/>
        </w:rPr>
        <w:t>,</w:t>
      </w:r>
      <w:r w:rsidRPr="00D7391F">
        <w:rPr>
          <w:rFonts w:ascii="Arial" w:hAnsi="Arial" w:cs="Arial"/>
          <w:bCs/>
          <w:i/>
          <w:szCs w:val="24"/>
        </w:rPr>
        <w:t xml:space="preserve"> nos termos dos arts. </w:t>
      </w:r>
      <w:smartTag w:uri="urn:schemas-microsoft-com:office:smarttags" w:element="metricconverter">
        <w:smartTagPr>
          <w:attr w:name="ProductID" w:val="211 a"/>
        </w:smartTagPr>
        <w:r w:rsidRPr="00D7391F">
          <w:rPr>
            <w:rFonts w:ascii="Arial" w:hAnsi="Arial" w:cs="Arial"/>
            <w:bCs/>
            <w:i/>
            <w:szCs w:val="24"/>
          </w:rPr>
          <w:t>211 a</w:t>
        </w:r>
      </w:smartTag>
      <w:r w:rsidRPr="00D7391F">
        <w:rPr>
          <w:rFonts w:ascii="Arial" w:hAnsi="Arial" w:cs="Arial"/>
          <w:bCs/>
          <w:i/>
          <w:szCs w:val="24"/>
        </w:rPr>
        <w:t xml:space="preserve"> 214 do Regimento Interno do Tribunal de Contas, e dá outras providências.</w:t>
      </w:r>
    </w:p>
    <w:p w14:paraId="58FE58F1" w14:textId="2AE23EB7" w:rsidR="00984AC3" w:rsidRPr="00D7391F" w:rsidRDefault="00984AC3" w:rsidP="002D090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006D4">
        <w:rPr>
          <w:rFonts w:ascii="Arial" w:hAnsi="Arial" w:cs="Arial"/>
          <w:bCs/>
          <w:sz w:val="24"/>
          <w:szCs w:val="24"/>
        </w:rPr>
        <w:t xml:space="preserve">O </w:t>
      </w:r>
      <w:r w:rsidRPr="00D7391F">
        <w:rPr>
          <w:rFonts w:ascii="Arial" w:hAnsi="Arial" w:cs="Arial"/>
          <w:b/>
          <w:sz w:val="24"/>
          <w:szCs w:val="24"/>
        </w:rPr>
        <w:t>TRIBUNAL DE CONTAS DO ESTADO DO PARANÁ</w:t>
      </w:r>
      <w:r w:rsidRPr="00D7391F">
        <w:rPr>
          <w:rFonts w:ascii="Arial" w:hAnsi="Arial" w:cs="Arial"/>
          <w:sz w:val="24"/>
          <w:szCs w:val="24"/>
        </w:rPr>
        <w:t>, no uso das atribuições contidas no art. 2º, I, da Lei Complementar nº 113, de 15 de dezembro de 2005, e no art. 5º, XIII, do Regimento Interno, com base no art. 214, c/c os arts. 193 a 196, também do Regimento Interno,</w:t>
      </w:r>
      <w:r w:rsidR="00A510D5" w:rsidRPr="00D7391F">
        <w:rPr>
          <w:rFonts w:ascii="Arial" w:hAnsi="Arial" w:cs="Arial"/>
          <w:sz w:val="24"/>
          <w:szCs w:val="24"/>
        </w:rPr>
        <w:t xml:space="preserve"> e considerando o </w:t>
      </w:r>
      <w:hyperlink r:id="rId8" w:history="1">
        <w:r w:rsidR="00A510D5" w:rsidRPr="003623E9">
          <w:rPr>
            <w:rStyle w:val="Hyperlink"/>
            <w:rFonts w:ascii="Arial" w:hAnsi="Arial" w:cs="Arial"/>
            <w:sz w:val="24"/>
            <w:szCs w:val="24"/>
          </w:rPr>
          <w:t xml:space="preserve">Acórdão nº </w:t>
        </w:r>
        <w:r w:rsidR="00413851" w:rsidRPr="003623E9">
          <w:rPr>
            <w:rStyle w:val="Hyperlink"/>
            <w:rFonts w:ascii="Arial" w:hAnsi="Arial" w:cs="Arial"/>
            <w:sz w:val="24"/>
            <w:szCs w:val="24"/>
          </w:rPr>
          <w:t>3.220/</w:t>
        </w:r>
        <w:r w:rsidR="004B4665" w:rsidRPr="003623E9">
          <w:rPr>
            <w:rStyle w:val="Hyperlink"/>
            <w:rFonts w:ascii="Arial" w:hAnsi="Arial" w:cs="Arial"/>
            <w:sz w:val="24"/>
            <w:szCs w:val="24"/>
          </w:rPr>
          <w:t>21</w:t>
        </w:r>
        <w:r w:rsidR="00A510D5" w:rsidRPr="003623E9">
          <w:rPr>
            <w:rStyle w:val="Hyperlink"/>
            <w:rFonts w:ascii="Arial" w:hAnsi="Arial" w:cs="Arial"/>
            <w:sz w:val="24"/>
            <w:szCs w:val="24"/>
          </w:rPr>
          <w:t xml:space="preserve"> -</w:t>
        </w:r>
        <w:r w:rsidR="002C2EA7" w:rsidRPr="003623E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A510D5" w:rsidRPr="003623E9">
          <w:rPr>
            <w:rStyle w:val="Hyperlink"/>
            <w:rFonts w:ascii="Arial" w:hAnsi="Arial" w:cs="Arial"/>
            <w:sz w:val="24"/>
            <w:szCs w:val="24"/>
          </w:rPr>
          <w:t>Tribuna</w:t>
        </w:r>
        <w:r w:rsidR="00C8648B" w:rsidRPr="003623E9">
          <w:rPr>
            <w:rStyle w:val="Hyperlink"/>
            <w:rFonts w:ascii="Arial" w:hAnsi="Arial" w:cs="Arial"/>
            <w:sz w:val="24"/>
            <w:szCs w:val="24"/>
          </w:rPr>
          <w:t>l Pleno</w:t>
        </w:r>
      </w:hyperlink>
      <w:r w:rsidR="00C8648B" w:rsidRPr="00D7391F">
        <w:rPr>
          <w:rFonts w:ascii="Arial" w:hAnsi="Arial" w:cs="Arial"/>
          <w:sz w:val="24"/>
          <w:szCs w:val="24"/>
        </w:rPr>
        <w:t xml:space="preserve">, Processo nº </w:t>
      </w:r>
      <w:r w:rsidR="00413851">
        <w:rPr>
          <w:rFonts w:ascii="Arial" w:hAnsi="Arial" w:cs="Arial"/>
          <w:sz w:val="24"/>
          <w:szCs w:val="24"/>
        </w:rPr>
        <w:t>616648/21</w:t>
      </w:r>
      <w:r w:rsidR="00A510D5" w:rsidRPr="00D7391F">
        <w:rPr>
          <w:rFonts w:ascii="Arial" w:hAnsi="Arial" w:cs="Arial"/>
          <w:sz w:val="24"/>
          <w:szCs w:val="24"/>
        </w:rPr>
        <w:t>,</w:t>
      </w:r>
    </w:p>
    <w:p w14:paraId="30A6FB88" w14:textId="77777777" w:rsidR="00984AC3" w:rsidRPr="00667C8D" w:rsidRDefault="00984AC3" w:rsidP="003B484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D7391F">
        <w:rPr>
          <w:rFonts w:ascii="Arial" w:hAnsi="Arial" w:cs="Arial"/>
          <w:b/>
          <w:bCs/>
          <w:sz w:val="24"/>
          <w:szCs w:val="24"/>
        </w:rPr>
        <w:t>RESOLVE</w:t>
      </w:r>
      <w:r w:rsidR="00413851">
        <w:rPr>
          <w:rFonts w:ascii="Arial" w:hAnsi="Arial" w:cs="Arial"/>
          <w:b/>
          <w:bCs/>
          <w:sz w:val="24"/>
          <w:szCs w:val="24"/>
        </w:rPr>
        <w:t>:</w:t>
      </w:r>
    </w:p>
    <w:p w14:paraId="110C4C0D" w14:textId="77777777" w:rsidR="00984AC3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1º </w:t>
      </w:r>
      <w:r w:rsidRPr="00400F4A">
        <w:rPr>
          <w:rFonts w:ascii="Arial" w:hAnsi="Arial" w:cs="Arial"/>
          <w:sz w:val="24"/>
          <w:szCs w:val="24"/>
        </w:rPr>
        <w:t xml:space="preserve">As normas desta Instrução aplicam-se ao Chefe do Poder Executivo </w:t>
      </w:r>
      <w:r w:rsidRPr="00DB7D1C">
        <w:rPr>
          <w:rFonts w:ascii="Arial" w:hAnsi="Arial" w:cs="Arial"/>
          <w:sz w:val="24"/>
          <w:szCs w:val="24"/>
        </w:rPr>
        <w:t>Estadual, no que tange à composição</w:t>
      </w:r>
      <w:r w:rsidR="000652CE" w:rsidRPr="00DB7D1C">
        <w:rPr>
          <w:rFonts w:ascii="Arial" w:hAnsi="Arial" w:cs="Arial"/>
          <w:sz w:val="24"/>
          <w:szCs w:val="24"/>
        </w:rPr>
        <w:t xml:space="preserve"> e escopo</w:t>
      </w:r>
      <w:r w:rsidR="00A902E5" w:rsidRPr="00DB7D1C">
        <w:rPr>
          <w:rFonts w:ascii="Arial" w:hAnsi="Arial" w:cs="Arial"/>
          <w:sz w:val="24"/>
          <w:szCs w:val="24"/>
        </w:rPr>
        <w:t xml:space="preserve"> de análise</w:t>
      </w:r>
      <w:r w:rsidRPr="00DB7D1C">
        <w:rPr>
          <w:rFonts w:ascii="Arial" w:hAnsi="Arial" w:cs="Arial"/>
          <w:sz w:val="24"/>
          <w:szCs w:val="24"/>
        </w:rPr>
        <w:t xml:space="preserve"> da Prestação de Contas</w:t>
      </w:r>
      <w:r w:rsidRPr="00400F4A">
        <w:rPr>
          <w:rFonts w:ascii="Arial" w:hAnsi="Arial" w:cs="Arial"/>
          <w:sz w:val="24"/>
          <w:szCs w:val="24"/>
        </w:rPr>
        <w:t xml:space="preserve"> Anual do Governo do Estado do Paraná, a ser encaminhada à Assembleia Legislativa, nos termos do artigo 87, XI, da Constituição Estadual.</w:t>
      </w:r>
    </w:p>
    <w:p w14:paraId="1FCE58AE" w14:textId="23997467" w:rsidR="00984AC3" w:rsidRPr="00400F4A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2º </w:t>
      </w:r>
      <w:r w:rsidRPr="00400F4A">
        <w:rPr>
          <w:rFonts w:ascii="Arial" w:hAnsi="Arial" w:cs="Arial"/>
          <w:sz w:val="24"/>
          <w:szCs w:val="24"/>
        </w:rPr>
        <w:t xml:space="preserve">Os documentos integrantes da Prestação de Contas deverão ser encaminhados a este Tribunal nos termos definidos pela </w:t>
      </w:r>
      <w:hyperlink r:id="rId9" w:history="1">
        <w:r w:rsidRPr="00350285">
          <w:rPr>
            <w:rStyle w:val="Hyperlink"/>
            <w:rFonts w:ascii="Arial" w:hAnsi="Arial" w:cs="Arial"/>
            <w:sz w:val="24"/>
            <w:szCs w:val="24"/>
          </w:rPr>
          <w:t>Instrução Normativa nº 62/2011</w:t>
        </w:r>
      </w:hyperlink>
      <w:r w:rsidRPr="00400F4A">
        <w:rPr>
          <w:rFonts w:ascii="Arial" w:hAnsi="Arial" w:cs="Arial"/>
          <w:sz w:val="24"/>
          <w:szCs w:val="24"/>
        </w:rPr>
        <w:t xml:space="preserve">, que trata da implantação do peticionamento eletrônico, e pela </w:t>
      </w:r>
      <w:hyperlink r:id="rId10" w:history="1">
        <w:r w:rsidRPr="00350285">
          <w:rPr>
            <w:rStyle w:val="Hyperlink"/>
            <w:rFonts w:ascii="Arial" w:hAnsi="Arial" w:cs="Arial"/>
            <w:sz w:val="24"/>
            <w:szCs w:val="24"/>
          </w:rPr>
          <w:t>Instrução de Serviço nº 27/2011</w:t>
        </w:r>
      </w:hyperlink>
      <w:r w:rsidRPr="00400F4A">
        <w:rPr>
          <w:rFonts w:ascii="Arial" w:hAnsi="Arial" w:cs="Arial"/>
          <w:sz w:val="24"/>
          <w:szCs w:val="24"/>
        </w:rPr>
        <w:t>, da Presidência deste Tribunal, que dispõe sobre as mídias, o tamanho e o formato dos documentos.</w:t>
      </w:r>
    </w:p>
    <w:p w14:paraId="4A2CC967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Parágrafo único. As instruções e procedimentos para o peticionamento em meio eletrônico estão disponíveis no </w:t>
      </w:r>
      <w:r w:rsidRPr="00400F4A">
        <w:rPr>
          <w:rFonts w:ascii="Arial" w:hAnsi="Arial" w:cs="Arial"/>
          <w:i/>
          <w:sz w:val="24"/>
          <w:szCs w:val="24"/>
        </w:rPr>
        <w:t>site</w:t>
      </w:r>
      <w:r w:rsidRPr="00400F4A">
        <w:rPr>
          <w:rFonts w:ascii="Arial" w:hAnsi="Arial" w:cs="Arial"/>
          <w:sz w:val="24"/>
          <w:szCs w:val="24"/>
        </w:rPr>
        <w:t xml:space="preserve"> deste Tribunal (</w:t>
      </w:r>
      <w:hyperlink r:id="rId11" w:history="1">
        <w:r w:rsidRPr="00400F4A">
          <w:rPr>
            <w:rFonts w:ascii="Arial" w:hAnsi="Arial" w:cs="Arial"/>
            <w:color w:val="0000FF"/>
            <w:sz w:val="24"/>
            <w:szCs w:val="24"/>
            <w:u w:val="single"/>
          </w:rPr>
          <w:t>www.tce.pr.gov.br</w:t>
        </w:r>
      </w:hyperlink>
      <w:r w:rsidRPr="00400F4A">
        <w:rPr>
          <w:rFonts w:ascii="Arial" w:hAnsi="Arial" w:cs="Arial"/>
          <w:sz w:val="24"/>
          <w:szCs w:val="24"/>
        </w:rPr>
        <w:t xml:space="preserve">), no </w:t>
      </w:r>
      <w:r w:rsidRPr="00400F4A">
        <w:rPr>
          <w:rFonts w:ascii="Arial" w:hAnsi="Arial" w:cs="Arial"/>
          <w:i/>
          <w:sz w:val="24"/>
          <w:szCs w:val="24"/>
        </w:rPr>
        <w:t>Portal e-Contas Paraná.</w:t>
      </w:r>
    </w:p>
    <w:p w14:paraId="3337451E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3º </w:t>
      </w:r>
      <w:r w:rsidRPr="00400F4A">
        <w:rPr>
          <w:rFonts w:ascii="Arial" w:hAnsi="Arial" w:cs="Arial"/>
          <w:sz w:val="24"/>
          <w:szCs w:val="24"/>
        </w:rPr>
        <w:t xml:space="preserve">A Prestação de Contas Anual relativa ao exercício </w:t>
      </w:r>
      <w:r w:rsidRPr="00D7391F">
        <w:rPr>
          <w:rFonts w:ascii="Arial" w:hAnsi="Arial" w:cs="Arial"/>
          <w:sz w:val="24"/>
          <w:szCs w:val="24"/>
        </w:rPr>
        <w:t>de 20</w:t>
      </w:r>
      <w:r w:rsidR="00A158E3" w:rsidRPr="00D7391F">
        <w:rPr>
          <w:rFonts w:ascii="Arial" w:hAnsi="Arial" w:cs="Arial"/>
          <w:sz w:val="24"/>
          <w:szCs w:val="24"/>
        </w:rPr>
        <w:t>2</w:t>
      </w:r>
      <w:r w:rsidR="00873A35" w:rsidRPr="00D7391F">
        <w:rPr>
          <w:rFonts w:ascii="Arial" w:hAnsi="Arial" w:cs="Arial"/>
          <w:sz w:val="24"/>
          <w:szCs w:val="24"/>
        </w:rPr>
        <w:t>1</w:t>
      </w:r>
      <w:r w:rsidRPr="00D7391F">
        <w:rPr>
          <w:rFonts w:ascii="Arial" w:hAnsi="Arial" w:cs="Arial"/>
          <w:sz w:val="24"/>
          <w:szCs w:val="24"/>
        </w:rPr>
        <w:t>,</w:t>
      </w:r>
      <w:r w:rsidRPr="00400F4A">
        <w:rPr>
          <w:rFonts w:ascii="Arial" w:hAnsi="Arial" w:cs="Arial"/>
          <w:sz w:val="24"/>
          <w:szCs w:val="24"/>
        </w:rPr>
        <w:t xml:space="preserve"> do Chefe do Poder Executivo Estadual, constitui-se das informações encaminhadas por meio do sistema SEI-CED e deve, também, conter os seguintes documentos:</w:t>
      </w:r>
    </w:p>
    <w:p w14:paraId="6A635B6D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 - Ofício de encaminhamento ao Presidente da Assembleia Legislativa;</w:t>
      </w:r>
    </w:p>
    <w:p w14:paraId="00B7420A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II - Demonstrações Contábeis Aplicadas ao Setor Público (DCASP) do Poder Executivo (compreendendo a Administração direta e indireta) e Global (abrangendo o Legislativo, o Judiciário, o Ministério Público e os Fundos Previdenciários):</w:t>
      </w:r>
    </w:p>
    <w:p w14:paraId="116D1A28" w14:textId="77777777" w:rsidR="00984AC3" w:rsidRPr="004B6181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B6181">
        <w:rPr>
          <w:rFonts w:ascii="Arial" w:hAnsi="Arial" w:cs="Arial"/>
          <w:iCs/>
          <w:sz w:val="24"/>
          <w:szCs w:val="24"/>
        </w:rPr>
        <w:t>a) Balanço Orçamentário;</w:t>
      </w:r>
    </w:p>
    <w:p w14:paraId="21911D91" w14:textId="77777777" w:rsidR="00984AC3" w:rsidRPr="004B6181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B6181">
        <w:rPr>
          <w:rFonts w:ascii="Arial" w:hAnsi="Arial" w:cs="Arial"/>
          <w:iCs/>
          <w:sz w:val="24"/>
          <w:szCs w:val="24"/>
        </w:rPr>
        <w:t>b) Balanço Financeiro;</w:t>
      </w:r>
    </w:p>
    <w:p w14:paraId="57280905" w14:textId="77777777" w:rsidR="00984AC3" w:rsidRPr="004B6181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B6181">
        <w:rPr>
          <w:rFonts w:ascii="Arial" w:hAnsi="Arial" w:cs="Arial"/>
          <w:iCs/>
          <w:sz w:val="24"/>
          <w:szCs w:val="24"/>
        </w:rPr>
        <w:t>c) Balanço Patrimonial;</w:t>
      </w:r>
    </w:p>
    <w:p w14:paraId="35EEF5FF" w14:textId="77777777" w:rsidR="00984AC3" w:rsidRPr="004B6181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B6181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2B600C75" w14:textId="77777777" w:rsidR="00984AC3" w:rsidRPr="004B6181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B6181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1ECAAFA9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6181">
        <w:rPr>
          <w:rFonts w:ascii="Arial" w:hAnsi="Arial" w:cs="Arial"/>
          <w:iCs/>
          <w:sz w:val="24"/>
          <w:szCs w:val="24"/>
        </w:rPr>
        <w:t>f)</w:t>
      </w:r>
      <w:r w:rsidR="00CC0ADB" w:rsidRPr="004B6181">
        <w:rPr>
          <w:rFonts w:ascii="Arial" w:hAnsi="Arial" w:cs="Arial"/>
          <w:iCs/>
          <w:sz w:val="24"/>
          <w:szCs w:val="24"/>
        </w:rPr>
        <w:t xml:space="preserve"> Notas</w:t>
      </w:r>
      <w:r w:rsidR="00CC0ADB" w:rsidRPr="00400F4A">
        <w:rPr>
          <w:rFonts w:ascii="Arial" w:hAnsi="Arial" w:cs="Arial"/>
          <w:sz w:val="24"/>
          <w:szCs w:val="24"/>
        </w:rPr>
        <w:t xml:space="preserve"> Explicativas às DCASP;</w:t>
      </w:r>
    </w:p>
    <w:p w14:paraId="60C1A0FD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III - Relatório circunstanciado de gestão do exercício, contendo, dentre outras informações:</w:t>
      </w:r>
    </w:p>
    <w:p w14:paraId="7F49E565" w14:textId="77777777" w:rsidR="00984AC3" w:rsidRPr="00400F4A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demonstrativo quanto ao atendimento dos limites constitucionais, da LRF, da Lei de Diretrizes Orçamentárias e do seu Anexo de Metas Fiscais;</w:t>
      </w:r>
    </w:p>
    <w:p w14:paraId="50F24B93" w14:textId="77777777" w:rsidR="00984AC3" w:rsidRPr="00400F4A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medidas adotadas para o retorno da despesa total com pessoal ao respectivo limite, se for o caso;</w:t>
      </w:r>
    </w:p>
    <w:p w14:paraId="7A4A3837" w14:textId="77777777" w:rsidR="00984AC3" w:rsidRPr="00400F4A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relatório de acompanhamento e avaliação quanto aos Contratos de Gestão dos Órgãos e Entidades da</w:t>
      </w:r>
      <w:r w:rsidR="00CC0ADB" w:rsidRPr="00400F4A">
        <w:rPr>
          <w:rFonts w:ascii="Arial" w:hAnsi="Arial" w:cs="Arial"/>
          <w:sz w:val="24"/>
          <w:szCs w:val="24"/>
        </w:rPr>
        <w:t xml:space="preserve"> Administração Pública Estadual;</w:t>
      </w:r>
    </w:p>
    <w:p w14:paraId="0C5B92D1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</w:t>
      </w:r>
      <w:r w:rsidR="00D7391F">
        <w:rPr>
          <w:rFonts w:ascii="Arial" w:hAnsi="Arial" w:cs="Arial"/>
          <w:sz w:val="24"/>
          <w:szCs w:val="24"/>
        </w:rPr>
        <w:t>V</w:t>
      </w:r>
      <w:r w:rsidRPr="00400F4A">
        <w:rPr>
          <w:rFonts w:ascii="Arial" w:hAnsi="Arial" w:cs="Arial"/>
          <w:sz w:val="24"/>
          <w:szCs w:val="24"/>
        </w:rPr>
        <w:t xml:space="preserve"> - 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estabelecida no art. 58 da LRF;</w:t>
      </w:r>
    </w:p>
    <w:p w14:paraId="301C00B8" w14:textId="77777777" w:rsidR="00984AC3" w:rsidRPr="00D81F93" w:rsidRDefault="00D7391F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84AC3" w:rsidRPr="00400F4A">
        <w:rPr>
          <w:rFonts w:ascii="Arial" w:hAnsi="Arial" w:cs="Arial"/>
          <w:sz w:val="24"/>
          <w:szCs w:val="24"/>
        </w:rPr>
        <w:t xml:space="preserve"> - Demonstrativo com as medidas que implicaram em renúncia de receitas, elaborando </w:t>
      </w:r>
      <w:r w:rsidR="00984AC3" w:rsidRPr="00D81F93">
        <w:rPr>
          <w:rFonts w:ascii="Arial" w:hAnsi="Arial" w:cs="Arial"/>
          <w:sz w:val="24"/>
          <w:szCs w:val="24"/>
        </w:rPr>
        <w:t>demonstrativo que evidencie o montante dos benefícios fiscais concedidos no exercício</w:t>
      </w:r>
      <w:r w:rsidR="003A6EE2" w:rsidRPr="00D81F93">
        <w:rPr>
          <w:rFonts w:ascii="Arial" w:hAnsi="Arial" w:cs="Arial"/>
          <w:sz w:val="24"/>
          <w:szCs w:val="24"/>
        </w:rPr>
        <w:t xml:space="preserve"> com indicação da legislação pertinente, respectivos impactos orçamentários e financeiros</w:t>
      </w:r>
      <w:r w:rsidR="00984AC3" w:rsidRPr="00D81F93">
        <w:rPr>
          <w:rFonts w:ascii="Arial" w:hAnsi="Arial" w:cs="Arial"/>
          <w:sz w:val="24"/>
          <w:szCs w:val="24"/>
        </w:rPr>
        <w:t xml:space="preserve"> e as respectivas ações adotadas para compensar tais renúncias;</w:t>
      </w:r>
    </w:p>
    <w:p w14:paraId="3D544D70" w14:textId="77777777" w:rsidR="00984AC3" w:rsidRPr="00D81F93" w:rsidRDefault="00D7391F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81F93">
        <w:rPr>
          <w:rFonts w:ascii="Arial" w:hAnsi="Arial" w:cs="Arial"/>
          <w:sz w:val="24"/>
          <w:szCs w:val="24"/>
        </w:rPr>
        <w:t>V</w:t>
      </w:r>
      <w:r w:rsidR="00984AC3" w:rsidRPr="00D81F93">
        <w:rPr>
          <w:rFonts w:ascii="Arial" w:hAnsi="Arial" w:cs="Arial"/>
          <w:sz w:val="24"/>
          <w:szCs w:val="24"/>
        </w:rPr>
        <w:t>I - Demonstrativo da movimentação da dívida ativa ocorrida no exercício, contendo:</w:t>
      </w:r>
    </w:p>
    <w:p w14:paraId="662B9D2C" w14:textId="77777777" w:rsidR="003D1DEF" w:rsidRPr="00D81F93" w:rsidRDefault="003D1DEF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81F93">
        <w:rPr>
          <w:rFonts w:ascii="Arial" w:hAnsi="Arial" w:cs="Arial"/>
          <w:sz w:val="24"/>
          <w:szCs w:val="24"/>
        </w:rPr>
        <w:t>quadro</w:t>
      </w:r>
      <w:r w:rsidR="00984AC3" w:rsidRPr="00D81F93">
        <w:rPr>
          <w:rFonts w:ascii="Arial" w:hAnsi="Arial" w:cs="Arial"/>
          <w:sz w:val="24"/>
          <w:szCs w:val="24"/>
        </w:rPr>
        <w:t xml:space="preserve"> das </w:t>
      </w:r>
      <w:r w:rsidRPr="00D81F93">
        <w:rPr>
          <w:rFonts w:ascii="Arial" w:hAnsi="Arial" w:cs="Arial"/>
          <w:sz w:val="24"/>
          <w:szCs w:val="24"/>
        </w:rPr>
        <w:t xml:space="preserve">inscrições ocorridas, </w:t>
      </w:r>
      <w:r w:rsidR="0070559A" w:rsidRPr="00D81F93">
        <w:rPr>
          <w:rFonts w:ascii="Arial" w:hAnsi="Arial" w:cs="Arial"/>
          <w:sz w:val="24"/>
          <w:szCs w:val="24"/>
        </w:rPr>
        <w:t>mês a mês, contendo débitos tributários e não tributários</w:t>
      </w:r>
      <w:r w:rsidR="00A902F4" w:rsidRPr="00D81F93">
        <w:rPr>
          <w:rFonts w:ascii="Arial" w:hAnsi="Arial" w:cs="Arial"/>
          <w:sz w:val="24"/>
          <w:szCs w:val="24"/>
        </w:rPr>
        <w:t>,</w:t>
      </w:r>
      <w:r w:rsidR="0070559A" w:rsidRPr="00D81F93">
        <w:rPr>
          <w:rFonts w:ascii="Arial" w:hAnsi="Arial" w:cs="Arial"/>
          <w:sz w:val="24"/>
          <w:szCs w:val="24"/>
        </w:rPr>
        <w:t xml:space="preserve"> separadamente, </w:t>
      </w:r>
      <w:r w:rsidR="00A902F4" w:rsidRPr="00D81F93">
        <w:rPr>
          <w:rFonts w:ascii="Arial" w:hAnsi="Arial" w:cs="Arial"/>
          <w:sz w:val="24"/>
          <w:szCs w:val="24"/>
        </w:rPr>
        <w:t xml:space="preserve">bem como </w:t>
      </w:r>
      <w:r w:rsidR="0070559A" w:rsidRPr="00D81F93">
        <w:rPr>
          <w:rFonts w:ascii="Arial" w:hAnsi="Arial" w:cs="Arial"/>
          <w:sz w:val="24"/>
          <w:szCs w:val="24"/>
        </w:rPr>
        <w:t>o percentual desse valor que possui garantia;</w:t>
      </w:r>
    </w:p>
    <w:p w14:paraId="323998DF" w14:textId="77777777" w:rsidR="00984AC3" w:rsidRPr="003D1DEF" w:rsidRDefault="003D1DEF" w:rsidP="003D1DEF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81F93">
        <w:rPr>
          <w:rFonts w:ascii="Arial" w:hAnsi="Arial" w:cs="Arial"/>
          <w:sz w:val="24"/>
          <w:szCs w:val="24"/>
        </w:rPr>
        <w:t>detalhamento d</w:t>
      </w:r>
      <w:r w:rsidRPr="00400F4A">
        <w:rPr>
          <w:rFonts w:ascii="Arial" w:hAnsi="Arial" w:cs="Arial"/>
          <w:sz w:val="24"/>
          <w:szCs w:val="24"/>
        </w:rPr>
        <w:t xml:space="preserve">as </w:t>
      </w:r>
      <w:r w:rsidR="00984AC3" w:rsidRPr="003D1DEF">
        <w:rPr>
          <w:rFonts w:ascii="Arial" w:hAnsi="Arial" w:cs="Arial"/>
          <w:sz w:val="24"/>
          <w:szCs w:val="24"/>
        </w:rPr>
        <w:t>baixas ocorridas, independentemente se por pagamento ou outros motivos (prescrições, anistias, isenções e remissões concedidas, por exemplo), com justificativas esclarecendo as diversas situações ocorridas;</w:t>
      </w:r>
    </w:p>
    <w:p w14:paraId="66AA6E76" w14:textId="77777777" w:rsidR="00984AC3" w:rsidRPr="00400F4A" w:rsidRDefault="00984AC3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resumo da situação processual das ações de execução e probabilidade de sucesso dessas ações;</w:t>
      </w:r>
    </w:p>
    <w:p w14:paraId="335CA1B3" w14:textId="77777777" w:rsidR="00984AC3" w:rsidRPr="00400F4A" w:rsidRDefault="00984AC3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estratégias operacionais da Procuradoria</w:t>
      </w:r>
      <w:r w:rsidR="00764C17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 para maxim</w:t>
      </w:r>
      <w:r w:rsidR="00CC0ADB" w:rsidRPr="00400F4A">
        <w:rPr>
          <w:rFonts w:ascii="Arial" w:hAnsi="Arial" w:cs="Arial"/>
          <w:sz w:val="24"/>
          <w:szCs w:val="24"/>
        </w:rPr>
        <w:t>izar a recuperação dos créditos;</w:t>
      </w:r>
    </w:p>
    <w:p w14:paraId="03B41B09" w14:textId="77777777" w:rsidR="00984AC3" w:rsidRPr="00400F4A" w:rsidRDefault="00D7391F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84AC3" w:rsidRPr="00400F4A">
        <w:rPr>
          <w:rFonts w:ascii="Arial" w:hAnsi="Arial" w:cs="Arial"/>
          <w:sz w:val="24"/>
          <w:szCs w:val="24"/>
        </w:rPr>
        <w:t xml:space="preserve">II - </w:t>
      </w:r>
      <w:r w:rsidR="00A902F4" w:rsidRPr="00400F4A">
        <w:rPr>
          <w:rFonts w:ascii="Arial" w:hAnsi="Arial" w:cs="Arial"/>
          <w:sz w:val="24"/>
          <w:szCs w:val="24"/>
        </w:rPr>
        <w:t>Relatório gerencial da dívida ativa, por situação de contribuinte, tipo de crédito e situação da exigibilidade, com valores atualizados por contribuinte, tendo como referência dezembro do exercício em análise</w:t>
      </w:r>
      <w:r w:rsidR="00A902F4" w:rsidRPr="00717E20">
        <w:rPr>
          <w:rFonts w:ascii="Arial" w:hAnsi="Arial" w:cs="Arial"/>
          <w:sz w:val="24"/>
          <w:szCs w:val="24"/>
        </w:rPr>
        <w:t>, conforme Anexo I</w:t>
      </w:r>
      <w:r w:rsidR="00A902F4" w:rsidRPr="00400F4A">
        <w:rPr>
          <w:rFonts w:ascii="Arial" w:hAnsi="Arial" w:cs="Arial"/>
          <w:sz w:val="24"/>
          <w:szCs w:val="24"/>
        </w:rPr>
        <w:t xml:space="preserve"> desta Instrução</w:t>
      </w:r>
      <w:r w:rsidR="00984AC3" w:rsidRPr="00400F4A">
        <w:rPr>
          <w:rFonts w:ascii="Arial" w:hAnsi="Arial" w:cs="Arial"/>
          <w:sz w:val="24"/>
          <w:szCs w:val="24"/>
        </w:rPr>
        <w:t>;</w:t>
      </w:r>
    </w:p>
    <w:p w14:paraId="2F7DD4EE" w14:textId="77777777" w:rsidR="00984AC3" w:rsidRDefault="00D7391F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84AC3" w:rsidRPr="00400F4A">
        <w:rPr>
          <w:rFonts w:ascii="Arial" w:hAnsi="Arial" w:cs="Arial"/>
          <w:sz w:val="24"/>
          <w:szCs w:val="24"/>
        </w:rPr>
        <w:t>III -</w:t>
      </w:r>
      <w:r w:rsidR="00A902F4" w:rsidRPr="00A902F4">
        <w:rPr>
          <w:rFonts w:ascii="Arial" w:hAnsi="Arial" w:cs="Arial"/>
          <w:sz w:val="24"/>
          <w:szCs w:val="24"/>
        </w:rPr>
        <w:t xml:space="preserve"> </w:t>
      </w:r>
      <w:r w:rsidR="00A902F4" w:rsidRPr="00400F4A">
        <w:rPr>
          <w:rFonts w:ascii="Arial" w:hAnsi="Arial" w:cs="Arial"/>
          <w:sz w:val="24"/>
          <w:szCs w:val="24"/>
        </w:rPr>
        <w:t>Demonstrativo das receitas, desdobradas em metas bimestrais de arrecadação, com a especificação, em separado, das medidas de combate à evasão e à sonegação, com indicação da quantidade e valores de ações ajuizadas para cobrança da dívida ativa, bem como da evolução do montante dos créditos tributários passíveis de cobrança administrativa nos termos do art. 13 da Lei Complementar n° 101/00</w:t>
      </w:r>
      <w:r w:rsidR="00A902F4">
        <w:rPr>
          <w:rFonts w:ascii="Arial" w:hAnsi="Arial" w:cs="Arial"/>
          <w:sz w:val="24"/>
          <w:szCs w:val="24"/>
        </w:rPr>
        <w:t>;</w:t>
      </w:r>
    </w:p>
    <w:p w14:paraId="095E6BD5" w14:textId="77777777" w:rsidR="00984AC3" w:rsidRPr="00D83F04" w:rsidRDefault="00DF24E9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84AC3" w:rsidRPr="00D83F04">
        <w:rPr>
          <w:rFonts w:ascii="Arial" w:hAnsi="Arial" w:cs="Arial"/>
          <w:sz w:val="24"/>
          <w:szCs w:val="24"/>
        </w:rPr>
        <w:t>X - Demonstrativo da movimentação dos Precatórios ocorrida no exercício, identificando: inscrições, pagamentos, baixas, provisões, compensações, atualização dos requisitórios e saldo final;</w:t>
      </w:r>
    </w:p>
    <w:p w14:paraId="065B74CB" w14:textId="77777777" w:rsidR="00984AC3" w:rsidRPr="00A84818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84818">
        <w:rPr>
          <w:rFonts w:ascii="Arial" w:hAnsi="Arial" w:cs="Arial"/>
          <w:sz w:val="24"/>
          <w:szCs w:val="24"/>
        </w:rPr>
        <w:t xml:space="preserve">X - Demonstrativo dos valores mensais repassados ao Tribunal de Justiça, no exercício, pela Secretaria de Estado da Fazenda, para pagamento de Precatórios, apresentado, por mês de referência, a base de cálculo da Receita Corrente Líquida; o total de ser transferido, bem como o valor a ser destinado à conta especial, à conta cronológica </w:t>
      </w:r>
      <w:r w:rsidR="00646590">
        <w:rPr>
          <w:rFonts w:ascii="Arial" w:hAnsi="Arial" w:cs="Arial"/>
          <w:sz w:val="24"/>
          <w:szCs w:val="24"/>
        </w:rPr>
        <w:t xml:space="preserve">ou ao regime especial </w:t>
      </w:r>
      <w:r w:rsidRPr="00A84818">
        <w:rPr>
          <w:rFonts w:ascii="Arial" w:hAnsi="Arial" w:cs="Arial"/>
          <w:sz w:val="24"/>
          <w:szCs w:val="24"/>
        </w:rPr>
        <w:t>e a data do depósito;</w:t>
      </w:r>
    </w:p>
    <w:p w14:paraId="7D9C3BE0" w14:textId="77777777" w:rsidR="00984AC3" w:rsidRPr="00DF24E9" w:rsidRDefault="00984AC3" w:rsidP="003D7914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84818">
        <w:rPr>
          <w:rFonts w:ascii="Arial" w:hAnsi="Arial" w:cs="Arial"/>
          <w:sz w:val="24"/>
          <w:szCs w:val="24"/>
        </w:rPr>
        <w:t>X</w:t>
      </w:r>
      <w:r w:rsidR="00A84818">
        <w:rPr>
          <w:rFonts w:ascii="Arial" w:hAnsi="Arial" w:cs="Arial"/>
          <w:sz w:val="24"/>
          <w:szCs w:val="24"/>
        </w:rPr>
        <w:t>I</w:t>
      </w:r>
      <w:r w:rsidRPr="00A84818">
        <w:rPr>
          <w:rFonts w:ascii="Arial" w:hAnsi="Arial" w:cs="Arial"/>
          <w:sz w:val="24"/>
          <w:szCs w:val="24"/>
        </w:rPr>
        <w:t xml:space="preserve"> - Notas explicativas sobre a gestão</w:t>
      </w:r>
      <w:r w:rsidRPr="00D83F04">
        <w:rPr>
          <w:rFonts w:ascii="Arial" w:hAnsi="Arial" w:cs="Arial"/>
          <w:sz w:val="24"/>
          <w:szCs w:val="24"/>
        </w:rPr>
        <w:t xml:space="preserve"> de precatórios no exercício, em especial, as informações recebidas pelo Tribunal de Justiça e seus respectivos registros</w:t>
      </w:r>
      <w:r w:rsidR="00D83F04" w:rsidRPr="00D83F04">
        <w:rPr>
          <w:rFonts w:ascii="Arial" w:hAnsi="Arial" w:cs="Arial"/>
          <w:sz w:val="24"/>
          <w:szCs w:val="24"/>
        </w:rPr>
        <w:t xml:space="preserve">, esclarecendo o não esgotamento </w:t>
      </w:r>
      <w:r w:rsidR="00D83F04" w:rsidRPr="00DF24E9">
        <w:rPr>
          <w:rFonts w:ascii="Arial" w:hAnsi="Arial" w:cs="Arial"/>
          <w:sz w:val="24"/>
          <w:szCs w:val="24"/>
        </w:rPr>
        <w:t>dos recursos, se for o caso, nas contas especiais geridas pelo Tribunal de Justiça</w:t>
      </w:r>
      <w:r w:rsidR="003D7914" w:rsidRPr="00DF24E9">
        <w:rPr>
          <w:rFonts w:ascii="Arial" w:hAnsi="Arial" w:cs="Arial"/>
          <w:sz w:val="24"/>
          <w:szCs w:val="24"/>
        </w:rPr>
        <w:t>, além de demonstrativo de pagamento a credores de precatórios com débitos inscritos em dívida ativa;</w:t>
      </w:r>
    </w:p>
    <w:p w14:paraId="6DB2000D" w14:textId="77777777" w:rsidR="00984AC3" w:rsidRPr="00D83F04" w:rsidRDefault="00984AC3" w:rsidP="00400F4A">
      <w:pPr>
        <w:tabs>
          <w:tab w:val="left" w:pos="72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F24E9">
        <w:rPr>
          <w:rFonts w:ascii="Arial" w:hAnsi="Arial" w:cs="Arial"/>
          <w:sz w:val="24"/>
          <w:szCs w:val="24"/>
        </w:rPr>
        <w:t>X</w:t>
      </w:r>
      <w:r w:rsidR="00DF24E9" w:rsidRPr="00DF24E9">
        <w:rPr>
          <w:rFonts w:ascii="Arial" w:hAnsi="Arial" w:cs="Arial"/>
          <w:sz w:val="24"/>
          <w:szCs w:val="24"/>
        </w:rPr>
        <w:t>II</w:t>
      </w:r>
      <w:r w:rsidRPr="00DF24E9">
        <w:rPr>
          <w:rFonts w:ascii="Arial" w:hAnsi="Arial" w:cs="Arial"/>
          <w:sz w:val="24"/>
          <w:szCs w:val="24"/>
        </w:rPr>
        <w:t xml:space="preserve"> - </w:t>
      </w:r>
      <w:r w:rsidR="006C211B" w:rsidRPr="00DF24E9">
        <w:rPr>
          <w:rFonts w:ascii="Arial" w:hAnsi="Arial" w:cs="Arial"/>
          <w:sz w:val="24"/>
          <w:szCs w:val="24"/>
        </w:rPr>
        <w:t xml:space="preserve">Plano </w:t>
      </w:r>
      <w:r w:rsidR="003D7914" w:rsidRPr="00DF24E9">
        <w:rPr>
          <w:rFonts w:ascii="Arial" w:hAnsi="Arial" w:cs="Arial"/>
          <w:sz w:val="24"/>
          <w:szCs w:val="24"/>
        </w:rPr>
        <w:t xml:space="preserve">Anual </w:t>
      </w:r>
      <w:r w:rsidR="006C211B" w:rsidRPr="00DF24E9">
        <w:rPr>
          <w:rFonts w:ascii="Arial" w:hAnsi="Arial" w:cs="Arial"/>
          <w:sz w:val="24"/>
          <w:szCs w:val="24"/>
        </w:rPr>
        <w:t>de pagamento de precatórios</w:t>
      </w:r>
      <w:r w:rsidR="006C211B" w:rsidRPr="00D83F04">
        <w:rPr>
          <w:rFonts w:ascii="Arial" w:hAnsi="Arial" w:cs="Arial"/>
          <w:sz w:val="24"/>
          <w:szCs w:val="24"/>
        </w:rPr>
        <w:t xml:space="preserve"> </w:t>
      </w:r>
      <w:r w:rsidRPr="00D83F04">
        <w:rPr>
          <w:rFonts w:ascii="Arial" w:hAnsi="Arial" w:cs="Arial"/>
          <w:sz w:val="24"/>
          <w:szCs w:val="24"/>
        </w:rPr>
        <w:t>com o planejamento para o pagamento dos precatórios em atraso, para quitação do estoque,</w:t>
      </w:r>
      <w:r w:rsidR="004234CC" w:rsidRPr="00D83F04">
        <w:rPr>
          <w:rFonts w:ascii="Arial" w:hAnsi="Arial" w:cs="Arial"/>
          <w:sz w:val="24"/>
          <w:szCs w:val="24"/>
        </w:rPr>
        <w:t xml:space="preserve"> a ser apresentado anualmente ao Tribunal de Justiça,</w:t>
      </w:r>
      <w:r w:rsidRPr="00D83F04">
        <w:rPr>
          <w:rFonts w:ascii="Arial" w:hAnsi="Arial" w:cs="Arial"/>
          <w:sz w:val="24"/>
          <w:szCs w:val="24"/>
        </w:rPr>
        <w:t xml:space="preserve"> detalhando além de recursos próprios outros Instrumentos previstos </w:t>
      </w:r>
      <w:r w:rsidR="00EC5101" w:rsidRPr="00D83F04">
        <w:rPr>
          <w:rFonts w:ascii="Arial" w:hAnsi="Arial" w:cs="Arial"/>
          <w:sz w:val="24"/>
          <w:szCs w:val="24"/>
        </w:rPr>
        <w:t xml:space="preserve">para atender </w:t>
      </w:r>
      <w:r w:rsidRPr="00D83F04">
        <w:rPr>
          <w:rFonts w:ascii="Arial" w:hAnsi="Arial" w:cs="Arial"/>
          <w:sz w:val="24"/>
          <w:szCs w:val="24"/>
        </w:rPr>
        <w:t>a</w:t>
      </w:r>
      <w:r w:rsidR="00C471F3">
        <w:rPr>
          <w:rFonts w:ascii="Arial" w:hAnsi="Arial" w:cs="Arial"/>
          <w:sz w:val="24"/>
          <w:szCs w:val="24"/>
        </w:rPr>
        <w:t>s</w:t>
      </w:r>
      <w:r w:rsidRPr="00D83F04">
        <w:rPr>
          <w:rFonts w:ascii="Arial" w:hAnsi="Arial" w:cs="Arial"/>
          <w:sz w:val="24"/>
          <w:szCs w:val="24"/>
        </w:rPr>
        <w:t xml:space="preserve"> Emenda</w:t>
      </w:r>
      <w:r w:rsidR="00C471F3">
        <w:rPr>
          <w:rFonts w:ascii="Arial" w:hAnsi="Arial" w:cs="Arial"/>
          <w:sz w:val="24"/>
          <w:szCs w:val="24"/>
        </w:rPr>
        <w:t>s</w:t>
      </w:r>
      <w:r w:rsidRPr="00D83F04">
        <w:rPr>
          <w:rFonts w:ascii="Arial" w:hAnsi="Arial" w:cs="Arial"/>
          <w:sz w:val="24"/>
          <w:szCs w:val="24"/>
        </w:rPr>
        <w:t xml:space="preserve"> Constituciona</w:t>
      </w:r>
      <w:r w:rsidR="00C471F3">
        <w:rPr>
          <w:rFonts w:ascii="Arial" w:hAnsi="Arial" w:cs="Arial"/>
          <w:sz w:val="24"/>
          <w:szCs w:val="24"/>
        </w:rPr>
        <w:t>is</w:t>
      </w:r>
      <w:r w:rsidRPr="00D83F04">
        <w:rPr>
          <w:rFonts w:ascii="Arial" w:hAnsi="Arial" w:cs="Arial"/>
          <w:sz w:val="24"/>
          <w:szCs w:val="24"/>
        </w:rPr>
        <w:t xml:space="preserve"> </w:t>
      </w:r>
      <w:r w:rsidR="00C471F3">
        <w:rPr>
          <w:rFonts w:ascii="Arial" w:hAnsi="Arial" w:cs="Arial"/>
          <w:sz w:val="24"/>
          <w:szCs w:val="24"/>
        </w:rPr>
        <w:t>acerca do tema</w:t>
      </w:r>
      <w:r w:rsidR="00D83F04" w:rsidRPr="00D83F04">
        <w:rPr>
          <w:rFonts w:ascii="Arial" w:hAnsi="Arial" w:cs="Arial"/>
          <w:sz w:val="24"/>
          <w:szCs w:val="24"/>
        </w:rPr>
        <w:t>, esclarece</w:t>
      </w:r>
      <w:r w:rsidR="00D83F04">
        <w:rPr>
          <w:rFonts w:ascii="Arial" w:hAnsi="Arial" w:cs="Arial"/>
          <w:sz w:val="24"/>
          <w:szCs w:val="24"/>
        </w:rPr>
        <w:t>ndo</w:t>
      </w:r>
      <w:r w:rsidR="00D83F04" w:rsidRPr="00D83F04">
        <w:rPr>
          <w:rFonts w:ascii="Arial" w:hAnsi="Arial" w:cs="Arial"/>
          <w:sz w:val="24"/>
          <w:szCs w:val="24"/>
        </w:rPr>
        <w:t xml:space="preserve"> a sua execução durante o exercício</w:t>
      </w:r>
      <w:r w:rsidR="00333F60">
        <w:rPr>
          <w:rFonts w:ascii="Arial" w:hAnsi="Arial" w:cs="Arial"/>
          <w:sz w:val="24"/>
          <w:szCs w:val="24"/>
        </w:rPr>
        <w:t>;</w:t>
      </w:r>
    </w:p>
    <w:p w14:paraId="60B8E057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439F">
        <w:rPr>
          <w:rFonts w:ascii="Arial" w:hAnsi="Arial" w:cs="Arial"/>
          <w:sz w:val="24"/>
          <w:szCs w:val="24"/>
        </w:rPr>
        <w:t>X</w:t>
      </w:r>
      <w:r w:rsidR="00DF24E9">
        <w:rPr>
          <w:rFonts w:ascii="Arial" w:hAnsi="Arial" w:cs="Arial"/>
          <w:sz w:val="24"/>
          <w:szCs w:val="24"/>
        </w:rPr>
        <w:t>I</w:t>
      </w:r>
      <w:r w:rsidRPr="0047439F">
        <w:rPr>
          <w:rFonts w:ascii="Arial" w:hAnsi="Arial" w:cs="Arial"/>
          <w:sz w:val="24"/>
          <w:szCs w:val="24"/>
        </w:rPr>
        <w:t>I</w:t>
      </w:r>
      <w:r w:rsidR="0047439F" w:rsidRPr="0047439F">
        <w:rPr>
          <w:rFonts w:ascii="Arial" w:hAnsi="Arial" w:cs="Arial"/>
          <w:sz w:val="24"/>
          <w:szCs w:val="24"/>
        </w:rPr>
        <w:t>I</w:t>
      </w:r>
      <w:r w:rsidRPr="00400F4A">
        <w:rPr>
          <w:rFonts w:ascii="Arial" w:hAnsi="Arial" w:cs="Arial"/>
          <w:sz w:val="24"/>
          <w:szCs w:val="24"/>
        </w:rPr>
        <w:t xml:space="preserve"> - Participação acionária do Estado, em 31 de dezembro do exercício em análise, nas Empresas Públicas e Sociedades de Economia Mista;</w:t>
      </w:r>
    </w:p>
    <w:p w14:paraId="2F835FEB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</w:t>
      </w:r>
      <w:r w:rsidR="00DF24E9">
        <w:rPr>
          <w:rFonts w:ascii="Arial" w:hAnsi="Arial" w:cs="Arial"/>
          <w:sz w:val="24"/>
          <w:szCs w:val="24"/>
        </w:rPr>
        <w:t>I</w:t>
      </w:r>
      <w:r w:rsidR="00D7391F">
        <w:rPr>
          <w:rFonts w:ascii="Arial" w:hAnsi="Arial" w:cs="Arial"/>
          <w:sz w:val="24"/>
          <w:szCs w:val="24"/>
        </w:rPr>
        <w:t>V</w:t>
      </w:r>
      <w:r w:rsidRPr="00400F4A">
        <w:rPr>
          <w:rFonts w:ascii="Arial" w:hAnsi="Arial" w:cs="Arial"/>
          <w:sz w:val="24"/>
          <w:szCs w:val="24"/>
        </w:rPr>
        <w:t xml:space="preserve"> - Demonstrativo indicando origem e destino dos recursos provenientes da alienação de ativos, em complementação ao Anexo 15 da Lei nº 4.320/64, atendendo ao disposto no inciso VI do art. 50 da LRF;</w:t>
      </w:r>
    </w:p>
    <w:p w14:paraId="5E038CF1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</w:t>
      </w:r>
      <w:r w:rsidR="00DF24E9">
        <w:rPr>
          <w:rFonts w:ascii="Arial" w:hAnsi="Arial" w:cs="Arial"/>
          <w:sz w:val="24"/>
          <w:szCs w:val="24"/>
        </w:rPr>
        <w:t>V</w:t>
      </w:r>
      <w:r w:rsidRPr="00400F4A">
        <w:rPr>
          <w:rFonts w:ascii="Arial" w:hAnsi="Arial" w:cs="Arial"/>
          <w:sz w:val="24"/>
          <w:szCs w:val="24"/>
        </w:rPr>
        <w:t xml:space="preserve"> - Demonstrativos Orçamentários e </w:t>
      </w:r>
      <w:r w:rsidRPr="00B77D69">
        <w:rPr>
          <w:rFonts w:ascii="Arial" w:hAnsi="Arial" w:cs="Arial"/>
          <w:sz w:val="24"/>
          <w:szCs w:val="24"/>
        </w:rPr>
        <w:t xml:space="preserve">Financeiros do FUNDEB, destacando a movimentação dos Recursos e o cumprimento do art. </w:t>
      </w:r>
      <w:r w:rsidR="0031714E" w:rsidRPr="00B77D69">
        <w:rPr>
          <w:rFonts w:ascii="Arial" w:hAnsi="Arial" w:cs="Arial"/>
          <w:sz w:val="24"/>
          <w:szCs w:val="24"/>
        </w:rPr>
        <w:t xml:space="preserve">26 </w:t>
      </w:r>
      <w:r w:rsidRPr="00B77D69">
        <w:rPr>
          <w:rFonts w:ascii="Arial" w:hAnsi="Arial" w:cs="Arial"/>
          <w:sz w:val="24"/>
          <w:szCs w:val="24"/>
        </w:rPr>
        <w:t xml:space="preserve">da Lei nº </w:t>
      </w:r>
      <w:r w:rsidR="0031714E" w:rsidRPr="00B77D69">
        <w:rPr>
          <w:rFonts w:ascii="Arial" w:hAnsi="Arial" w:cs="Arial"/>
          <w:sz w:val="24"/>
          <w:szCs w:val="24"/>
        </w:rPr>
        <w:t>14.113/20</w:t>
      </w:r>
      <w:r w:rsidRPr="00B77D69">
        <w:rPr>
          <w:rFonts w:ascii="Arial" w:hAnsi="Arial" w:cs="Arial"/>
          <w:sz w:val="24"/>
          <w:szCs w:val="24"/>
        </w:rPr>
        <w:t xml:space="preserve">, que exige aplicação de, pelo menos, </w:t>
      </w:r>
      <w:r w:rsidR="0031714E" w:rsidRPr="00B77D69">
        <w:rPr>
          <w:rFonts w:ascii="Arial" w:hAnsi="Arial" w:cs="Arial"/>
          <w:sz w:val="24"/>
          <w:szCs w:val="24"/>
        </w:rPr>
        <w:t>70%</w:t>
      </w:r>
      <w:r w:rsidRPr="00B77D69">
        <w:rPr>
          <w:rFonts w:ascii="Arial" w:hAnsi="Arial" w:cs="Arial"/>
          <w:sz w:val="24"/>
          <w:szCs w:val="24"/>
        </w:rPr>
        <w:t xml:space="preserve"> (se</w:t>
      </w:r>
      <w:r w:rsidR="0031714E" w:rsidRPr="00B77D69">
        <w:rPr>
          <w:rFonts w:ascii="Arial" w:hAnsi="Arial" w:cs="Arial"/>
          <w:sz w:val="24"/>
          <w:szCs w:val="24"/>
        </w:rPr>
        <w:t>t</w:t>
      </w:r>
      <w:r w:rsidRPr="00B77D69">
        <w:rPr>
          <w:rFonts w:ascii="Arial" w:hAnsi="Arial" w:cs="Arial"/>
          <w:sz w:val="24"/>
          <w:szCs w:val="24"/>
        </w:rPr>
        <w:t xml:space="preserve">enta por cento) </w:t>
      </w:r>
      <w:r w:rsidRPr="00B77D69">
        <w:rPr>
          <w:rFonts w:ascii="Arial" w:hAnsi="Arial" w:cs="Arial"/>
          <w:sz w:val="24"/>
          <w:szCs w:val="24"/>
        </w:rPr>
        <w:lastRenderedPageBreak/>
        <w:t>para a remuneração dos profissionais do magistério da educação bási</w:t>
      </w:r>
      <w:r w:rsidRPr="00400F4A">
        <w:rPr>
          <w:rFonts w:ascii="Arial" w:hAnsi="Arial" w:cs="Arial"/>
          <w:sz w:val="24"/>
          <w:szCs w:val="24"/>
        </w:rPr>
        <w:t>ca em efetivo exercício na rede pública;</w:t>
      </w:r>
    </w:p>
    <w:p w14:paraId="4942D9D5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</w:t>
      </w:r>
      <w:r w:rsidR="00DF24E9">
        <w:rPr>
          <w:rFonts w:ascii="Arial" w:hAnsi="Arial" w:cs="Arial"/>
          <w:sz w:val="24"/>
          <w:szCs w:val="24"/>
        </w:rPr>
        <w:t>VI</w:t>
      </w:r>
      <w:r w:rsidRPr="00400F4A">
        <w:rPr>
          <w:rFonts w:ascii="Arial" w:hAnsi="Arial" w:cs="Arial"/>
          <w:sz w:val="24"/>
          <w:szCs w:val="24"/>
        </w:rPr>
        <w:t xml:space="preserve"> - Parecer do Conselho Estadual de Acompanhamento e Controle Social do Fundo de Manutenção e Desenvolvimento da Educação Básica e de Valorização dos Profissionais da Educação – CASC/FUNDEB;</w:t>
      </w:r>
    </w:p>
    <w:p w14:paraId="24ABA9E1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</w:t>
      </w:r>
      <w:r w:rsidR="00DF24E9">
        <w:rPr>
          <w:rFonts w:ascii="Arial" w:hAnsi="Arial" w:cs="Arial"/>
          <w:sz w:val="24"/>
          <w:szCs w:val="24"/>
        </w:rPr>
        <w:t>VII</w:t>
      </w:r>
      <w:r w:rsidRPr="00400F4A">
        <w:rPr>
          <w:rFonts w:ascii="Arial" w:hAnsi="Arial" w:cs="Arial"/>
          <w:sz w:val="24"/>
          <w:szCs w:val="24"/>
        </w:rPr>
        <w:t xml:space="preserve"> - Demonstrativos Contábeis (Balanços Orçamentário, Financeiro e Patrimonial, Demonstração das Variações Patrimoniais e Demonstração do Fluxo de Caixa) e Parecer Atuarial, dos Fundos Previdenciários (Fundo de Previdência, Fundo Financeiro e Fundo Militar);</w:t>
      </w:r>
    </w:p>
    <w:p w14:paraId="68A0ECFC" w14:textId="77777777" w:rsidR="00984AC3" w:rsidRPr="00BB6204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7439F">
        <w:rPr>
          <w:rFonts w:ascii="Arial" w:hAnsi="Arial" w:cs="Arial"/>
          <w:sz w:val="24"/>
          <w:szCs w:val="24"/>
        </w:rPr>
        <w:t>X</w:t>
      </w:r>
      <w:r w:rsidR="00DF24E9">
        <w:rPr>
          <w:rFonts w:ascii="Arial" w:hAnsi="Arial" w:cs="Arial"/>
          <w:sz w:val="24"/>
          <w:szCs w:val="24"/>
        </w:rPr>
        <w:t>V</w:t>
      </w:r>
      <w:r w:rsidR="0047439F" w:rsidRPr="0047439F">
        <w:rPr>
          <w:rFonts w:ascii="Arial" w:hAnsi="Arial" w:cs="Arial"/>
          <w:sz w:val="24"/>
          <w:szCs w:val="24"/>
        </w:rPr>
        <w:t>I</w:t>
      </w:r>
      <w:r w:rsidR="00DF24E9">
        <w:rPr>
          <w:rFonts w:ascii="Arial" w:hAnsi="Arial" w:cs="Arial"/>
          <w:sz w:val="24"/>
          <w:szCs w:val="24"/>
        </w:rPr>
        <w:t>I</w:t>
      </w:r>
      <w:r w:rsidRPr="0047439F">
        <w:rPr>
          <w:rFonts w:ascii="Arial" w:hAnsi="Arial" w:cs="Arial"/>
          <w:sz w:val="24"/>
          <w:szCs w:val="24"/>
        </w:rPr>
        <w:t>I -</w:t>
      </w:r>
      <w:r w:rsidRPr="00400F4A">
        <w:rPr>
          <w:rFonts w:ascii="Arial" w:hAnsi="Arial" w:cs="Arial"/>
          <w:sz w:val="24"/>
          <w:szCs w:val="24"/>
        </w:rPr>
        <w:t xml:space="preserve"> Demonstrativo dos valores repassados pelo Estado aos Fundos Previdenciários no exercício, evidenciando os valores devidos e os efetivamente repassados a título de contribuição dos servidores, contribuição patronal, contribuições suplementares, as insuficiências financeiras repassadas aos Fundos Financeiro e Militar</w:t>
      </w:r>
      <w:r w:rsidR="00B77D69">
        <w:rPr>
          <w:rFonts w:ascii="Arial" w:hAnsi="Arial" w:cs="Arial"/>
          <w:sz w:val="24"/>
          <w:szCs w:val="24"/>
        </w:rPr>
        <w:t>;</w:t>
      </w:r>
    </w:p>
    <w:p w14:paraId="00B06DFF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</w:t>
      </w:r>
      <w:r w:rsidR="00DF24E9">
        <w:rPr>
          <w:rFonts w:ascii="Arial" w:hAnsi="Arial" w:cs="Arial"/>
          <w:sz w:val="24"/>
          <w:szCs w:val="24"/>
        </w:rPr>
        <w:t>I</w:t>
      </w:r>
      <w:r w:rsidRPr="00400F4A">
        <w:rPr>
          <w:rFonts w:ascii="Arial" w:hAnsi="Arial" w:cs="Arial"/>
          <w:sz w:val="24"/>
          <w:szCs w:val="24"/>
        </w:rPr>
        <w:t>X - Cópia das atas das audiências públicas realizadas no exercício, em atendimento ao determinado pelo § 4º do art. 9º da Lei Complementar nº 101/00;</w:t>
      </w:r>
    </w:p>
    <w:p w14:paraId="0B787913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 - Relatório da Controladoria Geral do Estado contendo, dentre outras informações:</w:t>
      </w:r>
    </w:p>
    <w:p w14:paraId="27C9928A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resultado das ações do Sistema de Controle Interno realizadas no exercício;</w:t>
      </w:r>
    </w:p>
    <w:p w14:paraId="7B0785CB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 cumprimento das metas previstas no Plano Plurianual, da execução dos Programas de Governo e dos Orçamentos de que trata o § 6º do art. 133 da Constituição Estadual;</w:t>
      </w:r>
    </w:p>
    <w:p w14:paraId="6AA4B424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dos resultados, quanto à eficácia e eficiência, da gestão orçamentária, financeira e patrimonial nos órgãos e entidades da Administração Estadual, bem como da aplicação de recursos públicos por entidades de direito privado;</w:t>
      </w:r>
    </w:p>
    <w:p w14:paraId="4B9FC72F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4BA92473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 cumprimento dos limites constitucionais, da Lei de Responsabilidade Fiscal, da Lei de Diretrizes Orçamentárias e do seu Anexo de Metas Fiscais justificando, se for o caso, os motivos que inviabilizaram o não atendimento dos limites;</w:t>
      </w:r>
    </w:p>
    <w:p w14:paraId="32E82978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as ações desenvolvidas pelas Coordenadorias de Controle Interno, de Corregedoria, de Ouvidoria e Transparência e de Controle Social;</w:t>
      </w:r>
    </w:p>
    <w:p w14:paraId="0F8BA455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Plano Anual de Fiscalização elaborado pela unidade de controle interno para o período;</w:t>
      </w:r>
    </w:p>
    <w:p w14:paraId="7B2C0C25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Relatório informando a metodologia de trabalho adotada pela Controladoria</w:t>
      </w:r>
      <w:r w:rsidR="00400F4A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Estado, com vistas ao cumprimento do planejamento proposto para o período;</w:t>
      </w:r>
    </w:p>
    <w:p w14:paraId="63DADB47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Relatório contendo informações acerca do quadro de servidores da Controladoria</w:t>
      </w:r>
      <w:r w:rsidR="00400F4A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Estado, suas atribuições e responsab</w:t>
      </w:r>
      <w:r w:rsidR="00CC0ADB" w:rsidRPr="00400F4A">
        <w:rPr>
          <w:rFonts w:ascii="Arial" w:hAnsi="Arial" w:cs="Arial"/>
          <w:sz w:val="24"/>
          <w:szCs w:val="24"/>
        </w:rPr>
        <w:t>ilidades;</w:t>
      </w:r>
    </w:p>
    <w:p w14:paraId="5E1B2C1A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</w:t>
      </w:r>
      <w:r w:rsidR="009806D7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 xml:space="preserve"> - Demonstrativo das alterações orçamentárias ocorridas no exercício, detalhando-as</w:t>
      </w:r>
      <w:r w:rsidR="004313F3" w:rsidRPr="00DB7D1C">
        <w:rPr>
          <w:rFonts w:ascii="Arial" w:hAnsi="Arial" w:cs="Arial"/>
          <w:sz w:val="24"/>
          <w:szCs w:val="24"/>
        </w:rPr>
        <w:t xml:space="preserve"> por poderes, </w:t>
      </w:r>
      <w:r w:rsidRPr="00DB7D1C">
        <w:rPr>
          <w:rFonts w:ascii="Arial" w:hAnsi="Arial" w:cs="Arial"/>
          <w:sz w:val="24"/>
          <w:szCs w:val="24"/>
        </w:rPr>
        <w:t>por artigos, parágrafos, incisos e alíneas, constantes da Lei Orçamentária, a fim de permitir a aferição dos limites previstos;</w:t>
      </w:r>
    </w:p>
    <w:p w14:paraId="5377BE35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</w:t>
      </w:r>
      <w:r w:rsidR="009806D7">
        <w:rPr>
          <w:rFonts w:ascii="Arial" w:hAnsi="Arial" w:cs="Arial"/>
          <w:sz w:val="24"/>
          <w:szCs w:val="24"/>
        </w:rPr>
        <w:t>I</w:t>
      </w:r>
      <w:r w:rsidR="0047439F" w:rsidRPr="00DB7D1C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 xml:space="preserve"> - Relação dos Restos a Pagar inscritos, no exercício, por órgãos da Administração Direta e Indireta do Estado;</w:t>
      </w:r>
    </w:p>
    <w:p w14:paraId="33C8CC26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</w:t>
      </w:r>
      <w:r w:rsidR="009806D7">
        <w:rPr>
          <w:rFonts w:ascii="Arial" w:hAnsi="Arial" w:cs="Arial"/>
          <w:sz w:val="24"/>
          <w:szCs w:val="24"/>
        </w:rPr>
        <w:t>I</w:t>
      </w:r>
      <w:r w:rsidR="00D7391F">
        <w:rPr>
          <w:rFonts w:ascii="Arial" w:hAnsi="Arial" w:cs="Arial"/>
          <w:sz w:val="24"/>
          <w:szCs w:val="24"/>
        </w:rPr>
        <w:t>I</w:t>
      </w:r>
      <w:r w:rsidR="00A3369F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 xml:space="preserve"> - Relatório de metas físicas dos projetos/atividades do Governo, bem como relatórios gerenciais de acompanhamento, demonstrando sincronia com o estabelecido no Plano Plurianual e justificativas quanto ao não cumprimento de ações ou metas estabelecidas na Lei Orçamentária;</w:t>
      </w:r>
    </w:p>
    <w:p w14:paraId="394C9FED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</w:t>
      </w:r>
      <w:r w:rsidR="009806D7">
        <w:rPr>
          <w:rFonts w:ascii="Arial" w:hAnsi="Arial" w:cs="Arial"/>
          <w:sz w:val="24"/>
          <w:szCs w:val="24"/>
        </w:rPr>
        <w:t>I</w:t>
      </w:r>
      <w:r w:rsidR="00A3369F">
        <w:rPr>
          <w:rFonts w:ascii="Arial" w:hAnsi="Arial" w:cs="Arial"/>
          <w:sz w:val="24"/>
          <w:szCs w:val="24"/>
        </w:rPr>
        <w:t>V</w:t>
      </w:r>
      <w:r w:rsidRPr="00DB7D1C">
        <w:rPr>
          <w:rFonts w:ascii="Arial" w:hAnsi="Arial" w:cs="Arial"/>
          <w:sz w:val="24"/>
          <w:szCs w:val="24"/>
        </w:rPr>
        <w:t xml:space="preserve"> - Certificado de Regularidade Previdenciária - CRP, emitido pelo Ministério da Previdência Social – MPS, com validade atualizada à entrega da prestação de contas;</w:t>
      </w:r>
    </w:p>
    <w:p w14:paraId="4BA023EF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</w:t>
      </w:r>
      <w:r w:rsidR="009806D7">
        <w:rPr>
          <w:rFonts w:ascii="Arial" w:hAnsi="Arial" w:cs="Arial"/>
          <w:sz w:val="24"/>
          <w:szCs w:val="24"/>
        </w:rPr>
        <w:t>V</w:t>
      </w:r>
      <w:r w:rsidRPr="00DB7D1C">
        <w:rPr>
          <w:rFonts w:ascii="Arial" w:hAnsi="Arial" w:cs="Arial"/>
          <w:sz w:val="24"/>
          <w:szCs w:val="24"/>
        </w:rPr>
        <w:t xml:space="preserve"> - Informações analíticas do cumprimento/concretização do Plano de Governo (valores e diretrizes);</w:t>
      </w:r>
    </w:p>
    <w:p w14:paraId="598F63AF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</w:t>
      </w:r>
      <w:r w:rsidR="00CE205A">
        <w:rPr>
          <w:rFonts w:ascii="Arial" w:hAnsi="Arial" w:cs="Arial"/>
          <w:sz w:val="24"/>
          <w:szCs w:val="24"/>
        </w:rPr>
        <w:t>VI</w:t>
      </w:r>
      <w:r w:rsidRPr="00DB7D1C">
        <w:rPr>
          <w:rFonts w:ascii="Arial" w:hAnsi="Arial" w:cs="Arial"/>
          <w:sz w:val="24"/>
          <w:szCs w:val="24"/>
        </w:rPr>
        <w:t xml:space="preserve"> - </w:t>
      </w:r>
      <w:r w:rsidR="00484261" w:rsidRPr="00484261">
        <w:rPr>
          <w:rFonts w:ascii="Arial" w:hAnsi="Arial" w:cs="Arial"/>
          <w:sz w:val="24"/>
          <w:szCs w:val="24"/>
        </w:rPr>
        <w:t>Demonstrativo dos contratos de gestão e seus aditivos, firmados com os Serviços Sociais Autônomos, contendo, no mínimo, a sua vigência, o objeto, as metas e os valores repassados no exercício</w:t>
      </w:r>
      <w:r w:rsidRPr="00DB7D1C">
        <w:rPr>
          <w:rFonts w:ascii="Arial" w:hAnsi="Arial" w:cs="Arial"/>
          <w:sz w:val="24"/>
          <w:szCs w:val="24"/>
        </w:rPr>
        <w:t>;</w:t>
      </w:r>
    </w:p>
    <w:p w14:paraId="6CF024EF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</w:t>
      </w:r>
      <w:r w:rsidR="00CE205A">
        <w:rPr>
          <w:rFonts w:ascii="Arial" w:hAnsi="Arial" w:cs="Arial"/>
          <w:sz w:val="24"/>
          <w:szCs w:val="24"/>
        </w:rPr>
        <w:t>VI</w:t>
      </w:r>
      <w:r w:rsidR="00D7391F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 xml:space="preserve"> - Instrumento de planejamento que tratou da programação financeira, e do cronograma de execução mensal de desembolso, em face do exigido no art. 8º, da Lei Complementar n° 101/00</w:t>
      </w:r>
      <w:r w:rsidR="004D5F06" w:rsidRPr="00DB7D1C">
        <w:rPr>
          <w:rFonts w:ascii="Arial" w:hAnsi="Arial" w:cs="Arial"/>
          <w:sz w:val="24"/>
          <w:szCs w:val="24"/>
        </w:rPr>
        <w:t>;</w:t>
      </w:r>
    </w:p>
    <w:p w14:paraId="53C5E866" w14:textId="77777777" w:rsidR="006D581F" w:rsidRPr="006D581F" w:rsidRDefault="004D5F06" w:rsidP="006D581F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</w:t>
      </w:r>
      <w:r w:rsidR="00CE205A">
        <w:rPr>
          <w:rFonts w:ascii="Arial" w:hAnsi="Arial" w:cs="Arial"/>
          <w:sz w:val="24"/>
          <w:szCs w:val="24"/>
        </w:rPr>
        <w:t>VI</w:t>
      </w:r>
      <w:r w:rsidR="00D7391F">
        <w:rPr>
          <w:rFonts w:ascii="Arial" w:hAnsi="Arial" w:cs="Arial"/>
          <w:sz w:val="24"/>
          <w:szCs w:val="24"/>
        </w:rPr>
        <w:t>I</w:t>
      </w:r>
      <w:r w:rsidR="00A3369F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 xml:space="preserve"> </w:t>
      </w:r>
      <w:r w:rsidR="006D581F">
        <w:rPr>
          <w:rFonts w:ascii="Arial" w:hAnsi="Arial" w:cs="Arial"/>
          <w:sz w:val="24"/>
          <w:szCs w:val="24"/>
        </w:rPr>
        <w:t xml:space="preserve">- </w:t>
      </w:r>
      <w:r w:rsidR="006D581F" w:rsidRPr="006D581F">
        <w:rPr>
          <w:rFonts w:ascii="Arial" w:hAnsi="Arial" w:cs="Arial"/>
          <w:sz w:val="24"/>
          <w:szCs w:val="24"/>
        </w:rPr>
        <w:t>Demonstrativo quanto a Propaganda Institucional e a Publicidade Legal indicando a publicação Oficial de relatório de despesas, nos termos do art. 27 da Constituição Estadual, e, para ambos serviços, o valor mensal empenhado, liquidado e o autorizado por Pedidos de Autorização para Divulgação e Veiculação (PADV) no exercício</w:t>
      </w:r>
      <w:r w:rsidR="006D581F">
        <w:rPr>
          <w:rFonts w:ascii="Arial" w:hAnsi="Arial" w:cs="Arial"/>
          <w:sz w:val="24"/>
          <w:szCs w:val="24"/>
        </w:rPr>
        <w:t>;</w:t>
      </w:r>
    </w:p>
    <w:p w14:paraId="6A716965" w14:textId="77777777" w:rsidR="004D5F06" w:rsidRDefault="006D581F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F03724">
        <w:rPr>
          <w:rFonts w:ascii="Arial" w:hAnsi="Arial" w:cs="Arial"/>
          <w:sz w:val="24"/>
          <w:szCs w:val="24"/>
        </w:rPr>
        <w:t>X</w:t>
      </w:r>
      <w:r w:rsidR="00CE205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X -</w:t>
      </w:r>
      <w:r w:rsidR="004D5F06" w:rsidRPr="00DB7D1C">
        <w:rPr>
          <w:rFonts w:ascii="Arial" w:hAnsi="Arial" w:cs="Arial"/>
          <w:sz w:val="24"/>
          <w:szCs w:val="24"/>
        </w:rPr>
        <w:t xml:space="preserve"> Declaração das medidas efetivadas para dar a devida transparência da gestão fiscal, nos termos do exigido no </w:t>
      </w:r>
      <w:r w:rsidR="004D5F06" w:rsidRPr="00DB7D1C">
        <w:rPr>
          <w:rFonts w:ascii="Arial" w:hAnsi="Arial" w:cs="Arial"/>
          <w:color w:val="000000"/>
          <w:sz w:val="24"/>
          <w:szCs w:val="24"/>
        </w:rPr>
        <w:t xml:space="preserve">art. 48, § 1°, </w:t>
      </w:r>
      <w:r w:rsidR="004D5F06" w:rsidRPr="00DB7D1C">
        <w:rPr>
          <w:rFonts w:ascii="Arial" w:hAnsi="Arial" w:cs="Arial"/>
          <w:sz w:val="24"/>
          <w:szCs w:val="24"/>
        </w:rPr>
        <w:t>da Lei Complementar n° 101/00.</w:t>
      </w:r>
    </w:p>
    <w:p w14:paraId="1BE52774" w14:textId="77777777" w:rsidR="001C4A11" w:rsidRPr="00DB7D1C" w:rsidRDefault="00984AC3" w:rsidP="001C4A11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b/>
          <w:sz w:val="24"/>
          <w:szCs w:val="24"/>
        </w:rPr>
        <w:t>Art. 4º</w:t>
      </w:r>
      <w:r w:rsidRPr="00DB7D1C">
        <w:rPr>
          <w:rFonts w:ascii="Arial" w:hAnsi="Arial" w:cs="Arial"/>
          <w:sz w:val="24"/>
          <w:szCs w:val="24"/>
        </w:rPr>
        <w:t xml:space="preserve"> A ausência de qualquer dos elementos exigidos nesta Instrução Normativa ou a ausência de envio dos dados ao sistema SEI-CED constituem fatores determinantes de irregularidade formal da prestação de contas, sujeita à aplicação da multa prevista no art. 87 da Lei Complementar nº 113/2005, salvo quando expressamente declarada, pelo responsável, a sua inexistência ou inaplicabilidade.</w:t>
      </w:r>
    </w:p>
    <w:p w14:paraId="412745DD" w14:textId="77777777" w:rsidR="00984AC3" w:rsidRPr="00DB7D1C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B7D1C">
        <w:rPr>
          <w:rFonts w:ascii="Arial" w:hAnsi="Arial" w:cs="Arial"/>
          <w:b/>
          <w:bCs/>
          <w:sz w:val="24"/>
          <w:szCs w:val="24"/>
        </w:rPr>
        <w:t>Art. 5º</w:t>
      </w:r>
      <w:r w:rsidRPr="00DB7D1C">
        <w:rPr>
          <w:rFonts w:ascii="Arial" w:hAnsi="Arial" w:cs="Arial"/>
          <w:bCs/>
          <w:sz w:val="24"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1AAFF605" w14:textId="77777777" w:rsidR="00984AC3" w:rsidRPr="00DB7D1C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b/>
          <w:sz w:val="24"/>
          <w:szCs w:val="24"/>
        </w:rPr>
        <w:lastRenderedPageBreak/>
        <w:t>Art. 6º</w:t>
      </w:r>
      <w:r w:rsidRPr="00DB7D1C">
        <w:rPr>
          <w:rFonts w:ascii="Arial" w:hAnsi="Arial" w:cs="Arial"/>
          <w:sz w:val="24"/>
          <w:szCs w:val="24"/>
        </w:rPr>
        <w:t xml:space="preserve"> A análise da prestação de contas será realizada conforme escopo definido</w:t>
      </w:r>
      <w:r w:rsidR="00377993" w:rsidRPr="00DB7D1C">
        <w:rPr>
          <w:rFonts w:ascii="Arial" w:hAnsi="Arial" w:cs="Arial"/>
          <w:sz w:val="24"/>
          <w:szCs w:val="24"/>
        </w:rPr>
        <w:t xml:space="preserve"> no</w:t>
      </w:r>
      <w:r w:rsidR="001256DB" w:rsidRPr="00DB7D1C">
        <w:rPr>
          <w:rFonts w:ascii="Arial" w:hAnsi="Arial" w:cs="Arial"/>
          <w:sz w:val="24"/>
          <w:szCs w:val="24"/>
        </w:rPr>
        <w:t xml:space="preserve"> Anexo II</w:t>
      </w:r>
      <w:r w:rsidR="00377993" w:rsidRPr="00DB7D1C">
        <w:rPr>
          <w:rFonts w:ascii="Arial" w:hAnsi="Arial" w:cs="Arial"/>
          <w:sz w:val="24"/>
          <w:szCs w:val="24"/>
        </w:rPr>
        <w:t>,</w:t>
      </w:r>
      <w:r w:rsidR="001256DB" w:rsidRPr="00DB7D1C">
        <w:rPr>
          <w:rFonts w:ascii="Arial" w:hAnsi="Arial" w:cs="Arial"/>
          <w:sz w:val="24"/>
          <w:szCs w:val="24"/>
        </w:rPr>
        <w:t xml:space="preserve"> </w:t>
      </w:r>
      <w:r w:rsidRPr="00DB7D1C">
        <w:rPr>
          <w:rFonts w:ascii="Arial" w:hAnsi="Arial" w:cs="Arial"/>
          <w:sz w:val="24"/>
          <w:szCs w:val="24"/>
        </w:rPr>
        <w:t>o qual possui natureza ordenatória da fiscalização, sem prejuízo de outras irregularidades que venham a ser apontadas no curso do exame</w:t>
      </w:r>
      <w:r w:rsidR="008704E5" w:rsidRPr="00B77D69">
        <w:rPr>
          <w:rFonts w:ascii="Arial" w:hAnsi="Arial" w:cs="Arial"/>
          <w:sz w:val="24"/>
          <w:szCs w:val="24"/>
        </w:rPr>
        <w:t xml:space="preserve">, o qual será </w:t>
      </w:r>
      <w:r w:rsidR="00142353">
        <w:rPr>
          <w:rFonts w:ascii="Arial" w:hAnsi="Arial" w:cs="Arial"/>
          <w:sz w:val="24"/>
          <w:szCs w:val="24"/>
        </w:rPr>
        <w:t>analisado</w:t>
      </w:r>
      <w:r w:rsidR="008704E5" w:rsidRPr="00B77D69">
        <w:rPr>
          <w:rFonts w:ascii="Arial" w:hAnsi="Arial" w:cs="Arial"/>
          <w:sz w:val="24"/>
          <w:szCs w:val="24"/>
        </w:rPr>
        <w:t xml:space="preserve"> levando em consideração o contido no Decreto nº </w:t>
      </w:r>
      <w:r w:rsidR="006B7F6A" w:rsidRPr="00B77D69">
        <w:rPr>
          <w:rFonts w:ascii="Arial" w:hAnsi="Arial" w:cs="Arial"/>
          <w:sz w:val="24"/>
          <w:szCs w:val="24"/>
        </w:rPr>
        <w:t>7.899/21</w:t>
      </w:r>
      <w:r w:rsidR="008704E5" w:rsidRPr="00B77D69">
        <w:rPr>
          <w:rFonts w:ascii="Arial" w:hAnsi="Arial" w:cs="Arial"/>
          <w:sz w:val="24"/>
          <w:szCs w:val="24"/>
        </w:rPr>
        <w:t>.</w:t>
      </w:r>
    </w:p>
    <w:p w14:paraId="6B7DE346" w14:textId="77777777" w:rsidR="001256DB" w:rsidRPr="00DB7D1C" w:rsidRDefault="00C27B79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Parágrafo único. </w:t>
      </w:r>
      <w:r w:rsidR="001256DB" w:rsidRPr="00DB7D1C">
        <w:rPr>
          <w:rFonts w:ascii="Arial" w:hAnsi="Arial" w:cs="Arial"/>
          <w:sz w:val="24"/>
          <w:szCs w:val="24"/>
        </w:rPr>
        <w:t>Considera-se escopo</w:t>
      </w:r>
      <w:r w:rsidR="00A902E5" w:rsidRPr="00DB7D1C">
        <w:rPr>
          <w:rFonts w:ascii="Arial" w:hAnsi="Arial" w:cs="Arial"/>
          <w:sz w:val="24"/>
          <w:szCs w:val="24"/>
        </w:rPr>
        <w:t xml:space="preserve"> de análise</w:t>
      </w:r>
      <w:r w:rsidR="001256DB" w:rsidRPr="00DB7D1C">
        <w:rPr>
          <w:rFonts w:ascii="Arial" w:hAnsi="Arial" w:cs="Arial"/>
          <w:sz w:val="24"/>
          <w:szCs w:val="24"/>
        </w:rPr>
        <w:t xml:space="preserve"> o conjunto de apontamentos para ordenação da análise das prestações de contas anuais, a ser efetuada pela Coordenadoria de Gestão Estadual.</w:t>
      </w:r>
    </w:p>
    <w:p w14:paraId="5784DCE1" w14:textId="77777777" w:rsidR="001256DB" w:rsidRPr="00DB7D1C" w:rsidRDefault="001256DB" w:rsidP="001256D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b/>
          <w:sz w:val="24"/>
          <w:szCs w:val="24"/>
        </w:rPr>
        <w:t>Art. 7</w:t>
      </w:r>
      <w:r w:rsidRPr="00DB7D1C">
        <w:rPr>
          <w:rFonts w:ascii="Arial" w:hAnsi="Arial" w:cs="Arial"/>
          <w:sz w:val="24"/>
          <w:szCs w:val="24"/>
        </w:rPr>
        <w:t>º A análise das contas do Governador, balizada no escopo</w:t>
      </w:r>
      <w:r w:rsidR="00A902E5" w:rsidRPr="00DB7D1C">
        <w:rPr>
          <w:rFonts w:ascii="Arial" w:hAnsi="Arial" w:cs="Arial"/>
          <w:sz w:val="24"/>
          <w:szCs w:val="24"/>
        </w:rPr>
        <w:t xml:space="preserve"> de an</w:t>
      </w:r>
      <w:r w:rsidR="00DB7D1C" w:rsidRPr="00DB7D1C">
        <w:rPr>
          <w:rFonts w:ascii="Arial" w:hAnsi="Arial" w:cs="Arial"/>
          <w:sz w:val="24"/>
          <w:szCs w:val="24"/>
        </w:rPr>
        <w:t>á</w:t>
      </w:r>
      <w:r w:rsidR="00A902E5" w:rsidRPr="00DB7D1C">
        <w:rPr>
          <w:rFonts w:ascii="Arial" w:hAnsi="Arial" w:cs="Arial"/>
          <w:sz w:val="24"/>
          <w:szCs w:val="24"/>
        </w:rPr>
        <w:t>lise</w:t>
      </w:r>
      <w:r w:rsidRPr="00DB7D1C">
        <w:rPr>
          <w:rFonts w:ascii="Arial" w:hAnsi="Arial" w:cs="Arial"/>
          <w:sz w:val="24"/>
          <w:szCs w:val="24"/>
        </w:rPr>
        <w:t>, destina-se à emissão de parecer prévio pelo órgão colegiado competente e será configurada com base na apreciação geral dos resultados da gestão orçamentária, patrimonial e financeira do exercício, dos aspectos relacionados à análise de gestão fiscal e na verificação da posição dos balanços gerais do Estado e do parecer do Controle Interno.</w:t>
      </w:r>
    </w:p>
    <w:p w14:paraId="1F1A85AC" w14:textId="77777777" w:rsidR="001256DB" w:rsidRDefault="00381947" w:rsidP="001256D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§ 1º</w:t>
      </w:r>
      <w:r w:rsidR="001256DB" w:rsidRPr="00DB7D1C">
        <w:rPr>
          <w:rFonts w:ascii="Arial" w:hAnsi="Arial" w:cs="Arial"/>
          <w:sz w:val="24"/>
          <w:szCs w:val="24"/>
        </w:rPr>
        <w:t xml:space="preserve"> Para os fins do disposto no art. 175-J, VI, do Regimento Interno, a Coordenadoria de Gestão Estadual, na elaboração da instrução processual das contas, consolidará em sua análise os itens de achados e de conclusão dos relatórios anuais emitidos pelas Inspetorias de Controle Externo, quando pertinentes ao escopo </w:t>
      </w:r>
      <w:r w:rsidR="00A902E5" w:rsidRPr="00DB7D1C">
        <w:rPr>
          <w:rFonts w:ascii="Arial" w:hAnsi="Arial" w:cs="Arial"/>
          <w:sz w:val="24"/>
          <w:szCs w:val="24"/>
        </w:rPr>
        <w:t xml:space="preserve">de análise </w:t>
      </w:r>
      <w:r w:rsidR="001256DB" w:rsidRPr="00DB7D1C">
        <w:rPr>
          <w:rFonts w:ascii="Arial" w:hAnsi="Arial" w:cs="Arial"/>
          <w:sz w:val="24"/>
          <w:szCs w:val="24"/>
        </w:rPr>
        <w:t>das contas do Governador.</w:t>
      </w:r>
    </w:p>
    <w:p w14:paraId="5786DA78" w14:textId="77777777" w:rsidR="001256DB" w:rsidRPr="001256DB" w:rsidRDefault="00381947" w:rsidP="001256DB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81F93">
        <w:rPr>
          <w:rFonts w:ascii="Arial" w:hAnsi="Arial" w:cs="Arial"/>
          <w:sz w:val="24"/>
          <w:szCs w:val="24"/>
        </w:rPr>
        <w:t>§ 2º</w:t>
      </w:r>
      <w:r w:rsidRPr="00DB7D1C">
        <w:rPr>
          <w:rFonts w:ascii="Arial" w:hAnsi="Arial" w:cs="Arial"/>
          <w:sz w:val="24"/>
          <w:szCs w:val="24"/>
        </w:rPr>
        <w:t xml:space="preserve"> </w:t>
      </w:r>
      <w:r w:rsidR="001256DB" w:rsidRPr="00DB7D1C">
        <w:rPr>
          <w:rFonts w:ascii="Arial" w:hAnsi="Arial" w:cs="Arial"/>
          <w:sz w:val="24"/>
          <w:szCs w:val="24"/>
        </w:rPr>
        <w:t>A emissão do parecer prévio, não implicará na convalidação ou o</w:t>
      </w:r>
      <w:r w:rsidR="001256DB" w:rsidRPr="001256DB">
        <w:rPr>
          <w:rFonts w:ascii="Arial" w:hAnsi="Arial" w:cs="Arial"/>
          <w:sz w:val="24"/>
          <w:szCs w:val="24"/>
        </w:rPr>
        <w:t xml:space="preserve"> saneamento de questões nele não abordadas, que poderão ser objeto de fiscalização específica por este Tribunal.</w:t>
      </w:r>
    </w:p>
    <w:p w14:paraId="6B781644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>Art.</w:t>
      </w:r>
      <w:r w:rsidR="001256DB">
        <w:rPr>
          <w:rFonts w:ascii="Arial" w:hAnsi="Arial" w:cs="Arial"/>
          <w:b/>
          <w:sz w:val="24"/>
          <w:szCs w:val="24"/>
        </w:rPr>
        <w:t xml:space="preserve"> </w:t>
      </w:r>
      <w:r w:rsidR="0019021F">
        <w:rPr>
          <w:rFonts w:ascii="Arial" w:hAnsi="Arial" w:cs="Arial"/>
          <w:b/>
          <w:sz w:val="24"/>
          <w:szCs w:val="24"/>
        </w:rPr>
        <w:t>8</w:t>
      </w:r>
      <w:r w:rsidRPr="00400F4A">
        <w:rPr>
          <w:rFonts w:ascii="Arial" w:hAnsi="Arial" w:cs="Arial"/>
          <w:b/>
          <w:sz w:val="24"/>
          <w:szCs w:val="24"/>
        </w:rPr>
        <w:t>º</w:t>
      </w:r>
      <w:r w:rsidRPr="00400F4A">
        <w:rPr>
          <w:rFonts w:ascii="Arial" w:hAnsi="Arial" w:cs="Arial"/>
          <w:sz w:val="24"/>
          <w:szCs w:val="24"/>
        </w:rPr>
        <w:t xml:space="preserve"> As orientações técnicas sobre o contido nesta Instrução Normativa poderão ser obtidas junto à Coordenadoria de </w:t>
      </w:r>
      <w:r w:rsidR="006C211B" w:rsidRPr="00400F4A">
        <w:rPr>
          <w:rFonts w:ascii="Arial" w:hAnsi="Arial" w:cs="Arial"/>
          <w:sz w:val="24"/>
          <w:szCs w:val="24"/>
        </w:rPr>
        <w:t>Gestão</w:t>
      </w:r>
      <w:r w:rsidRPr="00400F4A">
        <w:rPr>
          <w:rFonts w:ascii="Arial" w:hAnsi="Arial" w:cs="Arial"/>
          <w:sz w:val="24"/>
          <w:szCs w:val="24"/>
        </w:rPr>
        <w:t xml:space="preserve"> Estadual, acessando o Canal de Comunicação, disponível no </w:t>
      </w:r>
      <w:r w:rsidRPr="00400F4A">
        <w:rPr>
          <w:rFonts w:ascii="Arial" w:hAnsi="Arial" w:cs="Arial"/>
          <w:i/>
          <w:sz w:val="24"/>
          <w:szCs w:val="24"/>
        </w:rPr>
        <w:t>site</w:t>
      </w:r>
      <w:r w:rsidRPr="00400F4A">
        <w:rPr>
          <w:rFonts w:ascii="Arial" w:hAnsi="Arial" w:cs="Arial"/>
          <w:sz w:val="24"/>
          <w:szCs w:val="24"/>
        </w:rPr>
        <w:t xml:space="preserve"> deste Tribunal (</w:t>
      </w:r>
      <w:hyperlink r:id="rId12" w:history="1">
        <w:r w:rsidRPr="00400F4A">
          <w:rPr>
            <w:rFonts w:ascii="Arial" w:hAnsi="Arial" w:cs="Arial"/>
            <w:color w:val="0000FF"/>
            <w:sz w:val="24"/>
            <w:szCs w:val="24"/>
            <w:u w:val="single"/>
          </w:rPr>
          <w:t>www.tce.pr.gov.br</w:t>
        </w:r>
      </w:hyperlink>
      <w:r w:rsidRPr="00400F4A">
        <w:rPr>
          <w:rFonts w:ascii="Arial" w:hAnsi="Arial" w:cs="Arial"/>
          <w:sz w:val="24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78FB2563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</w:t>
      </w:r>
      <w:r w:rsidR="001256DB">
        <w:rPr>
          <w:rFonts w:ascii="Arial" w:hAnsi="Arial" w:cs="Arial"/>
          <w:b/>
          <w:sz w:val="24"/>
          <w:szCs w:val="24"/>
        </w:rPr>
        <w:t>9</w:t>
      </w:r>
      <w:r w:rsidRPr="00400F4A">
        <w:rPr>
          <w:rFonts w:ascii="Arial" w:hAnsi="Arial" w:cs="Arial"/>
          <w:b/>
          <w:sz w:val="24"/>
          <w:szCs w:val="24"/>
        </w:rPr>
        <w:t>º</w:t>
      </w:r>
      <w:r w:rsidRPr="00400F4A">
        <w:rPr>
          <w:rFonts w:ascii="Arial" w:hAnsi="Arial" w:cs="Arial"/>
          <w:sz w:val="24"/>
          <w:szCs w:val="24"/>
        </w:rPr>
        <w:t xml:space="preserve"> Esta Instrução Normativa entra em vigor na data de sua publicação.</w:t>
      </w:r>
    </w:p>
    <w:p w14:paraId="55D63C60" w14:textId="77777777" w:rsidR="00984AC3" w:rsidRDefault="00984AC3" w:rsidP="00413851">
      <w:pPr>
        <w:spacing w:before="480" w:after="0" w:line="240" w:lineRule="auto"/>
        <w:jc w:val="center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 xml:space="preserve">Curitiba, </w:t>
      </w:r>
      <w:r w:rsidR="00413851">
        <w:rPr>
          <w:rFonts w:ascii="Arial" w:hAnsi="Arial" w:cs="Arial"/>
          <w:sz w:val="24"/>
          <w:szCs w:val="24"/>
        </w:rPr>
        <w:t xml:space="preserve">6 </w:t>
      </w:r>
      <w:r w:rsidRPr="00667C8D">
        <w:rPr>
          <w:rFonts w:ascii="Arial" w:hAnsi="Arial" w:cs="Arial"/>
          <w:sz w:val="24"/>
          <w:szCs w:val="24"/>
        </w:rPr>
        <w:t xml:space="preserve">de </w:t>
      </w:r>
      <w:r w:rsidR="00413851">
        <w:rPr>
          <w:rFonts w:ascii="Arial" w:hAnsi="Arial" w:cs="Arial"/>
          <w:sz w:val="24"/>
          <w:szCs w:val="24"/>
        </w:rPr>
        <w:t>dezembro</w:t>
      </w:r>
      <w:r w:rsidR="00C8648B">
        <w:rPr>
          <w:rFonts w:ascii="Arial" w:hAnsi="Arial" w:cs="Arial"/>
          <w:sz w:val="24"/>
          <w:szCs w:val="24"/>
        </w:rPr>
        <w:t xml:space="preserve"> de 20</w:t>
      </w:r>
      <w:r w:rsidR="00A158E3">
        <w:rPr>
          <w:rFonts w:ascii="Arial" w:hAnsi="Arial" w:cs="Arial"/>
          <w:sz w:val="24"/>
          <w:szCs w:val="24"/>
        </w:rPr>
        <w:t>2</w:t>
      </w:r>
      <w:r w:rsidR="004B4665">
        <w:rPr>
          <w:rFonts w:ascii="Arial" w:hAnsi="Arial" w:cs="Arial"/>
          <w:sz w:val="24"/>
          <w:szCs w:val="24"/>
        </w:rPr>
        <w:t>1</w:t>
      </w:r>
      <w:r w:rsidRPr="00667C8D">
        <w:rPr>
          <w:rFonts w:ascii="Arial" w:hAnsi="Arial" w:cs="Arial"/>
          <w:sz w:val="24"/>
          <w:szCs w:val="24"/>
        </w:rPr>
        <w:t>.</w:t>
      </w:r>
    </w:p>
    <w:p w14:paraId="6CA23D94" w14:textId="77777777" w:rsidR="00E06DE3" w:rsidRPr="00667C8D" w:rsidRDefault="00E06DE3" w:rsidP="00E06DE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D720FE" w14:textId="77777777" w:rsidR="00667C8D" w:rsidRPr="00E02B33" w:rsidRDefault="00667C8D" w:rsidP="00667C8D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E02B33">
        <w:rPr>
          <w:rFonts w:ascii="Arial" w:hAnsi="Arial" w:cs="Arial"/>
          <w:color w:val="808080"/>
          <w:szCs w:val="22"/>
        </w:rPr>
        <w:t>- assinatura digital -</w:t>
      </w:r>
    </w:p>
    <w:p w14:paraId="56197C40" w14:textId="77777777" w:rsidR="00667C8D" w:rsidRPr="005F02B0" w:rsidRDefault="00667C8D" w:rsidP="00667C8D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Conselheiro </w:t>
      </w:r>
      <w:r w:rsidR="004B4665">
        <w:rPr>
          <w:rFonts w:ascii="Arial" w:hAnsi="Arial" w:cs="Arial"/>
          <w:color w:val="000000"/>
        </w:rPr>
        <w:t>FABIO DE SOUZA CAMARGO</w:t>
      </w:r>
      <w:r w:rsidR="001256DB" w:rsidRPr="001256DB">
        <w:rPr>
          <w:rFonts w:ascii="Arial" w:hAnsi="Arial" w:cs="Arial"/>
          <w:color w:val="000000"/>
        </w:rPr>
        <w:t> </w:t>
      </w:r>
    </w:p>
    <w:p w14:paraId="2AC08422" w14:textId="77777777" w:rsidR="00667C8D" w:rsidRPr="00E54680" w:rsidRDefault="00667C8D" w:rsidP="00667C8D">
      <w:pPr>
        <w:tabs>
          <w:tab w:val="left" w:pos="1300"/>
        </w:tabs>
        <w:autoSpaceDE w:val="0"/>
        <w:spacing w:before="120"/>
        <w:ind w:right="-23"/>
        <w:jc w:val="center"/>
        <w:rPr>
          <w:rFonts w:ascii="Arial" w:hAnsi="Arial" w:cs="Arial"/>
          <w:b/>
          <w:bCs/>
        </w:rPr>
      </w:pPr>
      <w:r w:rsidRPr="00F36A29">
        <w:rPr>
          <w:rFonts w:ascii="Arial" w:hAnsi="Arial" w:cs="Arial"/>
          <w:color w:val="000000"/>
        </w:rPr>
        <w:t>Presidente</w:t>
      </w:r>
    </w:p>
    <w:p w14:paraId="3699E0DF" w14:textId="77777777" w:rsidR="00984AC3" w:rsidRPr="00A67DF8" w:rsidRDefault="00984AC3" w:rsidP="00984AC3">
      <w:pPr>
        <w:jc w:val="center"/>
        <w:rPr>
          <w:rFonts w:ascii="Arial" w:hAnsi="Arial" w:cs="Arial"/>
          <w:szCs w:val="24"/>
        </w:rPr>
      </w:pPr>
    </w:p>
    <w:p w14:paraId="4854A0A8" w14:textId="77777777" w:rsidR="00984AC3" w:rsidRPr="00A67DF8" w:rsidRDefault="00984AC3" w:rsidP="00984AC3">
      <w:pPr>
        <w:rPr>
          <w:rFonts w:ascii="Arial" w:hAnsi="Arial" w:cs="Arial"/>
          <w:szCs w:val="24"/>
        </w:rPr>
        <w:sectPr w:rsidR="00984AC3" w:rsidRPr="00A67DF8" w:rsidSect="008006D4">
          <w:headerReference w:type="default" r:id="rId13"/>
          <w:footnotePr>
            <w:numFmt w:val="chicago"/>
          </w:footnotePr>
          <w:pgSz w:w="11907" w:h="16839" w:code="9"/>
          <w:pgMar w:top="1418" w:right="1701" w:bottom="1418" w:left="1701" w:header="720" w:footer="720" w:gutter="0"/>
          <w:cols w:space="720"/>
          <w:docGrid w:linePitch="326"/>
        </w:sectPr>
      </w:pPr>
    </w:p>
    <w:p w14:paraId="71A4181B" w14:textId="77777777" w:rsidR="00606B0A" w:rsidRDefault="00606B0A" w:rsidP="0076397B">
      <w:pPr>
        <w:tabs>
          <w:tab w:val="left" w:pos="1260"/>
          <w:tab w:val="left" w:pos="1440"/>
          <w:tab w:val="left" w:pos="1560"/>
          <w:tab w:val="left" w:pos="1620"/>
          <w:tab w:val="left" w:pos="1701"/>
          <w:tab w:val="left" w:pos="1800"/>
          <w:tab w:val="left" w:pos="1980"/>
          <w:tab w:val="left" w:pos="4678"/>
        </w:tabs>
        <w:spacing w:before="240" w:after="12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0B440D">
        <w:rPr>
          <w:rFonts w:ascii="Arial" w:hAnsi="Arial" w:cs="Arial"/>
          <w:b/>
          <w:sz w:val="28"/>
          <w:szCs w:val="28"/>
        </w:rPr>
        <w:t>167</w:t>
      </w:r>
      <w:r w:rsidRPr="00B77D69">
        <w:rPr>
          <w:rFonts w:ascii="Arial" w:hAnsi="Arial" w:cs="Arial"/>
          <w:b/>
          <w:sz w:val="28"/>
          <w:szCs w:val="28"/>
        </w:rPr>
        <w:t>/20</w:t>
      </w:r>
      <w:r w:rsidR="004B4665" w:rsidRPr="00B77D69">
        <w:rPr>
          <w:rFonts w:ascii="Arial" w:hAnsi="Arial" w:cs="Arial"/>
          <w:b/>
          <w:sz w:val="28"/>
          <w:szCs w:val="28"/>
        </w:rPr>
        <w:t>21</w:t>
      </w:r>
    </w:p>
    <w:p w14:paraId="3F3DC429" w14:textId="77777777" w:rsidR="00606B0A" w:rsidRPr="00606B0A" w:rsidRDefault="00606B0A" w:rsidP="00984AC3">
      <w:pPr>
        <w:shd w:val="pct5" w:color="auto" w:fill="auto"/>
        <w:tabs>
          <w:tab w:val="center" w:pos="3502"/>
        </w:tabs>
        <w:jc w:val="center"/>
        <w:rPr>
          <w:rFonts w:ascii="Arial" w:hAnsi="Arial" w:cs="Arial"/>
          <w:b/>
          <w:sz w:val="16"/>
          <w:szCs w:val="16"/>
        </w:rPr>
      </w:pPr>
    </w:p>
    <w:p w14:paraId="3F9B3894" w14:textId="77777777" w:rsidR="00984AC3" w:rsidRPr="00A67DF8" w:rsidRDefault="00984AC3" w:rsidP="00984AC3">
      <w:pPr>
        <w:shd w:val="pct5" w:color="auto" w:fill="auto"/>
        <w:tabs>
          <w:tab w:val="center" w:pos="350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</w:p>
    <w:p w14:paraId="40D65DE2" w14:textId="77777777" w:rsidR="00984AC3" w:rsidRPr="00EE334D" w:rsidRDefault="00984AC3" w:rsidP="00984AC3">
      <w:pPr>
        <w:jc w:val="center"/>
        <w:rPr>
          <w:rFonts w:ascii="Arial" w:hAnsi="Arial" w:cs="Arial"/>
          <w:b/>
          <w:sz w:val="24"/>
          <w:szCs w:val="24"/>
        </w:rPr>
      </w:pPr>
      <w:r w:rsidRPr="00EE334D">
        <w:rPr>
          <w:rFonts w:ascii="Arial" w:hAnsi="Arial" w:cs="Arial"/>
          <w:b/>
          <w:sz w:val="24"/>
          <w:szCs w:val="24"/>
        </w:rPr>
        <w:t>RESUMO DA DÍVIDA ATIVA</w:t>
      </w:r>
    </w:p>
    <w:p w14:paraId="7ADC71F4" w14:textId="77777777" w:rsidR="00984AC3" w:rsidRPr="00EE334D" w:rsidRDefault="00C8648B" w:rsidP="00984A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POSIÇÃO </w:t>
      </w:r>
      <w:r w:rsidRPr="00B77D69">
        <w:rPr>
          <w:rFonts w:ascii="Arial" w:hAnsi="Arial" w:cs="Arial"/>
          <w:sz w:val="20"/>
          <w:szCs w:val="20"/>
        </w:rPr>
        <w:t>DE 31/12/20</w:t>
      </w:r>
      <w:r w:rsidR="00A63ADF" w:rsidRPr="00B77D69">
        <w:rPr>
          <w:rFonts w:ascii="Arial" w:hAnsi="Arial" w:cs="Arial"/>
          <w:sz w:val="20"/>
          <w:szCs w:val="20"/>
        </w:rPr>
        <w:t>2</w:t>
      </w:r>
      <w:r w:rsidR="002D531F" w:rsidRPr="00B77D69">
        <w:rPr>
          <w:rFonts w:ascii="Arial" w:hAnsi="Arial" w:cs="Arial"/>
          <w:sz w:val="20"/>
          <w:szCs w:val="20"/>
        </w:rPr>
        <w:t>1</w:t>
      </w:r>
    </w:p>
    <w:p w14:paraId="760C8916" w14:textId="77777777" w:rsidR="00984AC3" w:rsidRPr="00A67DF8" w:rsidRDefault="00000000" w:rsidP="00984AC3">
      <w:pPr>
        <w:shd w:val="clear" w:color="auto" w:fill="FFFFFF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 w14:anchorId="12D98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243.75pt;height:450pt;visibility:visible">
            <v:imagedata r:id="rId14" o:title=""/>
          </v:shape>
        </w:pict>
      </w:r>
    </w:p>
    <w:tbl>
      <w:tblPr>
        <w:tblW w:w="7935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3967"/>
      </w:tblGrid>
      <w:tr w:rsidR="00984AC3" w:rsidRPr="00A67DF8" w14:paraId="186BE8BD" w14:textId="77777777" w:rsidTr="00393686">
        <w:trPr>
          <w:trHeight w:val="765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F3FD1D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00421F93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03C1FC4F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Local e Data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F91521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45AC5E34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00A6C1F8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7ECC637D" w14:textId="77777777" w:rsidR="002F7A42" w:rsidRDefault="002F7A42" w:rsidP="002F7A42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211AD09" w14:textId="77777777" w:rsidR="002F7A42" w:rsidRDefault="002F7A42" w:rsidP="002F7A42">
      <w:pPr>
        <w:spacing w:after="0"/>
        <w:rPr>
          <w:rFonts w:ascii="Arial" w:hAnsi="Arial" w:cs="Arial"/>
          <w:szCs w:val="24"/>
        </w:rPr>
        <w:sectPr w:rsidR="002F7A42" w:rsidSect="0013547D">
          <w:headerReference w:type="default" r:id="rId15"/>
          <w:footerReference w:type="default" r:id="rId16"/>
          <w:pgSz w:w="11907" w:h="16839"/>
          <w:pgMar w:top="2268" w:right="1134" w:bottom="1134" w:left="1701" w:header="720" w:footer="720" w:gutter="0"/>
          <w:cols w:space="720"/>
        </w:sectPr>
      </w:pPr>
    </w:p>
    <w:p w14:paraId="7B27DC73" w14:textId="77777777" w:rsidR="002F7A42" w:rsidRDefault="002F7A42" w:rsidP="0076397B">
      <w:pPr>
        <w:tabs>
          <w:tab w:val="left" w:pos="1260"/>
          <w:tab w:val="left" w:pos="1440"/>
          <w:tab w:val="left" w:pos="1560"/>
          <w:tab w:val="left" w:pos="1620"/>
          <w:tab w:val="left" w:pos="1701"/>
          <w:tab w:val="left" w:pos="1800"/>
          <w:tab w:val="left" w:pos="1980"/>
          <w:tab w:val="left" w:pos="4678"/>
        </w:tabs>
        <w:spacing w:before="240" w:after="12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INSTRUÇÃO </w:t>
      </w:r>
      <w:r w:rsidRPr="00B77D69">
        <w:rPr>
          <w:rFonts w:ascii="Arial" w:hAnsi="Arial" w:cs="Arial"/>
          <w:b/>
          <w:sz w:val="28"/>
          <w:szCs w:val="28"/>
        </w:rPr>
        <w:t xml:space="preserve">NORMATIVA Nº </w:t>
      </w:r>
      <w:r w:rsidR="000B440D">
        <w:rPr>
          <w:rFonts w:ascii="Arial" w:hAnsi="Arial" w:cs="Arial"/>
          <w:b/>
          <w:sz w:val="28"/>
          <w:szCs w:val="28"/>
        </w:rPr>
        <w:t>167</w:t>
      </w:r>
      <w:r w:rsidR="004B4665" w:rsidRPr="00B77D69">
        <w:rPr>
          <w:rFonts w:ascii="Arial" w:hAnsi="Arial" w:cs="Arial"/>
          <w:b/>
          <w:sz w:val="28"/>
          <w:szCs w:val="28"/>
        </w:rPr>
        <w:t>/2021</w:t>
      </w:r>
    </w:p>
    <w:p w14:paraId="43413219" w14:textId="77777777" w:rsidR="002F7A42" w:rsidRDefault="002F7A42" w:rsidP="002F7A42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372BBF7A" w14:textId="77777777" w:rsidR="002F7A42" w:rsidRDefault="002F7A42" w:rsidP="002F7A42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I</w:t>
      </w:r>
      <w:r w:rsidR="00606B0A">
        <w:rPr>
          <w:rFonts w:ascii="Arial" w:hAnsi="Arial" w:cs="Arial"/>
          <w:b/>
          <w:noProof/>
          <w:sz w:val="28"/>
          <w:szCs w:val="28"/>
        </w:rPr>
        <w:t>I</w:t>
      </w:r>
    </w:p>
    <w:p w14:paraId="245D6F5B" w14:textId="77777777" w:rsidR="002F7A42" w:rsidRPr="00A902E5" w:rsidRDefault="00A902E5" w:rsidP="00A902E5">
      <w:pPr>
        <w:jc w:val="center"/>
        <w:rPr>
          <w:rFonts w:ascii="Arial" w:hAnsi="Arial" w:cs="Arial"/>
          <w:b/>
          <w:szCs w:val="24"/>
        </w:rPr>
      </w:pPr>
      <w:r w:rsidRPr="00236180">
        <w:rPr>
          <w:rFonts w:ascii="Arial" w:hAnsi="Arial" w:cs="Arial"/>
          <w:b/>
          <w:szCs w:val="24"/>
        </w:rPr>
        <w:t>ESCOPO DE ANÁLISE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5C65FF" w14:paraId="7A0CB3CA" w14:textId="77777777" w:rsidTr="00B829F0">
        <w:trPr>
          <w:cantSplit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85CD34" w14:textId="77777777" w:rsidR="005C65FF" w:rsidRDefault="005C65FF">
            <w:pPr>
              <w:tabs>
                <w:tab w:val="left" w:pos="435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B1E00E2" w14:textId="77777777" w:rsidR="005C65FF" w:rsidRDefault="005C65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Escopo (Apontamentos da Análise)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14B266" w14:textId="77777777" w:rsidR="005C65FF" w:rsidRDefault="005C65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</w:t>
            </w:r>
          </w:p>
        </w:tc>
      </w:tr>
      <w:tr w:rsidR="005C65FF" w14:paraId="34244DEF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45A4A30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right="-36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DCEC61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Tempestividade do envio da Prestação de Contas à Assembleia Legislativa.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4651005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87, XI</w:t>
            </w:r>
          </w:p>
        </w:tc>
      </w:tr>
      <w:tr w:rsidR="005C65FF" w14:paraId="0D1CC233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FCE938D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FF7E3C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conteúdo da Prestação de Contas.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9AA0E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LCE nº 113/2005, art. 24, e Regimento Interno, art. 214</w:t>
            </w:r>
          </w:p>
        </w:tc>
      </w:tr>
      <w:tr w:rsidR="005C65FF" w14:paraId="1E39B933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352DC32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D63073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sistema SEI-CED.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00D6DCB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LCE nº 113/2005, art. 24, e Regimento Interno, art. 214</w:t>
            </w:r>
          </w:p>
        </w:tc>
      </w:tr>
      <w:tr w:rsidR="005C65FF" w14:paraId="3E6CDC22" w14:textId="77777777" w:rsidTr="00B829F0">
        <w:trPr>
          <w:cantSplit/>
          <w:trHeight w:val="3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78292B3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742B4D8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Controle Interno.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2097D0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74, LCE nº 113/2005, art. 5º e Lei Estadual nº 15.524/2007</w:t>
            </w:r>
          </w:p>
        </w:tc>
      </w:tr>
      <w:tr w:rsidR="005C65FF" w14:paraId="5410FFC1" w14:textId="77777777" w:rsidTr="00B829F0">
        <w:trPr>
          <w:cantSplit/>
          <w:trHeight w:val="4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145C875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D2834FB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Apontamentos do Relatório do Controle Interno.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853A0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</w:rPr>
              <w:t>4º a 8º, e Lei Estadual nº 15.524/2007</w:t>
            </w:r>
          </w:p>
        </w:tc>
      </w:tr>
      <w:tr w:rsidR="005C65FF" w14:paraId="1DFAA2CD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B3072B2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ACD97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Alterações orçamentárias com ênfase quanto à abertura de créditos adicionais suplementares e especiais.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E20DE3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arts. 40 a 43</w:t>
            </w:r>
          </w:p>
        </w:tc>
      </w:tr>
      <w:tr w:rsidR="005C65FF" w14:paraId="07E2BCCC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34467BE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4CB29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 Orçamentário.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6D6C5B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</w:rPr>
              <w:t>9º e 13</w:t>
            </w:r>
          </w:p>
        </w:tc>
      </w:tr>
      <w:tr w:rsidR="005C65FF" w14:paraId="413D8BA9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0719A81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4109C6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Renúncias de Receita e as devidas medidas de compensação.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20D2A2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14</w:t>
            </w:r>
          </w:p>
        </w:tc>
      </w:tr>
      <w:tr w:rsidR="005C65FF" w14:paraId="47C9DA94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123A124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E9DE9B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Orçamentária dos Programas de Governo.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D0DDC50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4º, “e”, e art. 59, § 1º, V</w:t>
            </w:r>
          </w:p>
        </w:tc>
      </w:tr>
      <w:tr w:rsidR="005C65FF" w14:paraId="13AD8719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5D340CD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69B491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dos Fundos Especiais (ativos/inativos).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40EC13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art. 74</w:t>
            </w:r>
          </w:p>
        </w:tc>
      </w:tr>
      <w:tr w:rsidR="005C65FF" w14:paraId="696BABBD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32476AB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E93485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financeira após a inscrição de Restos a Pagar não Processados.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90A737" w14:textId="77777777" w:rsidR="005C65FF" w:rsidRDefault="005C65F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55, III</w:t>
            </w:r>
          </w:p>
        </w:tc>
      </w:tr>
      <w:tr w:rsidR="005C65FF" w14:paraId="066DBC7F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2A86BCB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3C276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de saldos entre os dados dos Demonstrativos Contábeis encaminhados via e-contas e os dados enviados por meio do SEI-CED.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C19B41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arts. 83 a 89</w:t>
            </w:r>
          </w:p>
        </w:tc>
      </w:tr>
      <w:tr w:rsidR="005C65FF" w14:paraId="006F00C5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AE50A3C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C67F2D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Arrecadação de créditos inscritos em Dívida 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09EA50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arts. 11 e 58, e Lei nº 8.429/1992, art. 10, X</w:t>
            </w:r>
          </w:p>
        </w:tc>
      </w:tr>
      <w:tr w:rsidR="005C65FF" w14:paraId="17BC0103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D7D22DD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4AF52F4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Registros contábeis relativos aos precatórios.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50E1156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100</w:t>
            </w:r>
          </w:p>
        </w:tc>
      </w:tr>
      <w:tr w:rsidR="005C65FF" w14:paraId="4D4E4BC1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7F91BB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066AE8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recursos ao Tribunal de Justiça para pagamento de Precatórios.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40140E" w14:textId="77777777" w:rsidR="00C471F3" w:rsidRDefault="005C65FF" w:rsidP="00454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 nº 62/2009, art. 2º</w:t>
            </w:r>
            <w:r w:rsidR="00454CD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EC nº 99/2017</w:t>
            </w:r>
            <w:r w:rsidR="00454CD9">
              <w:rPr>
                <w:rFonts w:ascii="Arial" w:hAnsi="Arial" w:cs="Arial"/>
              </w:rPr>
              <w:t xml:space="preserve"> e </w:t>
            </w:r>
            <w:r w:rsidR="00C471F3">
              <w:rPr>
                <w:rFonts w:ascii="Arial" w:hAnsi="Arial" w:cs="Arial"/>
              </w:rPr>
              <w:t>EC nº 109/2021</w:t>
            </w:r>
          </w:p>
        </w:tc>
      </w:tr>
      <w:tr w:rsidR="005C65FF" w14:paraId="775EB1F7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FBD0FE4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17836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retidas dos servidores para o Regime Próprio de Previdência.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19F87D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9.717/98, Lei nº 9.983/2000 e Lei Estadual nº 17.435/12 e suas atualizações</w:t>
            </w:r>
          </w:p>
        </w:tc>
      </w:tr>
      <w:tr w:rsidR="005C65FF" w14:paraId="042FEA17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6DE59C7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B26E350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patronais para o Regime Próprio de Previdência.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DEB3A7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 e Lei Estadual nº 17.435/12 e suas atualizações</w:t>
            </w:r>
          </w:p>
        </w:tc>
      </w:tr>
      <w:tr w:rsidR="005C65FF" w14:paraId="57F50717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D342090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D21499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Atuarial.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6CF4B7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 e suas atualizações</w:t>
            </w:r>
          </w:p>
        </w:tc>
      </w:tr>
      <w:tr w:rsidR="005C65FF" w14:paraId="1163B749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E1DEBDF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EEC725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Aportes para cobertura do déficit atuarial e repasses para cobertura de insuficiências financeiras.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F5A971B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69, e Lei Estadual nº 17.435/12 e suas atualizações</w:t>
            </w:r>
          </w:p>
        </w:tc>
      </w:tr>
      <w:tr w:rsidR="005C65FF" w14:paraId="307E3719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97B2225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3D9A8E1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constitucional de 30% em Manutenção e Desenvolvimento do Ensino.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308580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185</w:t>
            </w:r>
          </w:p>
        </w:tc>
      </w:tr>
      <w:tr w:rsidR="005C65FF" w14:paraId="36ACC818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5148B60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33E527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Aplicação do índice mínimo </w:t>
            </w:r>
            <w:r w:rsidRPr="00B77D69">
              <w:rPr>
                <w:rFonts w:ascii="Arial" w:hAnsi="Arial" w:cs="Arial"/>
              </w:rPr>
              <w:t>de 70% dos</w:t>
            </w:r>
            <w:r>
              <w:rPr>
                <w:rFonts w:ascii="Arial" w:hAnsi="Arial" w:cs="Arial"/>
              </w:rPr>
              <w:t xml:space="preserve"> recursos do FUNDEB na remuneração do magistério.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1EAC5A2" w14:textId="77777777" w:rsidR="007204B9" w:rsidRPr="00B77D69" w:rsidRDefault="007204B9">
            <w:pPr>
              <w:rPr>
                <w:rFonts w:ascii="Arial" w:hAnsi="Arial" w:cs="Arial"/>
              </w:rPr>
            </w:pPr>
            <w:r w:rsidRPr="00B77D69">
              <w:rPr>
                <w:rFonts w:ascii="Arial" w:hAnsi="Arial" w:cs="Arial"/>
              </w:rPr>
              <w:t>Lei nº 14.113/20, art. 26</w:t>
            </w:r>
          </w:p>
        </w:tc>
      </w:tr>
      <w:tr w:rsidR="005C65FF" w14:paraId="234B2289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D851E4E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E86B28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Conselho Estadual de Acompanhamento e Controle Social do FUNDEB.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D63A8AF" w14:textId="77777777" w:rsidR="00331EE7" w:rsidRPr="00B77D69" w:rsidRDefault="00331EE7">
            <w:pPr>
              <w:rPr>
                <w:rFonts w:ascii="Arial" w:hAnsi="Arial" w:cs="Arial"/>
              </w:rPr>
            </w:pPr>
            <w:r w:rsidRPr="00B77D69">
              <w:rPr>
                <w:rFonts w:ascii="Arial" w:hAnsi="Arial" w:cs="Arial"/>
              </w:rPr>
              <w:t>Lei nº 14.113/20, art. 31, parágrafo único</w:t>
            </w:r>
          </w:p>
        </w:tc>
      </w:tr>
      <w:tr w:rsidR="005C65FF" w14:paraId="3735E2C6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478970C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1476074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Conclusão do Parecer do Conselho Estadual de Acompanhamento e Controle Social do FUNDEB.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A4C2BB7" w14:textId="77777777" w:rsidR="00CB1EB4" w:rsidRPr="00B77D69" w:rsidRDefault="00CB1EB4">
            <w:pPr>
              <w:rPr>
                <w:rFonts w:ascii="Arial" w:hAnsi="Arial" w:cs="Arial"/>
              </w:rPr>
            </w:pPr>
            <w:r w:rsidRPr="00B77D69">
              <w:rPr>
                <w:rFonts w:ascii="Arial" w:hAnsi="Arial" w:cs="Arial"/>
              </w:rPr>
              <w:t>Lei nº 14.113/20, art. 33</w:t>
            </w:r>
          </w:p>
        </w:tc>
      </w:tr>
      <w:tr w:rsidR="005C65FF" w14:paraId="047BEA1A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94990DC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4713FA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12% em Ações e Serviços Públicos de Saúde – ASPS.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D61F4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5C65FF" w14:paraId="0EE4F826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0D0972D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4467D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de despesas com ASPS dentro do Orçamento do FUNSAÚDE.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51BDA3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5C65FF" w14:paraId="0A6CD386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1108CCB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F60A0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de despesas com ASPS de acordo com a LC nº 141/2012.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3ECB1C6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14</w:t>
            </w:r>
          </w:p>
        </w:tc>
      </w:tr>
      <w:tr w:rsidR="005C65FF" w14:paraId="61620E38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BFB5FF3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9C9D75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da parcela do FUNDEB da base de cálculo para apuração das ASPS.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51637A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29</w:t>
            </w:r>
          </w:p>
        </w:tc>
      </w:tr>
      <w:tr w:rsidR="005C65FF" w14:paraId="636F844C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9C85E74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DC2F07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2% em Ciência e Tecnologia.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0503CC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205</w:t>
            </w:r>
          </w:p>
        </w:tc>
      </w:tr>
      <w:tr w:rsidR="005C65FF" w14:paraId="433D20E0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833339F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5036B2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 das Despesas com Pessoal do Poder Executivo.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4F45F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arts. 19, II, e 20, II, “c”</w:t>
            </w:r>
          </w:p>
        </w:tc>
      </w:tr>
      <w:tr w:rsidR="005C65FF" w14:paraId="483A4E8D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B23181B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C607869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dos Relatórios Resumidos da Execução Orçamentária e de Gestão Fiscal.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BF81B41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arts. 52 e 55, § 2º</w:t>
            </w:r>
          </w:p>
        </w:tc>
      </w:tr>
      <w:tr w:rsidR="005C65FF" w14:paraId="5AA452E4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FE44B10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420AED4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retorno ao limite no prazo legal.</w:t>
            </w:r>
          </w:p>
          <w:p w14:paraId="24DFEB56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D540082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59, III</w:t>
            </w:r>
          </w:p>
        </w:tc>
      </w:tr>
      <w:tr w:rsidR="005C65FF" w14:paraId="64EF9D74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D0CE298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5DE565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redução de 1/3 no prazo legal.</w:t>
            </w:r>
          </w:p>
          <w:p w14:paraId="0736170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1F32E0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23</w:t>
            </w:r>
          </w:p>
        </w:tc>
      </w:tr>
      <w:tr w:rsidR="005C65FF" w14:paraId="3072CC31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778626D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64D008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Consolidação dos dados das Entidades com contabilidade regida pela Lei nº 6.404/76 e consideradas dependentes nos termos da LRF, na apuração das Despesas com Pessoal do Poder Executivo.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8D93FA" w14:textId="77777777" w:rsidR="005C65FF" w:rsidRDefault="005C65F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1º, I, “b”</w:t>
            </w:r>
          </w:p>
        </w:tc>
      </w:tr>
      <w:tr w:rsidR="005C65FF" w14:paraId="12F4120E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F103CB5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F5BB7A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Dívida Consolidada Líquida.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261B5A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31</w:t>
            </w:r>
          </w:p>
        </w:tc>
      </w:tr>
      <w:tr w:rsidR="005C65FF" w14:paraId="6706569B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8656C11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5EF9ED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Garantia de Valores.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4AE8A8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40</w:t>
            </w:r>
          </w:p>
        </w:tc>
      </w:tr>
      <w:tr w:rsidR="005C65FF" w14:paraId="41DBA418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9355D3C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F46BA57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realização de Operações de Crédito.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6752A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32</w:t>
            </w:r>
          </w:p>
        </w:tc>
      </w:tr>
      <w:tr w:rsidR="005C65FF" w14:paraId="5E8622F4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33001E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9838B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Legislativo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C5B38D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133, § 10</w:t>
            </w:r>
          </w:p>
        </w:tc>
      </w:tr>
      <w:tr w:rsidR="005C65FF" w14:paraId="64FA613A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AF7D8DC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147512D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Judiciário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0222B5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98, § 1º</w:t>
            </w:r>
          </w:p>
        </w:tc>
      </w:tr>
      <w:tr w:rsidR="005C65FF" w14:paraId="7DB0B2D1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470E85A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8EAF52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Ministério Público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E8A28C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115</w:t>
            </w:r>
          </w:p>
        </w:tc>
      </w:tr>
      <w:tr w:rsidR="005C65FF" w14:paraId="269482F8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EC8F395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359E7A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à Defensoria Pública de acordo com o definido na LDO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0D9831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134, § 2º</w:t>
            </w:r>
          </w:p>
        </w:tc>
      </w:tr>
      <w:tr w:rsidR="005C65FF" w14:paraId="7CDBE44E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A711E8A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AD61A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Primário.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895057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5C65FF" w14:paraId="2B2EFC3C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AD28836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C04D78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Nominal.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68C3D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5C65FF" w14:paraId="6055AA1C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48F4272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6F4DAA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das Atas das Audiências Públicas para avaliação das metas fiscais.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761D7A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9º, § 4º</w:t>
            </w:r>
          </w:p>
        </w:tc>
      </w:tr>
      <w:tr w:rsidR="005C65FF" w14:paraId="32F6C301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16BD760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326A99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de Diretrizes Orçamentárias (LDO) no prazo.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30388F" w14:textId="77777777" w:rsidR="005C65FF" w:rsidRDefault="005C65F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4º e ADCT, art. 35, § 2º, II</w:t>
            </w:r>
          </w:p>
        </w:tc>
      </w:tr>
      <w:tr w:rsidR="005C65FF" w14:paraId="72CEC03D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FA3DD59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6F6CF6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Orçamentária Anual (LOA) no prazo.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9B3D3BD" w14:textId="77777777" w:rsidR="005C65FF" w:rsidRDefault="005C65F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5º e ADCT, art. 35, § 2º, III</w:t>
            </w:r>
          </w:p>
        </w:tc>
      </w:tr>
      <w:tr w:rsidR="005C65FF" w14:paraId="0915B9B9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0B1E86A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2DCE8C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da compatibilidade da programação dos orçamentos com os objetivos e metas fiscais.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C59B8DD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5º, I</w:t>
            </w:r>
          </w:p>
        </w:tc>
      </w:tr>
      <w:tr w:rsidR="005C65FF" w14:paraId="28048D7F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182B3F8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3EE8B1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do efeito, sobre as receitas e despesas, decorrente de renúncia fiscal, bem como das medidas de compensação a renúncias de receita e ao aumento de despesas obrigatórias de caráter continuado.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719F99" w14:textId="77777777" w:rsidR="005C65FF" w:rsidRDefault="005C65F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5º, II</w:t>
            </w:r>
          </w:p>
        </w:tc>
      </w:tr>
      <w:tr w:rsidR="005C65FF" w14:paraId="52FD42FF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1B4FD9A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71ED31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Estabelecimento no prazo da programação financeira e do cronograma de execução mensal de desembolso.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A52806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8º</w:t>
            </w:r>
          </w:p>
        </w:tc>
      </w:tr>
      <w:tr w:rsidR="005C65FF" w14:paraId="081DC023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9002227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2B131F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Desdobramento no prazo, das receitas previstas em metas bimestrais de arrecadação, especificando, quando cabível, as medidas de combate à evasão e à sonegação, a quantidade e valores de ações ajuizadas para cobrança da dívida ativa, bem como a evolução do montante dos créditos tributários passíveis de cobrança administrativa.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898E1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13</w:t>
            </w:r>
          </w:p>
        </w:tc>
      </w:tr>
      <w:tr w:rsidR="005C65FF" w14:paraId="1F29DA5B" w14:textId="77777777" w:rsidTr="00B829F0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860AAC5" w14:textId="77777777" w:rsidR="005C65FF" w:rsidRDefault="005C65FF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844047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da receita derivada da alienação de bens e direitos para o financiamento de despesa corrente, salvo se destinada por lei aos regimes de previdência social.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A2AF3E" w14:textId="77777777" w:rsidR="005C65FF" w:rsidRDefault="005C6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44</w:t>
            </w:r>
          </w:p>
        </w:tc>
      </w:tr>
      <w:tr w:rsidR="007B12FB" w14:paraId="4A4AEE5A" w14:textId="77777777" w:rsidTr="00B829F0">
        <w:trPr>
          <w:cantSplit/>
          <w:trHeight w:val="1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3AAA037" w14:textId="77777777" w:rsidR="007B12FB" w:rsidRDefault="007B12FB" w:rsidP="005C65FF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3D11893" w14:textId="77777777" w:rsidR="007B12FB" w:rsidRPr="00DF24E9" w:rsidRDefault="00DF24E9">
            <w:pPr>
              <w:pStyle w:val="text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4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="00531DD5" w:rsidRPr="00DF24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presentação de Plano de Governo registrado na Justiça Eleitoral, para fins de controle social, e</w:t>
            </w:r>
            <w:r w:rsidR="00531DD5" w:rsidRPr="00DF24E9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31DD5" w:rsidRPr="00DF24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 medida do possível, a sua correlação com os programas governamentais.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7A89AE3" w14:textId="77777777" w:rsidR="007B12FB" w:rsidRPr="00DF24E9" w:rsidRDefault="007B12FB">
            <w:pPr>
              <w:rPr>
                <w:rFonts w:ascii="Arial" w:hAnsi="Arial" w:cs="Arial"/>
              </w:rPr>
            </w:pPr>
            <w:r w:rsidRPr="00DF24E9">
              <w:rPr>
                <w:rFonts w:ascii="Arial" w:hAnsi="Arial" w:cs="Arial"/>
              </w:rPr>
              <w:t xml:space="preserve">Lei nº 9.504/97, </w:t>
            </w:r>
            <w:r w:rsidR="005662EE" w:rsidRPr="00DF24E9">
              <w:rPr>
                <w:rFonts w:ascii="Arial" w:hAnsi="Arial" w:cs="Arial"/>
              </w:rPr>
              <w:t>Resolução ATRICON nº 01/2021</w:t>
            </w:r>
          </w:p>
        </w:tc>
      </w:tr>
    </w:tbl>
    <w:p w14:paraId="37A6BE26" w14:textId="77777777" w:rsidR="001256DB" w:rsidRDefault="001256DB" w:rsidP="00984AC3"/>
    <w:p w14:paraId="00FD1C2F" w14:textId="77777777" w:rsidR="0076397B" w:rsidRPr="0076397B" w:rsidRDefault="0076397B" w:rsidP="0076397B"/>
    <w:p w14:paraId="65737137" w14:textId="77777777" w:rsidR="0076397B" w:rsidRPr="0076397B" w:rsidRDefault="0076397B" w:rsidP="0076397B"/>
    <w:p w14:paraId="48FD980F" w14:textId="77777777" w:rsidR="0076397B" w:rsidRPr="0076397B" w:rsidRDefault="0076397B" w:rsidP="0076397B"/>
    <w:p w14:paraId="1E844B36" w14:textId="77777777" w:rsidR="0076397B" w:rsidRPr="0076397B" w:rsidRDefault="0076397B" w:rsidP="0076397B"/>
    <w:p w14:paraId="2042B245" w14:textId="77777777" w:rsidR="0076397B" w:rsidRPr="0076397B" w:rsidRDefault="0076397B" w:rsidP="0076397B"/>
    <w:p w14:paraId="3F6D7707" w14:textId="77777777" w:rsidR="0076397B" w:rsidRPr="0076397B" w:rsidRDefault="0076397B" w:rsidP="0076397B"/>
    <w:p w14:paraId="669DB853" w14:textId="77777777" w:rsidR="0076397B" w:rsidRPr="0076397B" w:rsidRDefault="0076397B" w:rsidP="0076397B"/>
    <w:p w14:paraId="7F2ADBD7" w14:textId="77777777" w:rsidR="0076397B" w:rsidRPr="0076397B" w:rsidRDefault="0076397B" w:rsidP="0076397B"/>
    <w:p w14:paraId="0EC6DA81" w14:textId="77777777" w:rsidR="0076397B" w:rsidRPr="0076397B" w:rsidRDefault="0076397B" w:rsidP="0076397B"/>
    <w:p w14:paraId="4983A4CC" w14:textId="77777777" w:rsidR="0076397B" w:rsidRPr="0076397B" w:rsidRDefault="0076397B" w:rsidP="0076397B"/>
    <w:p w14:paraId="326546A3" w14:textId="77777777" w:rsidR="0076397B" w:rsidRPr="0076397B" w:rsidRDefault="0076397B" w:rsidP="0076397B"/>
    <w:p w14:paraId="0F24F978" w14:textId="77777777" w:rsidR="0076397B" w:rsidRPr="0076397B" w:rsidRDefault="0076397B" w:rsidP="0076397B"/>
    <w:p w14:paraId="7C337F61" w14:textId="77777777" w:rsidR="0076397B" w:rsidRPr="0076397B" w:rsidRDefault="0076397B" w:rsidP="0076397B"/>
    <w:p w14:paraId="50FD26F5" w14:textId="77777777" w:rsidR="0076397B" w:rsidRPr="0076397B" w:rsidRDefault="0076397B" w:rsidP="0076397B"/>
    <w:p w14:paraId="2E762999" w14:textId="77777777" w:rsidR="0076397B" w:rsidRPr="0076397B" w:rsidRDefault="0076397B" w:rsidP="0076397B">
      <w:pPr>
        <w:jc w:val="right"/>
      </w:pPr>
    </w:p>
    <w:sectPr w:rsidR="0076397B" w:rsidRPr="0076397B" w:rsidSect="00393686">
      <w:headerReference w:type="default" r:id="rId17"/>
      <w:pgSz w:w="11907" w:h="16839" w:code="9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02AE" w14:textId="77777777" w:rsidR="00206AAE" w:rsidRDefault="00206AAE">
      <w:pPr>
        <w:spacing w:after="0" w:line="240" w:lineRule="auto"/>
      </w:pPr>
      <w:r>
        <w:separator/>
      </w:r>
    </w:p>
  </w:endnote>
  <w:endnote w:type="continuationSeparator" w:id="0">
    <w:p w14:paraId="6F81FD4D" w14:textId="77777777" w:rsidR="00206AAE" w:rsidRDefault="002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5647" w14:textId="77777777" w:rsidR="002F7A42" w:rsidRDefault="002F7A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E237" w14:textId="77777777" w:rsidR="00206AAE" w:rsidRDefault="00206AAE">
      <w:pPr>
        <w:spacing w:after="0" w:line="240" w:lineRule="auto"/>
      </w:pPr>
      <w:r>
        <w:separator/>
      </w:r>
    </w:p>
  </w:footnote>
  <w:footnote w:type="continuationSeparator" w:id="0">
    <w:p w14:paraId="5F4C11FE" w14:textId="77777777" w:rsidR="00206AAE" w:rsidRDefault="00206AAE">
      <w:pPr>
        <w:spacing w:after="0" w:line="240" w:lineRule="auto"/>
      </w:pPr>
      <w:r>
        <w:continuationSeparator/>
      </w:r>
    </w:p>
  </w:footnote>
  <w:footnote w:id="1">
    <w:p w14:paraId="37683CF9" w14:textId="77777777" w:rsidR="00315D98" w:rsidRPr="00EA4221" w:rsidRDefault="00315D98" w:rsidP="00315D9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EA4221">
        <w:rPr>
          <w:rFonts w:ascii="Arial" w:hAnsi="Arial" w:cs="Arial"/>
          <w:b/>
        </w:rPr>
        <w:t>Notas da Biblioteca:</w:t>
      </w:r>
    </w:p>
    <w:p w14:paraId="34F7DB53" w14:textId="098FCD27" w:rsidR="00315D98" w:rsidRPr="00350285" w:rsidRDefault="00315D98" w:rsidP="00350285">
      <w:pPr>
        <w:pStyle w:val="Textodenotaderodap"/>
        <w:numPr>
          <w:ilvl w:val="0"/>
          <w:numId w:val="8"/>
        </w:numPr>
        <w:ind w:left="426" w:hanging="284"/>
        <w:jc w:val="both"/>
        <w:rPr>
          <w:rFonts w:ascii="Arial" w:hAnsi="Arial" w:cs="Arial"/>
        </w:rPr>
      </w:pPr>
      <w:r w:rsidRPr="00350285">
        <w:rPr>
          <w:rFonts w:ascii="Arial" w:hAnsi="Arial" w:cs="Arial"/>
        </w:rPr>
        <w:t xml:space="preserve">Este texto não substitui o publicado no periódico: </w:t>
      </w:r>
      <w:bookmarkEnd w:id="0"/>
      <w:r w:rsidR="00745992" w:rsidRPr="00350285">
        <w:fldChar w:fldCharType="begin"/>
      </w:r>
      <w:r w:rsidR="00745992" w:rsidRPr="00350285">
        <w:rPr>
          <w:rFonts w:ascii="Arial" w:hAnsi="Arial" w:cs="Arial"/>
        </w:rPr>
        <w:instrText>HYPERLINK "https://www1.tce.pr.gov.br/multimidia/2021/12/pdf/00362766.pdf"</w:instrText>
      </w:r>
      <w:r w:rsidR="00745992" w:rsidRPr="00350285">
        <w:fldChar w:fldCharType="separate"/>
      </w:r>
      <w:r w:rsidR="00745992" w:rsidRPr="00350285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="00745992" w:rsidRPr="00350285">
        <w:rPr>
          <w:rStyle w:val="Hyperlink"/>
          <w:rFonts w:ascii="Arial" w:hAnsi="Arial" w:cs="Arial"/>
        </w:rPr>
        <w:t>, Curitiba, PR, n. 2678, 9 dez. 2021, p. 40-42</w:t>
      </w:r>
      <w:r w:rsidR="00745992" w:rsidRPr="00350285">
        <w:rPr>
          <w:rStyle w:val="Hyperlink"/>
          <w:rFonts w:ascii="Arial" w:hAnsi="Arial" w:cs="Arial"/>
        </w:rPr>
        <w:fldChar w:fldCharType="end"/>
      </w:r>
      <w:r w:rsidR="00745992" w:rsidRPr="00350285">
        <w:rPr>
          <w:rFonts w:ascii="Arial" w:hAnsi="Arial" w:cs="Arial"/>
        </w:rPr>
        <w:t>.</w:t>
      </w:r>
    </w:p>
    <w:p w14:paraId="6E917B30" w14:textId="22317B0F" w:rsidR="00315D98" w:rsidRPr="00350285" w:rsidRDefault="00315D98" w:rsidP="00350285">
      <w:pPr>
        <w:pStyle w:val="Textodenotaderodap"/>
        <w:numPr>
          <w:ilvl w:val="0"/>
          <w:numId w:val="8"/>
        </w:numPr>
        <w:ind w:left="426" w:hanging="284"/>
        <w:jc w:val="both"/>
        <w:rPr>
          <w:rFonts w:ascii="Arial" w:hAnsi="Arial" w:cs="Arial"/>
        </w:rPr>
      </w:pPr>
      <w:r w:rsidRPr="00350285">
        <w:rPr>
          <w:rFonts w:ascii="Arial" w:hAnsi="Arial" w:cs="Arial"/>
        </w:rPr>
        <w:t xml:space="preserve">Origem: Processo n. </w:t>
      </w:r>
      <w:r w:rsidR="00DF1A7C" w:rsidRPr="00350285">
        <w:rPr>
          <w:rFonts w:ascii="Arial" w:hAnsi="Arial" w:cs="Arial"/>
        </w:rPr>
        <w:t>61664-8</w:t>
      </w:r>
      <w:r w:rsidRPr="00350285">
        <w:rPr>
          <w:rFonts w:ascii="Arial" w:hAnsi="Arial" w:cs="Arial"/>
        </w:rPr>
        <w:t xml:space="preserve">/21– </w:t>
      </w:r>
      <w:hyperlink r:id="rId1" w:history="1">
        <w:r w:rsidRPr="003623E9">
          <w:rPr>
            <w:rStyle w:val="Hyperlink"/>
            <w:rFonts w:ascii="Arial" w:hAnsi="Arial" w:cs="Arial"/>
          </w:rPr>
          <w:t xml:space="preserve">Acórdão n. </w:t>
        </w:r>
        <w:r w:rsidR="00DF1A7C" w:rsidRPr="003623E9">
          <w:rPr>
            <w:rStyle w:val="Hyperlink"/>
            <w:rFonts w:ascii="Arial" w:hAnsi="Arial" w:cs="Arial"/>
          </w:rPr>
          <w:t>3220</w:t>
        </w:r>
        <w:r w:rsidRPr="003623E9">
          <w:rPr>
            <w:rStyle w:val="Hyperlink"/>
            <w:rFonts w:ascii="Arial" w:hAnsi="Arial" w:cs="Arial"/>
          </w:rPr>
          <w:t>/21-Tribunal Pleno</w:t>
        </w:r>
      </w:hyperlink>
      <w:r w:rsidRPr="00350285">
        <w:rPr>
          <w:rFonts w:ascii="Arial" w:hAnsi="Arial" w:cs="Arial"/>
        </w:rPr>
        <w:t>.</w:t>
      </w:r>
    </w:p>
    <w:p w14:paraId="7D2F5B26" w14:textId="77777777" w:rsidR="00350285" w:rsidRPr="00350285" w:rsidRDefault="00350285" w:rsidP="00350285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50285">
        <w:rPr>
          <w:rFonts w:ascii="Arial" w:hAnsi="Arial" w:cs="Arial"/>
          <w:b/>
          <w:bCs/>
          <w:sz w:val="20"/>
          <w:szCs w:val="20"/>
        </w:rPr>
        <w:t>Ver também:</w:t>
      </w:r>
    </w:p>
    <w:p w14:paraId="1CC8A9C8" w14:textId="77777777" w:rsidR="00350285" w:rsidRPr="00350285" w:rsidRDefault="00000000" w:rsidP="00350285">
      <w:pPr>
        <w:spacing w:after="0"/>
        <w:ind w:firstLine="426"/>
        <w:jc w:val="both"/>
        <w:rPr>
          <w:rFonts w:ascii="Arial" w:hAnsi="Arial" w:cs="Arial"/>
          <w:color w:val="0000FF"/>
          <w:sz w:val="20"/>
          <w:szCs w:val="20"/>
        </w:rPr>
      </w:pPr>
      <w:hyperlink r:id="rId2" w:history="1">
        <w:r w:rsidR="00350285" w:rsidRPr="00350285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350285" w:rsidRPr="00350285">
        <w:rPr>
          <w:rFonts w:ascii="Arial" w:hAnsi="Arial" w:cs="Arial"/>
          <w:color w:val="0000FF"/>
          <w:sz w:val="20"/>
          <w:szCs w:val="20"/>
        </w:rPr>
        <w:t>.</w:t>
      </w:r>
    </w:p>
    <w:p w14:paraId="3009A5EE" w14:textId="59262390" w:rsidR="00350285" w:rsidRPr="00350285" w:rsidRDefault="00000000" w:rsidP="00350285">
      <w:pPr>
        <w:pStyle w:val="Textodenotaderodap"/>
        <w:ind w:firstLine="426"/>
        <w:jc w:val="both"/>
        <w:rPr>
          <w:rFonts w:ascii="Arial" w:hAnsi="Arial" w:cs="Arial"/>
        </w:rPr>
      </w:pPr>
      <w:hyperlink r:id="rId3" w:history="1">
        <w:r w:rsidR="00350285" w:rsidRPr="00350285">
          <w:rPr>
            <w:rStyle w:val="Hyperlink"/>
            <w:rFonts w:ascii="Arial" w:hAnsi="Arial" w:cs="Arial"/>
          </w:rPr>
          <w:t>Instrução de Serviço n. 27, de 3 de outubro de 2011</w:t>
        </w:r>
      </w:hyperlink>
      <w:r w:rsidR="00350285" w:rsidRPr="00350285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78D8" w14:textId="77777777" w:rsidR="00667C8D" w:rsidRDefault="00000000" w:rsidP="008006D4">
    <w:pPr>
      <w:keepLines/>
      <w:spacing w:before="48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570B3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brasao_pr_pequeno" style="position:absolute;left:0;text-align:left;margin-left:4.85pt;margin-top:5.05pt;width:44.05pt;height:51.6pt;z-index:2;visibility:visible">
          <v:imagedata r:id="rId1" o:title="brasao_pr_pequeno"/>
        </v:shape>
      </w:pict>
    </w:r>
    <w:r w:rsidR="00667C8D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2611013D" w14:textId="77777777" w:rsidR="006E6177" w:rsidRDefault="006E6177" w:rsidP="006E6177">
    <w:pPr>
      <w:keepLines/>
      <w:spacing w:before="120" w:after="360" w:line="240" w:lineRule="auto"/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4FD5" w14:textId="77777777" w:rsidR="002F7A42" w:rsidRPr="006533E9" w:rsidRDefault="00000000" w:rsidP="0013547D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64038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1026" type="#_x0000_t75" alt="logo TC colorido - medio" style="position:absolute;left:0;text-align:left;margin-left:-.25pt;margin-top:4.55pt;width:47.7pt;height:56.1pt;z-index:3;visibility:visible">
          <v:imagedata r:id="rId1" o:title="logo TC colorido - medio"/>
          <w10:wrap type="square"/>
        </v:shape>
      </w:pict>
    </w:r>
    <w:r w:rsidR="002F7A42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3449554D" w14:textId="77777777" w:rsidR="002F7A42" w:rsidRDefault="002F7A4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007D" w14:textId="77777777" w:rsidR="00393686" w:rsidRPr="006533E9" w:rsidRDefault="00000000" w:rsidP="00393686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7586E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393686" w:rsidRPr="0036255E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8FA"/>
    <w:multiLevelType w:val="hybridMultilevel"/>
    <w:tmpl w:val="240EB132"/>
    <w:lvl w:ilvl="0" w:tplc="52F627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2D9E"/>
    <w:multiLevelType w:val="hybridMultilevel"/>
    <w:tmpl w:val="52248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0FCD"/>
    <w:multiLevelType w:val="hybridMultilevel"/>
    <w:tmpl w:val="350EDC96"/>
    <w:lvl w:ilvl="0" w:tplc="1448770E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52265B3"/>
    <w:multiLevelType w:val="hybridMultilevel"/>
    <w:tmpl w:val="8A067BB2"/>
    <w:lvl w:ilvl="0" w:tplc="E7DC9F6A">
      <w:start w:val="1"/>
      <w:numFmt w:val="lowerLetter"/>
      <w:lvlText w:val="%1)"/>
      <w:lvlJc w:val="left"/>
      <w:pPr>
        <w:ind w:left="2574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34D7449"/>
    <w:multiLevelType w:val="hybridMultilevel"/>
    <w:tmpl w:val="B8C037F2"/>
    <w:lvl w:ilvl="0" w:tplc="86A29F22">
      <w:start w:val="1"/>
      <w:numFmt w:val="lowerLetter"/>
      <w:lvlText w:val="%1)"/>
      <w:lvlJc w:val="left"/>
      <w:pPr>
        <w:ind w:left="300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389B5021"/>
    <w:multiLevelType w:val="hybridMultilevel"/>
    <w:tmpl w:val="84622A02"/>
    <w:lvl w:ilvl="0" w:tplc="E50A340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61D49"/>
    <w:multiLevelType w:val="hybridMultilevel"/>
    <w:tmpl w:val="E0721D9E"/>
    <w:lvl w:ilvl="0" w:tplc="AB56AE54">
      <w:start w:val="1"/>
      <w:numFmt w:val="lowerLetter"/>
      <w:lvlText w:val="%1)"/>
      <w:lvlJc w:val="left"/>
      <w:rPr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70AE"/>
    <w:multiLevelType w:val="hybridMultilevel"/>
    <w:tmpl w:val="DCE4A692"/>
    <w:lvl w:ilvl="0" w:tplc="976C8396">
      <w:start w:val="1"/>
      <w:numFmt w:val="lowerLetter"/>
      <w:lvlText w:val="%1)"/>
      <w:lvlJc w:val="left"/>
      <w:pPr>
        <w:ind w:left="1440" w:hanging="1440"/>
      </w:pPr>
      <w:rPr>
        <w:i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9E52B1D"/>
    <w:multiLevelType w:val="hybridMultilevel"/>
    <w:tmpl w:val="DCE4A692"/>
    <w:lvl w:ilvl="0" w:tplc="976C8396">
      <w:start w:val="1"/>
      <w:numFmt w:val="lowerLetter"/>
      <w:lvlText w:val="%1)"/>
      <w:lvlJc w:val="left"/>
      <w:pPr>
        <w:ind w:left="1440" w:hanging="1440"/>
      </w:pPr>
      <w:rPr>
        <w:i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2017727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481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4922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921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5351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2547133">
    <w:abstractNumId w:val="1"/>
  </w:num>
  <w:num w:numId="7" w16cid:durableId="469983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418809">
    <w:abstractNumId w:val="5"/>
  </w:num>
  <w:num w:numId="9" w16cid:durableId="145244208">
    <w:abstractNumId w:val="0"/>
  </w:num>
  <w:num w:numId="10" w16cid:durableId="631907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AC3"/>
    <w:rsid w:val="00016F32"/>
    <w:rsid w:val="00051DAC"/>
    <w:rsid w:val="00063B34"/>
    <w:rsid w:val="000652CE"/>
    <w:rsid w:val="000837AD"/>
    <w:rsid w:val="000B440D"/>
    <w:rsid w:val="000D7B37"/>
    <w:rsid w:val="000F0AE2"/>
    <w:rsid w:val="001256DB"/>
    <w:rsid w:val="0013547D"/>
    <w:rsid w:val="00142353"/>
    <w:rsid w:val="00142D2C"/>
    <w:rsid w:val="00144536"/>
    <w:rsid w:val="00173402"/>
    <w:rsid w:val="0019021F"/>
    <w:rsid w:val="001907D7"/>
    <w:rsid w:val="001C4A11"/>
    <w:rsid w:val="001C5011"/>
    <w:rsid w:val="001D4BC4"/>
    <w:rsid w:val="00206AAE"/>
    <w:rsid w:val="00236180"/>
    <w:rsid w:val="00271592"/>
    <w:rsid w:val="00274B6A"/>
    <w:rsid w:val="002821A3"/>
    <w:rsid w:val="00293EA4"/>
    <w:rsid w:val="002C2EA7"/>
    <w:rsid w:val="002D0902"/>
    <w:rsid w:val="002D531F"/>
    <w:rsid w:val="002E688F"/>
    <w:rsid w:val="002F7A42"/>
    <w:rsid w:val="00304B8F"/>
    <w:rsid w:val="00315D98"/>
    <w:rsid w:val="0031714E"/>
    <w:rsid w:val="00331EE7"/>
    <w:rsid w:val="00333F60"/>
    <w:rsid w:val="00336F8E"/>
    <w:rsid w:val="00350285"/>
    <w:rsid w:val="003623E9"/>
    <w:rsid w:val="00377993"/>
    <w:rsid w:val="00381947"/>
    <w:rsid w:val="00381BD7"/>
    <w:rsid w:val="00393686"/>
    <w:rsid w:val="003A6EE2"/>
    <w:rsid w:val="003B484D"/>
    <w:rsid w:val="003D1DEF"/>
    <w:rsid w:val="003D7914"/>
    <w:rsid w:val="003F66D1"/>
    <w:rsid w:val="00400F4A"/>
    <w:rsid w:val="00413851"/>
    <w:rsid w:val="004234CC"/>
    <w:rsid w:val="00424D4A"/>
    <w:rsid w:val="004313F3"/>
    <w:rsid w:val="00437CFC"/>
    <w:rsid w:val="00454CD9"/>
    <w:rsid w:val="0047439F"/>
    <w:rsid w:val="00484261"/>
    <w:rsid w:val="004B4665"/>
    <w:rsid w:val="004B6181"/>
    <w:rsid w:val="004C1C35"/>
    <w:rsid w:val="004D5F06"/>
    <w:rsid w:val="004F271A"/>
    <w:rsid w:val="00501791"/>
    <w:rsid w:val="00515ECE"/>
    <w:rsid w:val="00531DD5"/>
    <w:rsid w:val="005662EE"/>
    <w:rsid w:val="00581F6A"/>
    <w:rsid w:val="005A00F0"/>
    <w:rsid w:val="005B3EB0"/>
    <w:rsid w:val="005C65FF"/>
    <w:rsid w:val="005E4F28"/>
    <w:rsid w:val="006005AE"/>
    <w:rsid w:val="00606B0A"/>
    <w:rsid w:val="00611B25"/>
    <w:rsid w:val="00646590"/>
    <w:rsid w:val="00667C8D"/>
    <w:rsid w:val="006A0881"/>
    <w:rsid w:val="006A7C67"/>
    <w:rsid w:val="006B7F6A"/>
    <w:rsid w:val="006C211B"/>
    <w:rsid w:val="006D581F"/>
    <w:rsid w:val="006E6177"/>
    <w:rsid w:val="006F6F39"/>
    <w:rsid w:val="0070559A"/>
    <w:rsid w:val="00717E20"/>
    <w:rsid w:val="007204B9"/>
    <w:rsid w:val="00745992"/>
    <w:rsid w:val="0076397B"/>
    <w:rsid w:val="00764C17"/>
    <w:rsid w:val="00790CCA"/>
    <w:rsid w:val="007A2E14"/>
    <w:rsid w:val="007B12FB"/>
    <w:rsid w:val="007F13A1"/>
    <w:rsid w:val="008006D4"/>
    <w:rsid w:val="008562BA"/>
    <w:rsid w:val="008611FE"/>
    <w:rsid w:val="0086568F"/>
    <w:rsid w:val="008704E5"/>
    <w:rsid w:val="00873A35"/>
    <w:rsid w:val="008B7245"/>
    <w:rsid w:val="008F1396"/>
    <w:rsid w:val="008F3C6E"/>
    <w:rsid w:val="00903F2D"/>
    <w:rsid w:val="00945830"/>
    <w:rsid w:val="009806D7"/>
    <w:rsid w:val="00984AC3"/>
    <w:rsid w:val="00990836"/>
    <w:rsid w:val="009D445B"/>
    <w:rsid w:val="009F63EB"/>
    <w:rsid w:val="00A158E3"/>
    <w:rsid w:val="00A23E25"/>
    <w:rsid w:val="00A3369F"/>
    <w:rsid w:val="00A510D5"/>
    <w:rsid w:val="00A63ADF"/>
    <w:rsid w:val="00A753C8"/>
    <w:rsid w:val="00A84818"/>
    <w:rsid w:val="00A902E5"/>
    <w:rsid w:val="00A902F4"/>
    <w:rsid w:val="00AB7805"/>
    <w:rsid w:val="00AC4127"/>
    <w:rsid w:val="00B07597"/>
    <w:rsid w:val="00B212C5"/>
    <w:rsid w:val="00B250E4"/>
    <w:rsid w:val="00B416DF"/>
    <w:rsid w:val="00B71364"/>
    <w:rsid w:val="00B77D69"/>
    <w:rsid w:val="00B829F0"/>
    <w:rsid w:val="00BB6204"/>
    <w:rsid w:val="00C27B79"/>
    <w:rsid w:val="00C37B97"/>
    <w:rsid w:val="00C471F3"/>
    <w:rsid w:val="00C8648B"/>
    <w:rsid w:val="00CA0015"/>
    <w:rsid w:val="00CB1EB4"/>
    <w:rsid w:val="00CC0ADB"/>
    <w:rsid w:val="00CD0998"/>
    <w:rsid w:val="00CE205A"/>
    <w:rsid w:val="00CF4D5D"/>
    <w:rsid w:val="00D11439"/>
    <w:rsid w:val="00D459C8"/>
    <w:rsid w:val="00D65361"/>
    <w:rsid w:val="00D7391F"/>
    <w:rsid w:val="00D812A3"/>
    <w:rsid w:val="00D81F93"/>
    <w:rsid w:val="00D83F04"/>
    <w:rsid w:val="00DB1406"/>
    <w:rsid w:val="00DB7D1C"/>
    <w:rsid w:val="00DE51DB"/>
    <w:rsid w:val="00DF1487"/>
    <w:rsid w:val="00DF1A7C"/>
    <w:rsid w:val="00DF24E9"/>
    <w:rsid w:val="00E06DE3"/>
    <w:rsid w:val="00E81C2A"/>
    <w:rsid w:val="00EB00FF"/>
    <w:rsid w:val="00EC5101"/>
    <w:rsid w:val="00ED6D21"/>
    <w:rsid w:val="00EE334D"/>
    <w:rsid w:val="00EF1B47"/>
    <w:rsid w:val="00F03724"/>
    <w:rsid w:val="00F13374"/>
    <w:rsid w:val="00F24637"/>
    <w:rsid w:val="00F458EA"/>
    <w:rsid w:val="00F61BAB"/>
    <w:rsid w:val="00F729BC"/>
    <w:rsid w:val="00F75B0A"/>
    <w:rsid w:val="00F867DD"/>
    <w:rsid w:val="00F95AA3"/>
    <w:rsid w:val="00FE27F0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1ECBF8"/>
  <w15:chartTrackingRefBased/>
  <w15:docId w15:val="{D730CF5D-EC87-4216-A944-1251C267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1C4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84AC3"/>
    <w:pPr>
      <w:tabs>
        <w:tab w:val="center" w:pos="4252"/>
        <w:tab w:val="right" w:pos="8504"/>
      </w:tabs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984AC3"/>
    <w:rPr>
      <w:rFonts w:ascii="Times New Roman" w:eastAsia="Times New Roman" w:hAnsi="Times New Roman"/>
      <w:sz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667C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7C8D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667C8D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667C8D"/>
    <w:rPr>
      <w:rFonts w:ascii="Times New Roman" w:eastAsia="Times New Roman" w:hAnsi="Times New Roman"/>
      <w:color w:val="FF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C5011"/>
    <w:rPr>
      <w:rFonts w:ascii="Segoe UI" w:hAnsi="Segoe UI" w:cs="Segoe UI"/>
      <w:sz w:val="18"/>
      <w:szCs w:val="18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2F7A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2F7A42"/>
    <w:rPr>
      <w:lang w:eastAsia="en-US"/>
    </w:rPr>
  </w:style>
  <w:style w:type="paragraph" w:customStyle="1" w:styleId="texto2">
    <w:name w:val="texto2"/>
    <w:basedOn w:val="Normal"/>
    <w:rsid w:val="002F7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2F7A42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3A6E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6E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A6EE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6EE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A6EE2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1C4A11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315D98"/>
    <w:rPr>
      <w:color w:val="0000FF"/>
      <w:u w:val="single"/>
    </w:rPr>
  </w:style>
  <w:style w:type="table" w:styleId="Tabelacomgrade">
    <w:name w:val="Table Grid"/>
    <w:basedOn w:val="Tabelanormal"/>
    <w:rsid w:val="00350285"/>
    <w:rPr>
      <w:rFonts w:ascii="Times New Roman" w:eastAsia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shd w:val="clear" w:color="auto" w:fill="0000FF"/>
      </w:tcPr>
    </w:tblStylePr>
  </w:style>
  <w:style w:type="character" w:styleId="MenoPendente">
    <w:name w:val="Unresolved Mention"/>
    <w:uiPriority w:val="99"/>
    <w:semiHidden/>
    <w:unhideWhenUsed/>
    <w:rsid w:val="00350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1/12/pdf/00362432.pdf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ce.pr.gov.br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1.tce.pr.gov.br/conteudo/instrucao-de-servico-n-27-de-3-de-outubro-de-2011/1294/area/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62-de-15-de-dezembro-de-2011/237411/area/10" TargetMode="External"/><Relationship Id="rId14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27-de-3-de-outubro-de-2011/1294/area/10" TargetMode="External"/><Relationship Id="rId2" Type="http://schemas.openxmlformats.org/officeDocument/2006/relationships/hyperlink" Target="http://www1.tce.pr.gov.br/conteudo/instrucao-normativa-n-62-de-15-de-dezembro-de-2011/237411/area/10" TargetMode="External"/><Relationship Id="rId1" Type="http://schemas.openxmlformats.org/officeDocument/2006/relationships/hyperlink" Target="https://www1.tce.pr.gov.br/multimidia/2021/12/pdf/0036243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E209-6EA0-4FD7-98FB-1C44AE6E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3291</Words>
  <Characters>17776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12</cp:revision>
  <dcterms:created xsi:type="dcterms:W3CDTF">2022-06-28T18:49:00Z</dcterms:created>
  <dcterms:modified xsi:type="dcterms:W3CDTF">2022-07-12T23:24:00Z</dcterms:modified>
</cp:coreProperties>
</file>