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5DD0" w14:textId="5F6C900A" w:rsidR="008C7C75" w:rsidRDefault="008C7C75" w:rsidP="008C7C75">
      <w:pPr>
        <w:spacing w:after="160" w:line="254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NORMATIVA Nº 179/2023</w:t>
      </w:r>
      <w:r w:rsidR="00DA2D38" w:rsidRPr="00DA2D38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14:paraId="6E46C3AF" w14:textId="77777777" w:rsidR="008C7C75" w:rsidRDefault="008C7C75" w:rsidP="008C7C75">
      <w:pPr>
        <w:spacing w:before="120" w:after="360" w:line="240" w:lineRule="auto"/>
        <w:ind w:left="4536" w:firstLine="0"/>
        <w:rPr>
          <w:rFonts w:ascii="Arial" w:hAnsi="Arial" w:cs="Arial"/>
          <w:bCs/>
          <w:i/>
          <w:szCs w:val="24"/>
        </w:rPr>
      </w:pPr>
    </w:p>
    <w:p w14:paraId="2BCE0996" w14:textId="77777777" w:rsidR="008C7C75" w:rsidRDefault="008C7C75" w:rsidP="008C7C75">
      <w:pPr>
        <w:spacing w:before="120" w:after="360" w:line="240" w:lineRule="auto"/>
        <w:ind w:left="4536" w:firstLine="0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 xml:space="preserve">Dispõe sobre o encaminhamento e estabelece o escopo de análise da Prestação de Contas do Chefe do Poder Executivo Estadual, relativa ao exercício de 2022, nos termos dos </w:t>
      </w:r>
      <w:proofErr w:type="spellStart"/>
      <w:r>
        <w:rPr>
          <w:rFonts w:ascii="Arial" w:hAnsi="Arial" w:cs="Arial"/>
          <w:bCs/>
          <w:i/>
          <w:szCs w:val="24"/>
        </w:rPr>
        <w:t>arts</w:t>
      </w:r>
      <w:proofErr w:type="spellEnd"/>
      <w:r>
        <w:rPr>
          <w:rFonts w:ascii="Arial" w:hAnsi="Arial" w:cs="Arial"/>
          <w:bCs/>
          <w:i/>
          <w:szCs w:val="24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>
          <w:rPr>
            <w:rFonts w:ascii="Arial" w:hAnsi="Arial" w:cs="Arial"/>
            <w:bCs/>
            <w:i/>
            <w:szCs w:val="24"/>
          </w:rPr>
          <w:t>211 a</w:t>
        </w:r>
      </w:smartTag>
      <w:r>
        <w:rPr>
          <w:rFonts w:ascii="Arial" w:hAnsi="Arial" w:cs="Arial"/>
          <w:bCs/>
          <w:i/>
          <w:szCs w:val="24"/>
        </w:rPr>
        <w:t xml:space="preserve"> 214 do Regimento Interno do Tribunal de Contas, e dá outras providências.</w:t>
      </w:r>
    </w:p>
    <w:p w14:paraId="1A528075" w14:textId="77777777" w:rsidR="008C7C75" w:rsidRDefault="008C7C75" w:rsidP="008C7C75">
      <w:pPr>
        <w:spacing w:before="240" w:line="240" w:lineRule="auto"/>
        <w:ind w:firstLine="1134"/>
        <w:rPr>
          <w:rFonts w:ascii="Arial" w:hAnsi="Arial" w:cs="Arial"/>
          <w:b/>
          <w:szCs w:val="24"/>
        </w:rPr>
      </w:pPr>
    </w:p>
    <w:p w14:paraId="6A16CE7C" w14:textId="77777777" w:rsidR="008C7C75" w:rsidRPr="0034380A" w:rsidRDefault="008C7C75" w:rsidP="008C7C75">
      <w:pPr>
        <w:spacing w:before="24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O TRIBUNAL DE CONTAS DO ESTADO DO PARANÁ</w:t>
      </w:r>
      <w:r w:rsidRPr="0034380A">
        <w:rPr>
          <w:rFonts w:ascii="Arial" w:hAnsi="Arial" w:cs="Arial"/>
          <w:szCs w:val="24"/>
        </w:rPr>
        <w:t xml:space="preserve">, no uso das atribuições contidas no art. 2º, I, da Lei Complementar nº 113, de 15 de dezembro de 2005, e no art. 5º, XIII, do Regimento Interno, com base no art. 214, c/c os </w:t>
      </w:r>
      <w:proofErr w:type="spellStart"/>
      <w:r w:rsidRPr="0034380A">
        <w:rPr>
          <w:rFonts w:ascii="Arial" w:hAnsi="Arial" w:cs="Arial"/>
          <w:szCs w:val="24"/>
        </w:rPr>
        <w:t>arts</w:t>
      </w:r>
      <w:proofErr w:type="spellEnd"/>
      <w:r w:rsidRPr="0034380A">
        <w:rPr>
          <w:rFonts w:ascii="Arial" w:hAnsi="Arial" w:cs="Arial"/>
          <w:szCs w:val="24"/>
        </w:rPr>
        <w:t xml:space="preserve">. 193 a 196, também do Regimento Interno, e considerando o Acórdão nº </w:t>
      </w:r>
      <w:r>
        <w:rPr>
          <w:rFonts w:ascii="Arial" w:hAnsi="Arial" w:cs="Arial"/>
          <w:szCs w:val="24"/>
        </w:rPr>
        <w:t>192</w:t>
      </w:r>
      <w:r w:rsidRPr="0034380A">
        <w:rPr>
          <w:rFonts w:ascii="Arial" w:hAnsi="Arial" w:cs="Arial"/>
          <w:szCs w:val="24"/>
        </w:rPr>
        <w:t>/2</w:t>
      </w:r>
      <w:r>
        <w:rPr>
          <w:rFonts w:ascii="Arial" w:hAnsi="Arial" w:cs="Arial"/>
          <w:szCs w:val="24"/>
        </w:rPr>
        <w:t>3</w:t>
      </w:r>
      <w:r w:rsidRPr="0034380A">
        <w:rPr>
          <w:rFonts w:ascii="Arial" w:hAnsi="Arial" w:cs="Arial"/>
          <w:szCs w:val="24"/>
        </w:rPr>
        <w:t xml:space="preserve"> - Tribunal Pleno, Processo nº </w:t>
      </w:r>
      <w:r>
        <w:rPr>
          <w:rFonts w:ascii="Arial" w:hAnsi="Arial" w:cs="Arial"/>
          <w:szCs w:val="24"/>
        </w:rPr>
        <w:t>641006</w:t>
      </w:r>
      <w:r w:rsidRPr="0034380A">
        <w:rPr>
          <w:rFonts w:ascii="Arial" w:hAnsi="Arial" w:cs="Arial"/>
          <w:szCs w:val="24"/>
        </w:rPr>
        <w:t>/22,</w:t>
      </w:r>
    </w:p>
    <w:p w14:paraId="07FC5DEA" w14:textId="77777777" w:rsidR="008C7C75" w:rsidRPr="0034380A" w:rsidRDefault="008C7C75" w:rsidP="008C7C7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Cs w:val="24"/>
        </w:rPr>
      </w:pPr>
      <w:r w:rsidRPr="0034380A">
        <w:rPr>
          <w:rFonts w:ascii="Arial" w:hAnsi="Arial" w:cs="Arial"/>
          <w:b/>
          <w:bCs/>
          <w:szCs w:val="24"/>
        </w:rPr>
        <w:t>RESOLVE:</w:t>
      </w:r>
    </w:p>
    <w:p w14:paraId="77AB9EF0" w14:textId="77777777" w:rsidR="008C7C75" w:rsidRPr="0034380A" w:rsidRDefault="008C7C75" w:rsidP="008C7C7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Art. 1º</w:t>
      </w:r>
      <w:r w:rsidRPr="00C76C22">
        <w:rPr>
          <w:rFonts w:ascii="Arial" w:hAnsi="Arial" w:cs="Arial"/>
          <w:bCs/>
          <w:szCs w:val="24"/>
        </w:rPr>
        <w:t xml:space="preserve"> </w:t>
      </w:r>
      <w:r w:rsidRPr="0034380A">
        <w:rPr>
          <w:rFonts w:ascii="Arial" w:hAnsi="Arial" w:cs="Arial"/>
          <w:szCs w:val="24"/>
        </w:rPr>
        <w:t>As normas desta Instrução aplicam-se ao Chefe do Poder Executivo Estadual, no que tange à composição e escopo de análise da Prestação de Contas Anual do Governo do Estado do Paraná, a ser encaminhada à Assembleia Legislativa, nos termos do artigo 87, XI, da Constituição Estadual.</w:t>
      </w:r>
    </w:p>
    <w:p w14:paraId="0DFD6197" w14:textId="77777777" w:rsidR="008C7C75" w:rsidRPr="0034380A" w:rsidRDefault="008C7C75" w:rsidP="008C7C7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Art. 2º</w:t>
      </w:r>
      <w:r w:rsidRPr="00C76C22">
        <w:rPr>
          <w:rFonts w:ascii="Arial" w:hAnsi="Arial" w:cs="Arial"/>
          <w:bCs/>
          <w:szCs w:val="24"/>
        </w:rPr>
        <w:t xml:space="preserve"> </w:t>
      </w:r>
      <w:r w:rsidRPr="0034380A">
        <w:rPr>
          <w:rFonts w:ascii="Arial" w:hAnsi="Arial" w:cs="Arial"/>
          <w:szCs w:val="24"/>
        </w:rPr>
        <w:t>Os documentos integrantes da Prestação de Contas deverão ser encaminhados a este Tribunal nos termos definidos pela Instrução Normativa nº 62/2011, que trata da implantação do peticionamento eletrônico, e pela Instrução de Serviço nº 27/2011, da Presidência deste Tribunal, que dispõe sobre as mídias, o tamanho e o formato dos documentos.</w:t>
      </w:r>
    </w:p>
    <w:p w14:paraId="4C958FD5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i/>
          <w:szCs w:val="24"/>
        </w:rPr>
      </w:pPr>
      <w:r w:rsidRPr="0034380A">
        <w:rPr>
          <w:rFonts w:ascii="Arial" w:hAnsi="Arial" w:cs="Arial"/>
          <w:szCs w:val="24"/>
        </w:rPr>
        <w:t xml:space="preserve">Parágrafo único. As instruções e procedimentos para o peticionamento em meio eletrônico estão disponíveis no </w:t>
      </w:r>
      <w:r w:rsidRPr="0034380A">
        <w:rPr>
          <w:rFonts w:ascii="Arial" w:hAnsi="Arial" w:cs="Arial"/>
          <w:i/>
          <w:szCs w:val="24"/>
        </w:rPr>
        <w:t>site</w:t>
      </w:r>
      <w:r w:rsidRPr="0034380A">
        <w:rPr>
          <w:rFonts w:ascii="Arial" w:hAnsi="Arial" w:cs="Arial"/>
          <w:szCs w:val="24"/>
        </w:rPr>
        <w:t xml:space="preserve"> deste Tribunal (</w:t>
      </w:r>
      <w:hyperlink r:id="rId8" w:history="1">
        <w:r w:rsidRPr="0034380A">
          <w:rPr>
            <w:rStyle w:val="Hyperlink"/>
            <w:rFonts w:ascii="Arial" w:eastAsia="Arial" w:hAnsi="Arial" w:cs="Arial"/>
            <w:szCs w:val="24"/>
          </w:rPr>
          <w:t>www.tce.pr.gov.br</w:t>
        </w:r>
      </w:hyperlink>
      <w:r w:rsidRPr="0034380A">
        <w:rPr>
          <w:rFonts w:ascii="Arial" w:hAnsi="Arial" w:cs="Arial"/>
          <w:szCs w:val="24"/>
        </w:rPr>
        <w:t xml:space="preserve">), no </w:t>
      </w:r>
      <w:r w:rsidRPr="0034380A">
        <w:rPr>
          <w:rFonts w:ascii="Arial" w:hAnsi="Arial" w:cs="Arial"/>
          <w:i/>
          <w:szCs w:val="24"/>
        </w:rPr>
        <w:t>Portal e-Contas Paraná.</w:t>
      </w:r>
    </w:p>
    <w:p w14:paraId="20BBBE24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lastRenderedPageBreak/>
        <w:t>Art. 3º</w:t>
      </w:r>
      <w:r w:rsidRPr="00C76C22">
        <w:rPr>
          <w:rFonts w:ascii="Arial" w:hAnsi="Arial" w:cs="Arial"/>
          <w:bCs/>
          <w:szCs w:val="24"/>
        </w:rPr>
        <w:t xml:space="preserve"> </w:t>
      </w:r>
      <w:r w:rsidRPr="0034380A">
        <w:rPr>
          <w:rFonts w:ascii="Arial" w:hAnsi="Arial" w:cs="Arial"/>
          <w:szCs w:val="24"/>
        </w:rPr>
        <w:t>A Prestação de Contas Anual relativa ao exercício de 2022, do Chefe do Poder Executivo Estadual, constitui-se das informações encaminhadas por meio do sistema SEI-CED e deve, também, conter os seguintes documentos:</w:t>
      </w:r>
    </w:p>
    <w:p w14:paraId="5D7A23CC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I - Ofício de encaminhamento ao Presidente da Assembleia Legislativa;</w:t>
      </w:r>
    </w:p>
    <w:p w14:paraId="31BC3635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1C7854B7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i/>
          <w:szCs w:val="24"/>
        </w:rPr>
        <w:t>a)</w:t>
      </w:r>
      <w:r w:rsidRPr="0034380A">
        <w:rPr>
          <w:rFonts w:ascii="Arial" w:hAnsi="Arial" w:cs="Arial"/>
          <w:szCs w:val="24"/>
        </w:rPr>
        <w:t xml:space="preserve"> Balanço Orçamentário;</w:t>
      </w:r>
    </w:p>
    <w:p w14:paraId="4F56B291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i/>
          <w:szCs w:val="24"/>
        </w:rPr>
        <w:t xml:space="preserve">b) </w:t>
      </w:r>
      <w:r w:rsidRPr="0034380A">
        <w:rPr>
          <w:rFonts w:ascii="Arial" w:hAnsi="Arial" w:cs="Arial"/>
          <w:szCs w:val="24"/>
        </w:rPr>
        <w:t>Balanço Financeiro;</w:t>
      </w:r>
    </w:p>
    <w:p w14:paraId="4C0D4675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i/>
          <w:szCs w:val="24"/>
        </w:rPr>
        <w:t>c)</w:t>
      </w:r>
      <w:r w:rsidRPr="0034380A">
        <w:rPr>
          <w:rFonts w:ascii="Arial" w:hAnsi="Arial" w:cs="Arial"/>
          <w:szCs w:val="24"/>
        </w:rPr>
        <w:t xml:space="preserve"> Balanço Patrimonial;</w:t>
      </w:r>
    </w:p>
    <w:p w14:paraId="3454D1EB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i/>
          <w:szCs w:val="24"/>
        </w:rPr>
        <w:t>d)</w:t>
      </w:r>
      <w:r w:rsidRPr="0034380A">
        <w:rPr>
          <w:rFonts w:ascii="Arial" w:hAnsi="Arial" w:cs="Arial"/>
          <w:szCs w:val="24"/>
        </w:rPr>
        <w:t xml:space="preserve"> Demonstração das Variações Patrimoniais;</w:t>
      </w:r>
    </w:p>
    <w:p w14:paraId="3505EEED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i/>
          <w:szCs w:val="24"/>
        </w:rPr>
        <w:t>e)</w:t>
      </w:r>
      <w:r w:rsidRPr="0034380A">
        <w:rPr>
          <w:rFonts w:ascii="Arial" w:hAnsi="Arial" w:cs="Arial"/>
          <w:szCs w:val="24"/>
        </w:rPr>
        <w:t xml:space="preserve"> Demonstração dos Fluxos de Caixa;</w:t>
      </w:r>
    </w:p>
    <w:p w14:paraId="3FABC9AC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i/>
          <w:szCs w:val="24"/>
        </w:rPr>
        <w:t>f)</w:t>
      </w:r>
      <w:r w:rsidRPr="0034380A">
        <w:rPr>
          <w:rFonts w:ascii="Arial" w:hAnsi="Arial" w:cs="Arial"/>
          <w:szCs w:val="24"/>
        </w:rPr>
        <w:t xml:space="preserve"> Notas Explicativas às DCASP;</w:t>
      </w:r>
    </w:p>
    <w:p w14:paraId="3C64A194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III - Relatório circunstanciado de gestão do exercício, contendo, dentre outras informações:</w:t>
      </w:r>
    </w:p>
    <w:p w14:paraId="7B97794A" w14:textId="77777777" w:rsidR="008C7C75" w:rsidRPr="0034380A" w:rsidRDefault="008C7C75" w:rsidP="008C7C75">
      <w:pPr>
        <w:numPr>
          <w:ilvl w:val="0"/>
          <w:numId w:val="1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napToGrid w:val="0"/>
          <w:color w:val="000000"/>
          <w:szCs w:val="24"/>
        </w:rPr>
      </w:pPr>
      <w:r w:rsidRPr="0034380A">
        <w:rPr>
          <w:rFonts w:ascii="Arial" w:hAnsi="Arial" w:cs="Arial"/>
          <w:szCs w:val="24"/>
        </w:rPr>
        <w:t>demonstrativo quanto ao atendimento dos limites constitucionais, da LRF, da Lei de Diretrizes Orçamentárias e do seu Anexo de Metas Fiscais;</w:t>
      </w:r>
    </w:p>
    <w:p w14:paraId="7D14F381" w14:textId="77777777" w:rsidR="008C7C75" w:rsidRPr="0034380A" w:rsidRDefault="008C7C75" w:rsidP="008C7C75">
      <w:pPr>
        <w:numPr>
          <w:ilvl w:val="0"/>
          <w:numId w:val="1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medidas adotadas para o retorno da despesa total com pessoal ao respectivo limite, se for o caso;</w:t>
      </w:r>
    </w:p>
    <w:p w14:paraId="27CEA429" w14:textId="77777777" w:rsidR="008C7C75" w:rsidRPr="0034380A" w:rsidRDefault="008C7C75" w:rsidP="008C7C75">
      <w:pPr>
        <w:numPr>
          <w:ilvl w:val="0"/>
          <w:numId w:val="1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relatório de acompanhamento e avaliação quanto aos Contratos de Gestão dos Órgãos e Entidades da Administração Pública Estadual;</w:t>
      </w:r>
    </w:p>
    <w:p w14:paraId="3D7C7BF5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IV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6BAC2F48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V - Demonstrativo com as medidas que implicaram em renúncia de receitas, elaborando demonstrativo que evidencie o montante dos benefícios fiscais concedidos no exercício com indicação da legislação pertinente, respectivos impactos orçamentários e financeiros e as respectivas ações adotadas para compensar tais renúncias;</w:t>
      </w:r>
    </w:p>
    <w:p w14:paraId="479ECFB9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VI - Demonstrativo da movimentação da dívida ativa ocorrida no exercício, contendo:</w:t>
      </w:r>
    </w:p>
    <w:p w14:paraId="3293BBB5" w14:textId="77777777" w:rsidR="008C7C75" w:rsidRPr="0034380A" w:rsidRDefault="008C7C75" w:rsidP="008C7C75">
      <w:pPr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quadro das inscrições ocorridas, mês a mês, contendo débitos tributários e não tributários, separadamente, bem como o percentual desse valor que possui garantia;</w:t>
      </w:r>
    </w:p>
    <w:p w14:paraId="6894DDE0" w14:textId="77777777" w:rsidR="008C7C75" w:rsidRPr="0034380A" w:rsidRDefault="008C7C75" w:rsidP="008C7C75">
      <w:pPr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detalhamento das baixas ocorridas, independentemente se por pagamento ou outros motivos (prescrições, anistias, isenções e remissões concedidas, por exemplo), com justificativas esclarecendo as diversas situações ocorridas;</w:t>
      </w:r>
    </w:p>
    <w:p w14:paraId="3210D363" w14:textId="77777777" w:rsidR="008C7C75" w:rsidRPr="0034380A" w:rsidRDefault="008C7C75" w:rsidP="008C7C75">
      <w:pPr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resumo da situação processual das ações de execução e probabilidade de sucesso dessas ações;</w:t>
      </w:r>
    </w:p>
    <w:p w14:paraId="4A8A3DDA" w14:textId="77777777" w:rsidR="008C7C75" w:rsidRPr="0034380A" w:rsidRDefault="008C7C75" w:rsidP="008C7C75">
      <w:pPr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estratégias operacionais da Procuradoria-Geral do Estado para maximizar a recuperação dos créditos;</w:t>
      </w:r>
    </w:p>
    <w:p w14:paraId="3473B993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VII - Relatório gerencial da dívida ativa, por situação de contribuinte, tipo de crédito e situação da exigibilidade, com valores atualizados por contribuinte, tendo como referência dezembro do exercício em análise, conforme Anexo I desta Instrução;</w:t>
      </w:r>
    </w:p>
    <w:p w14:paraId="56A30D06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VIII - Demonstrativo das receitas, desdobradas em metas bimestrais de arrecadação, com a especificação, em separado, das medidas de combate à evasão e à sonegação, com indicação da quantidade e valores de ações ajuizadas para cobrança da dívida ativa, bem como da evolução do montante dos créditos tributários passíveis de cobrança administrativa nos termos do art. 13 da Lei Complementar n° 101/00;</w:t>
      </w:r>
    </w:p>
    <w:p w14:paraId="48378A1A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IX - Demonstrativo da movimentação dos Precatórios ocorrida no exercício, identificando: inscrições, pagamentos, baixas, provisões, compensações, atualização dos requisitórios e saldo final;</w:t>
      </w:r>
    </w:p>
    <w:p w14:paraId="15B9E901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 - Demonstrativo dos valores mensais repassados ao Tribunal de Justiça, no exercício, pela Secretaria de Estado da Fazenda, para pagamento de Precatórios, apresentado, por mês de referência, a base de cálculo da Receita Corrente Líquida; o total a ser transferido, bem como o valor a ser destinado à conta cronológica e à conta acordo direto e a data do depósito;</w:t>
      </w:r>
    </w:p>
    <w:p w14:paraId="182C91E0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XI - Notas explicativas sobre a gestão de precatórios no exercício, em especial, as informações recebidas pelo Tribunal de Justiça e seus respectivos registros, esclarecendo o não esgotamento dos recursos se for o caso, além de demonstrativo de pagamento a credores de precatórios com débitos inscritos em dívida ativa;</w:t>
      </w:r>
    </w:p>
    <w:p w14:paraId="00E4EEEF" w14:textId="77777777" w:rsidR="008C7C75" w:rsidRPr="0034380A" w:rsidRDefault="008C7C75" w:rsidP="008C7C75">
      <w:pPr>
        <w:tabs>
          <w:tab w:val="left" w:pos="72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XII - Plano Anual de pagamento de precatórios com o planejamento para o pagamento dos precatórios em atraso, para quitação do estoque, a ser apresentado anualmente ao Tribunal de Justiça, detalhando além de recursos próprios outros Instrumentos previstos para atender as Emendas Constitucionais acerca do tema, esclarecendo a sua execução durante o exercício;</w:t>
      </w:r>
    </w:p>
    <w:p w14:paraId="69AEEEE9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 xml:space="preserve">XIII - Participação acionária do Estado, em 31 de dezembro do exercício em análise, </w:t>
      </w:r>
      <w:bookmarkStart w:id="0" w:name="_Hlk115342069"/>
      <w:r w:rsidRPr="0034380A">
        <w:rPr>
          <w:rFonts w:ascii="Arial" w:hAnsi="Arial" w:cs="Arial"/>
          <w:szCs w:val="24"/>
        </w:rPr>
        <w:t xml:space="preserve">no Capital Social das </w:t>
      </w:r>
      <w:bookmarkEnd w:id="0"/>
      <w:r w:rsidRPr="0034380A">
        <w:rPr>
          <w:rFonts w:ascii="Arial" w:hAnsi="Arial" w:cs="Arial"/>
          <w:szCs w:val="24"/>
        </w:rPr>
        <w:t>Empresas Públicas e Sociedades de Economia Mista;</w:t>
      </w:r>
    </w:p>
    <w:p w14:paraId="7710414D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XIV - Demonstrativo indicando origem e destino dos recursos provenientes da alienação de ativos, em complementação ao Anexo 15 da Lei nº 4.320/64, atendendo ao disposto no inciso VI do art. 50 da LRF;</w:t>
      </w:r>
    </w:p>
    <w:p w14:paraId="45A6186A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XV - Demonstrativos Orçamentários e Financeiros do FUNDEB, destacando a movimentação dos Recursos e o cumprimento do art. 26 da Lei nº 14.113/20, que exige aplicação de, pelo menos, 70% (setenta por cento) para a remuneração dos profissionais do magistério da educação básica em efetivo exercício na rede pública;</w:t>
      </w:r>
    </w:p>
    <w:p w14:paraId="100374A6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XVI - Parecer do Conselho Estadual de Acompanhamento e Controle Social do Fundo de Manutenção e Desenvolvimento da Educação Básica e de Valorização dos Profissionais da Educação – CASC/FUNDEB;</w:t>
      </w:r>
    </w:p>
    <w:p w14:paraId="6F9ECB7C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XVII - Demonstrativos Contábeis (Balanços Orçamentário, Financeiro e Patrimonial, Demonstração das Variações Patrimoniais e Demonstração do Fluxo de Caixa) e Parecer Atuarial, dos Fundos Previdenciários (Fundo de Previdência, Fundo Financeiro e Fundo Militar);</w:t>
      </w:r>
    </w:p>
    <w:p w14:paraId="39F14351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trike/>
          <w:szCs w:val="24"/>
        </w:rPr>
      </w:pPr>
      <w:r w:rsidRPr="0034380A">
        <w:rPr>
          <w:rFonts w:ascii="Arial" w:hAnsi="Arial" w:cs="Arial"/>
          <w:szCs w:val="24"/>
        </w:rPr>
        <w:t>XVIII - Demonstrativo dos valores repassados pelo Estado aos Fundos Previdenciários no exercício, evidenciando os valores devidos e os efetivamente repassados a título de contribuição dos servidores, contribuição patronal, contribuições suplementares, as insuficiências financeiras repassadas aos Fundos Financeiro e Militar;</w:t>
      </w:r>
    </w:p>
    <w:p w14:paraId="77B04A39" w14:textId="77777777" w:rsidR="008C7C75" w:rsidRPr="0034380A" w:rsidRDefault="008C7C75" w:rsidP="008C7C75">
      <w:pPr>
        <w:tabs>
          <w:tab w:val="left" w:pos="708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XIX - Cópia das atas das audiências públicas realizadas no exercício, em atendimento ao determinado pelo § 4º do art. 9º da Lei Complementar nº 101/00;</w:t>
      </w:r>
    </w:p>
    <w:p w14:paraId="411C57B4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 - Relatório da Controladoria Geral do Estado contendo, dentre outras informações:</w:t>
      </w:r>
    </w:p>
    <w:p w14:paraId="775D7CEA" w14:textId="77777777" w:rsidR="008C7C75" w:rsidRPr="0034380A" w:rsidRDefault="008C7C75" w:rsidP="008C7C75">
      <w:pPr>
        <w:numPr>
          <w:ilvl w:val="0"/>
          <w:numId w:val="3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resultado das ações do Sistema de Controle Interno realizadas no exercício;</w:t>
      </w:r>
    </w:p>
    <w:p w14:paraId="588E05C2" w14:textId="77777777" w:rsidR="008C7C75" w:rsidRPr="0034380A" w:rsidRDefault="008C7C75" w:rsidP="008C7C75">
      <w:pPr>
        <w:numPr>
          <w:ilvl w:val="0"/>
          <w:numId w:val="3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avaliação do cumprimento das metas previstas no Plano Plurianual, da execução dos Programas de Governo e dos Orçamentos de que trata o § 6º do art. 133 da Constituição Estadual;</w:t>
      </w:r>
    </w:p>
    <w:p w14:paraId="5B7FBAEB" w14:textId="77777777" w:rsidR="008C7C75" w:rsidRPr="0034380A" w:rsidRDefault="008C7C75" w:rsidP="008C7C75">
      <w:pPr>
        <w:numPr>
          <w:ilvl w:val="0"/>
          <w:numId w:val="3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4E32A23C" w14:textId="77777777" w:rsidR="008C7C75" w:rsidRPr="0034380A" w:rsidRDefault="008C7C75" w:rsidP="008C7C75">
      <w:pPr>
        <w:numPr>
          <w:ilvl w:val="0"/>
          <w:numId w:val="3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análise das operações de crédito, avais e garantias, bem como dos direitos e haveres do Estado;</w:t>
      </w:r>
    </w:p>
    <w:p w14:paraId="0786C1F9" w14:textId="77777777" w:rsidR="008C7C75" w:rsidRPr="0034380A" w:rsidRDefault="008C7C75" w:rsidP="008C7C75">
      <w:pPr>
        <w:numPr>
          <w:ilvl w:val="0"/>
          <w:numId w:val="3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57CC2FB1" w14:textId="77777777" w:rsidR="008C7C75" w:rsidRPr="0034380A" w:rsidRDefault="008C7C75" w:rsidP="008C7C75">
      <w:pPr>
        <w:numPr>
          <w:ilvl w:val="0"/>
          <w:numId w:val="3"/>
        </w:numPr>
        <w:tabs>
          <w:tab w:val="left" w:pos="708"/>
        </w:tabs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 xml:space="preserve"> as ações desenvolvidas pelas Coordenadorias de Controle Interno, de Ouvidoria, de Corregedoria, de Transparência e Controle Social e de Integridade e Compliance;</w:t>
      </w:r>
    </w:p>
    <w:p w14:paraId="4F4E8905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XXI - Demonstrativo das alterações orçamentárias ocorridas no exercício, detalhando-as por poderes, por artigos, parágrafos, incisos e alíneas, constantes da Lei Orçamentária, a fim de permitir a aferição dos limites previstos;</w:t>
      </w:r>
    </w:p>
    <w:p w14:paraId="12EB57FD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XXII - Relação dos Restos a Pagar inscritos, no exercício, por órgãos da Administração Direta e Indireta do Estado;</w:t>
      </w:r>
    </w:p>
    <w:p w14:paraId="699B5036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XXIII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06611684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XXIV - Certificado de Regularidade Previdenciária - CRP, emitido pelo Ministério da Previdência Social – MPS, com validade atualizada à entrega da prestação de contas;</w:t>
      </w:r>
    </w:p>
    <w:p w14:paraId="55A972D6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XXV - Informações analíticas do cumprimento/concretização do Plano de Governo (valores e diretrizes);</w:t>
      </w:r>
    </w:p>
    <w:p w14:paraId="60A74E03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XXVI - Demonstrativo dos contratos de gestão e seus aditivos, firmados com os Serviços Sociais Autônomos, contendo, no mínimo, a sua vigência, o objeto, as metas e os valores repassados no exercício;</w:t>
      </w:r>
    </w:p>
    <w:p w14:paraId="0D68B3DE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XXVII - Instrumento de planejamento que tratou da programação financeira, e do cronograma de execução mensal de desembolso, em face do exigido no art. 8º, da Lei Complementar n° 101/00;</w:t>
      </w:r>
    </w:p>
    <w:p w14:paraId="04C8F8E9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  <w:highlight w:val="green"/>
        </w:rPr>
      </w:pPr>
      <w:r w:rsidRPr="0034380A">
        <w:rPr>
          <w:rFonts w:ascii="Arial" w:hAnsi="Arial" w:cs="Arial"/>
          <w:szCs w:val="24"/>
        </w:rPr>
        <w:t xml:space="preserve">XXVIII – </w:t>
      </w:r>
      <w:bookmarkStart w:id="1" w:name="_Hlk115342304"/>
      <w:r w:rsidRPr="0034380A">
        <w:rPr>
          <w:rFonts w:ascii="Arial" w:hAnsi="Arial" w:cs="Arial"/>
          <w:szCs w:val="24"/>
        </w:rPr>
        <w:t>Demonstrativo quanto a Propaganda Institucional e a Publicidade Legal indicando a publicação Oficial de relatório de despesas, nos termos do art. 27 da Constituição Estadual;</w:t>
      </w:r>
      <w:bookmarkEnd w:id="1"/>
    </w:p>
    <w:p w14:paraId="2D01AB08" w14:textId="77777777" w:rsidR="008C7C75" w:rsidRPr="0034380A" w:rsidRDefault="008C7C75" w:rsidP="008C7C75">
      <w:pPr>
        <w:tabs>
          <w:tab w:val="num" w:pos="851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 xml:space="preserve">XXIX - Declaração das medidas efetivadas para dar a devida transparência da gestão fiscal, nos termos do exigido no </w:t>
      </w:r>
      <w:r w:rsidRPr="0034380A">
        <w:rPr>
          <w:rFonts w:ascii="Arial" w:hAnsi="Arial" w:cs="Arial"/>
          <w:color w:val="000000"/>
          <w:szCs w:val="24"/>
        </w:rPr>
        <w:t xml:space="preserve">art. 48, § 1°, </w:t>
      </w:r>
      <w:r w:rsidRPr="0034380A">
        <w:rPr>
          <w:rFonts w:ascii="Arial" w:hAnsi="Arial" w:cs="Arial"/>
          <w:szCs w:val="24"/>
        </w:rPr>
        <w:t>da Lei Complementar n° 101/00.</w:t>
      </w:r>
    </w:p>
    <w:p w14:paraId="340B2813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Art. 4º</w:t>
      </w:r>
      <w:r w:rsidRPr="0034380A">
        <w:rPr>
          <w:rFonts w:ascii="Arial" w:hAnsi="Arial" w:cs="Arial"/>
          <w:szCs w:val="24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2B0D3666" w14:textId="77777777" w:rsidR="008C7C75" w:rsidRPr="0034380A" w:rsidRDefault="008C7C75" w:rsidP="008C7C7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 w:rsidRPr="0034380A">
        <w:rPr>
          <w:rFonts w:ascii="Arial" w:hAnsi="Arial" w:cs="Arial"/>
          <w:b/>
          <w:bCs/>
          <w:szCs w:val="24"/>
        </w:rPr>
        <w:t>Art. 5º</w:t>
      </w:r>
      <w:r w:rsidRPr="0034380A">
        <w:rPr>
          <w:rFonts w:ascii="Arial" w:hAnsi="Arial" w:cs="Arial"/>
          <w:bCs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34ECA432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trike/>
          <w:szCs w:val="24"/>
        </w:rPr>
      </w:pPr>
      <w:r w:rsidRPr="0034380A">
        <w:rPr>
          <w:rFonts w:ascii="Arial" w:hAnsi="Arial" w:cs="Arial"/>
          <w:b/>
          <w:szCs w:val="24"/>
        </w:rPr>
        <w:t>Art. 6º</w:t>
      </w:r>
      <w:r w:rsidRPr="0034380A">
        <w:rPr>
          <w:rFonts w:ascii="Arial" w:hAnsi="Arial" w:cs="Arial"/>
          <w:szCs w:val="24"/>
        </w:rPr>
        <w:t xml:space="preserve"> A análise da prestação de contas será realizada conforme escopo definido no Anexo II, o qual possui natureza ordenatória da fiscalização, sem prejuízo de outras irregularidades que venham a ser apontadas no curso do exame. </w:t>
      </w:r>
    </w:p>
    <w:p w14:paraId="7563F464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Parágrafo único. Considera-se escopo de análise o conjunto de apontamentos para ordenação da análise das prestações de contas anuais, a ser efetuada pela Coordenadoria de Gestão Estadual e pela equipe de trabalho de que trata o §5° do art. 211 do Regimento Interno.</w:t>
      </w:r>
    </w:p>
    <w:p w14:paraId="16A3A58E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Art. 7</w:t>
      </w:r>
      <w:r w:rsidRPr="0034380A">
        <w:rPr>
          <w:rFonts w:ascii="Arial" w:hAnsi="Arial" w:cs="Arial"/>
          <w:szCs w:val="24"/>
        </w:rPr>
        <w:t>º A análise das contas do Governador, balizada no escopo de análise,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Interno, além dos apontamentos da equipe de trabalho, incluídos pelo relator na instrução do processo.</w:t>
      </w:r>
    </w:p>
    <w:p w14:paraId="1F12EA91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szCs w:val="24"/>
        </w:rPr>
        <w:t>§ 1º Para os fins do disposto no art. 175-J, VI, do Regimento Interno, a Coordenadoria de Gestão Estadual, na elaboração da instrução processual das contas, consolidará em sua análise os itens de achados e de conclusão dos relatórios anuais emitidos pelas Inspetorias de Controle Externo, quando pertinentes ao escopo de análise das contas do Governador.</w:t>
      </w:r>
    </w:p>
    <w:p w14:paraId="33BD7612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b/>
          <w:szCs w:val="24"/>
        </w:rPr>
      </w:pPr>
      <w:r w:rsidRPr="0034380A">
        <w:rPr>
          <w:rFonts w:ascii="Arial" w:hAnsi="Arial" w:cs="Arial"/>
          <w:szCs w:val="24"/>
        </w:rPr>
        <w:t>§ 2º A emissão do parecer prévio, não implicará na convalidação ou o saneamento de questões nele não abordadas, que poderão ser objeto de fiscalização específica por este Tribunal.</w:t>
      </w:r>
    </w:p>
    <w:p w14:paraId="06676FA0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Art. 8º</w:t>
      </w:r>
      <w:r w:rsidRPr="0034380A">
        <w:rPr>
          <w:rFonts w:ascii="Arial" w:hAnsi="Arial" w:cs="Arial"/>
          <w:szCs w:val="24"/>
        </w:rPr>
        <w:t xml:space="preserve"> As orientações técnicas sobre o contido nesta Instrução Normativa poderão ser obtidas junto à Coordenadoria de Gestão Estadual, acessando o Canal de Comunicação, disponível no </w:t>
      </w:r>
      <w:r w:rsidRPr="0034380A">
        <w:rPr>
          <w:rFonts w:ascii="Arial" w:hAnsi="Arial" w:cs="Arial"/>
          <w:i/>
          <w:szCs w:val="24"/>
        </w:rPr>
        <w:t>site</w:t>
      </w:r>
      <w:r w:rsidRPr="0034380A">
        <w:rPr>
          <w:rFonts w:ascii="Arial" w:hAnsi="Arial" w:cs="Arial"/>
          <w:szCs w:val="24"/>
        </w:rPr>
        <w:t xml:space="preserve"> deste Tribunal (</w:t>
      </w:r>
      <w:hyperlink r:id="rId9" w:history="1">
        <w:r w:rsidRPr="0034380A">
          <w:rPr>
            <w:rStyle w:val="Hyperlink"/>
            <w:rFonts w:ascii="Arial" w:eastAsia="Arial" w:hAnsi="Arial" w:cs="Arial"/>
            <w:szCs w:val="24"/>
          </w:rPr>
          <w:t>www.tce.pr.gov.br</w:t>
        </w:r>
      </w:hyperlink>
      <w:r w:rsidRPr="0034380A">
        <w:rPr>
          <w:rFonts w:ascii="Arial" w:hAnsi="Arial" w:cs="Arial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493213DB" w14:textId="77777777" w:rsidR="008C7C75" w:rsidRPr="0034380A" w:rsidRDefault="008C7C75" w:rsidP="008C7C75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4380A">
        <w:rPr>
          <w:rFonts w:ascii="Arial" w:hAnsi="Arial" w:cs="Arial"/>
          <w:b/>
          <w:szCs w:val="24"/>
        </w:rPr>
        <w:t>Art. 9º</w:t>
      </w:r>
      <w:r w:rsidRPr="0034380A">
        <w:rPr>
          <w:rFonts w:ascii="Arial" w:hAnsi="Arial" w:cs="Arial"/>
          <w:szCs w:val="24"/>
        </w:rPr>
        <w:t xml:space="preserve"> Esta Instrução Normativa entra em vigor na data de sua publicação.</w:t>
      </w:r>
    </w:p>
    <w:p w14:paraId="2130A462" w14:textId="77777777" w:rsidR="008C7C75" w:rsidRDefault="008C7C75" w:rsidP="008C7C75">
      <w:pPr>
        <w:spacing w:before="0" w:after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621F05B0" w14:textId="77777777" w:rsidR="008C7C75" w:rsidRPr="002A2F34" w:rsidRDefault="008C7C75" w:rsidP="008C7C75">
      <w:pPr>
        <w:spacing w:before="0" w:after="0" w:line="240" w:lineRule="auto"/>
        <w:ind w:firstLine="0"/>
        <w:jc w:val="center"/>
        <w:rPr>
          <w:rFonts w:ascii="Arial" w:hAnsi="Arial" w:cs="Arial"/>
          <w:szCs w:val="24"/>
        </w:rPr>
      </w:pPr>
      <w:r w:rsidRPr="002A2F34">
        <w:rPr>
          <w:rFonts w:ascii="Arial" w:hAnsi="Arial" w:cs="Arial"/>
          <w:szCs w:val="24"/>
        </w:rPr>
        <w:t xml:space="preserve">Curitiba, </w:t>
      </w:r>
      <w:r>
        <w:rPr>
          <w:rFonts w:ascii="Arial" w:hAnsi="Arial" w:cs="Arial"/>
          <w:szCs w:val="24"/>
        </w:rPr>
        <w:t>28</w:t>
      </w:r>
      <w:r w:rsidRPr="002A2F34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fevereiro </w:t>
      </w:r>
      <w:r w:rsidRPr="002A2F34">
        <w:rPr>
          <w:rFonts w:ascii="Arial" w:hAnsi="Arial" w:cs="Arial"/>
          <w:szCs w:val="24"/>
        </w:rPr>
        <w:t xml:space="preserve">de </w:t>
      </w:r>
      <w:r>
        <w:rPr>
          <w:rFonts w:ascii="Arial" w:hAnsi="Arial" w:cs="Arial"/>
          <w:szCs w:val="24"/>
        </w:rPr>
        <w:t>2023.</w:t>
      </w:r>
    </w:p>
    <w:p w14:paraId="5B2A12B8" w14:textId="77777777" w:rsidR="008C7C75" w:rsidRPr="002A2F34" w:rsidRDefault="008C7C75" w:rsidP="008C7C75">
      <w:pPr>
        <w:spacing w:before="0" w:after="0" w:line="240" w:lineRule="auto"/>
        <w:ind w:firstLine="0"/>
        <w:jc w:val="center"/>
        <w:rPr>
          <w:szCs w:val="24"/>
        </w:rPr>
      </w:pPr>
    </w:p>
    <w:p w14:paraId="781CF841" w14:textId="77777777" w:rsidR="008C7C75" w:rsidRDefault="008C7C75" w:rsidP="008C7C75">
      <w:pPr>
        <w:pStyle w:val="Recuodecorpodetexto3"/>
        <w:spacing w:before="0" w:after="0" w:line="240" w:lineRule="auto"/>
        <w:ind w:left="0" w:firstLine="0"/>
        <w:jc w:val="center"/>
        <w:rPr>
          <w:rFonts w:ascii="Arial" w:hAnsi="Arial" w:cs="Arial"/>
          <w:color w:val="808080"/>
          <w:sz w:val="24"/>
          <w:szCs w:val="24"/>
        </w:rPr>
      </w:pPr>
    </w:p>
    <w:p w14:paraId="0A6CC689" w14:textId="77777777" w:rsidR="008C7C75" w:rsidRPr="002A2F34" w:rsidRDefault="008C7C75" w:rsidP="008C7C75">
      <w:pPr>
        <w:pStyle w:val="Recuodecorpodetexto3"/>
        <w:spacing w:before="0"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2A2F34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0A091F0F" w14:textId="77777777" w:rsidR="008C7C75" w:rsidRPr="002A2F34" w:rsidRDefault="008C7C75" w:rsidP="008C7C75">
      <w:pPr>
        <w:pStyle w:val="Recuodecorpodetexto3"/>
        <w:spacing w:before="0"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2A2F34">
        <w:rPr>
          <w:rFonts w:ascii="Arial" w:hAnsi="Arial" w:cs="Arial"/>
          <w:color w:val="000000"/>
          <w:sz w:val="24"/>
          <w:szCs w:val="24"/>
        </w:rPr>
        <w:t>Conselheiro FERNANDO AUGUSTO MELLO GUIMARÃES</w:t>
      </w:r>
    </w:p>
    <w:p w14:paraId="1AF93926" w14:textId="77777777" w:rsidR="008C7C75" w:rsidRPr="002A2F34" w:rsidRDefault="008C7C75" w:rsidP="008C7C75">
      <w:pPr>
        <w:tabs>
          <w:tab w:val="left" w:pos="1300"/>
          <w:tab w:val="left" w:pos="3828"/>
        </w:tabs>
        <w:spacing w:before="0" w:after="0" w:line="240" w:lineRule="auto"/>
        <w:ind w:firstLine="0"/>
        <w:jc w:val="center"/>
        <w:rPr>
          <w:rFonts w:ascii="Arial" w:hAnsi="Arial" w:cs="Arial"/>
          <w:color w:val="000000"/>
          <w:szCs w:val="24"/>
        </w:rPr>
      </w:pPr>
      <w:r w:rsidRPr="002A2F34">
        <w:rPr>
          <w:rFonts w:ascii="Arial" w:hAnsi="Arial" w:cs="Arial"/>
          <w:color w:val="000000"/>
          <w:szCs w:val="24"/>
        </w:rPr>
        <w:t>Presidente</w:t>
      </w:r>
    </w:p>
    <w:p w14:paraId="66123135" w14:textId="77777777" w:rsidR="008C7C75" w:rsidRDefault="008C7C75" w:rsidP="008C7C75">
      <w:pPr>
        <w:tabs>
          <w:tab w:val="left" w:pos="3828"/>
        </w:tabs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2A2F34">
        <w:rPr>
          <w:rFonts w:ascii="Arial" w:hAnsi="Arial" w:cs="Arial"/>
          <w:color w:val="000000"/>
          <w:szCs w:val="24"/>
        </w:rPr>
        <w:br w:type="page"/>
      </w:r>
      <w:r>
        <w:rPr>
          <w:rFonts w:ascii="Arial" w:hAnsi="Arial" w:cs="Arial"/>
          <w:b/>
          <w:sz w:val="28"/>
          <w:szCs w:val="28"/>
        </w:rPr>
        <w:t>INSTRUÇÃO NORMATIVA Nº 179/2023</w:t>
      </w:r>
    </w:p>
    <w:p w14:paraId="62F6A641" w14:textId="77777777" w:rsidR="008C7C75" w:rsidRDefault="008C7C75" w:rsidP="008C7C75">
      <w:pPr>
        <w:tabs>
          <w:tab w:val="left" w:pos="3828"/>
        </w:tabs>
        <w:spacing w:before="0" w:after="0" w:line="240" w:lineRule="auto"/>
        <w:ind w:firstLine="0"/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2B54E9F3" w14:textId="77777777" w:rsidR="008C7C75" w:rsidRDefault="008C7C75" w:rsidP="008C7C75">
      <w:pPr>
        <w:shd w:val="pct5" w:color="auto" w:fill="auto"/>
        <w:tabs>
          <w:tab w:val="center" w:pos="3502"/>
        </w:tabs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14:paraId="739FDD0D" w14:textId="77777777" w:rsidR="008C7C75" w:rsidRDefault="008C7C75" w:rsidP="008C7C75">
      <w:pPr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14:paraId="56F02A64" w14:textId="77777777" w:rsidR="008C7C75" w:rsidRDefault="008C7C75" w:rsidP="008C7C75">
      <w:pPr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RESUMO DA DÍVIDA ATIVA</w:t>
      </w:r>
    </w:p>
    <w:p w14:paraId="5697231B" w14:textId="77777777" w:rsidR="008C7C75" w:rsidRDefault="008C7C75" w:rsidP="008C7C75">
      <w:pPr>
        <w:spacing w:line="240" w:lineRule="auto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POSIÇÃO DE 31/12/2022</w:t>
      </w:r>
    </w:p>
    <w:p w14:paraId="7F2AA868" w14:textId="41D81A45" w:rsidR="008C7C75" w:rsidRDefault="008C7C75" w:rsidP="008C7C75">
      <w:pPr>
        <w:tabs>
          <w:tab w:val="left" w:pos="1300"/>
        </w:tabs>
        <w:spacing w:before="0" w:after="0" w:line="240" w:lineRule="auto"/>
        <w:ind w:firstLine="0"/>
        <w:jc w:val="center"/>
      </w:pPr>
      <w:r w:rsidRPr="00D967DC">
        <w:rPr>
          <w:rFonts w:ascii="Arial" w:hAnsi="Arial" w:cs="Arial"/>
          <w:noProof/>
          <w:szCs w:val="24"/>
        </w:rPr>
        <w:drawing>
          <wp:inline distT="0" distB="0" distL="0" distR="0" wp14:anchorId="38954290" wp14:editId="49AE6150">
            <wp:extent cx="3400425" cy="62865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22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4101"/>
      </w:tblGrid>
      <w:tr w:rsidR="008C7C75" w14:paraId="28C990EF" w14:textId="77777777" w:rsidTr="00A1129E">
        <w:trPr>
          <w:trHeight w:val="765"/>
        </w:trPr>
        <w:tc>
          <w:tcPr>
            <w:tcW w:w="35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8BA9AD" w14:textId="77777777" w:rsidR="008C7C75" w:rsidRDefault="008C7C75" w:rsidP="00A1129E">
            <w:pPr>
              <w:tabs>
                <w:tab w:val="center" w:pos="1418"/>
                <w:tab w:val="center" w:pos="4253"/>
                <w:tab w:val="center" w:pos="7088"/>
              </w:tabs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62F90A1E" w14:textId="77777777" w:rsidR="008C7C75" w:rsidRDefault="008C7C75" w:rsidP="00A1129E">
            <w:pPr>
              <w:tabs>
                <w:tab w:val="center" w:pos="1418"/>
                <w:tab w:val="center" w:pos="4253"/>
                <w:tab w:val="center" w:pos="7088"/>
              </w:tabs>
              <w:ind w:firstLine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07060A8D" w14:textId="77777777" w:rsidR="008C7C75" w:rsidRDefault="008C7C75" w:rsidP="00A1129E">
            <w:pPr>
              <w:tabs>
                <w:tab w:val="center" w:pos="1418"/>
                <w:tab w:val="center" w:pos="4253"/>
                <w:tab w:val="center" w:pos="7088"/>
              </w:tabs>
              <w:ind w:firstLine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41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CF7B0C" w14:textId="77777777" w:rsidR="008C7C75" w:rsidRDefault="008C7C75" w:rsidP="00A1129E">
            <w:pPr>
              <w:tabs>
                <w:tab w:val="center" w:pos="1418"/>
                <w:tab w:val="center" w:pos="4253"/>
                <w:tab w:val="center" w:pos="7088"/>
              </w:tabs>
              <w:ind w:right="803"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6BB03B32" w14:textId="77777777" w:rsidR="008C7C75" w:rsidRDefault="008C7C75" w:rsidP="00A1129E">
            <w:pPr>
              <w:tabs>
                <w:tab w:val="center" w:pos="1418"/>
                <w:tab w:val="center" w:pos="4253"/>
                <w:tab w:val="center" w:pos="7088"/>
              </w:tabs>
              <w:ind w:right="-227" w:firstLine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_____________________________________</w:t>
            </w:r>
          </w:p>
          <w:p w14:paraId="62DBE413" w14:textId="77777777" w:rsidR="008C7C75" w:rsidRDefault="008C7C75" w:rsidP="00A1129E">
            <w:pPr>
              <w:tabs>
                <w:tab w:val="center" w:pos="1418"/>
                <w:tab w:val="center" w:pos="4253"/>
                <w:tab w:val="center" w:pos="7088"/>
              </w:tabs>
              <w:ind w:right="803" w:firstLine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57C9E71B" w14:textId="77777777" w:rsidR="008C7C75" w:rsidRDefault="008C7C75" w:rsidP="008C7C75">
      <w:pPr>
        <w:autoSpaceDE/>
        <w:autoSpaceDN/>
        <w:spacing w:before="0" w:after="160" w:line="259" w:lineRule="auto"/>
        <w:ind w:firstLine="0"/>
        <w:jc w:val="left"/>
      </w:pPr>
      <w:r>
        <w:br w:type="page"/>
      </w:r>
    </w:p>
    <w:p w14:paraId="77B3DF2E" w14:textId="77777777" w:rsidR="008C7C75" w:rsidRDefault="008C7C75" w:rsidP="008C7C75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INSTRUÇÃO NORMATIVA Nº 179/2023</w:t>
      </w:r>
    </w:p>
    <w:p w14:paraId="4A85E8E3" w14:textId="77777777" w:rsidR="008C7C75" w:rsidRDefault="008C7C75" w:rsidP="008C7C75">
      <w:pPr>
        <w:ind w:firstLine="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II</w:t>
      </w:r>
    </w:p>
    <w:p w14:paraId="0E442C00" w14:textId="77777777" w:rsidR="008C7C75" w:rsidRDefault="008C7C75" w:rsidP="008C7C75">
      <w:pPr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ESCOPO DE ANÁLISE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241"/>
        <w:gridCol w:w="3351"/>
      </w:tblGrid>
      <w:tr w:rsidR="008C7C75" w14:paraId="69E0E66B" w14:textId="77777777" w:rsidTr="00A1129E">
        <w:trPr>
          <w:cantSplit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58C62D" w14:textId="77777777" w:rsidR="008C7C75" w:rsidRDefault="008C7C75" w:rsidP="00A1129E">
            <w:pPr>
              <w:tabs>
                <w:tab w:val="left" w:pos="387"/>
              </w:tabs>
              <w:ind w:left="-302" w:right="-21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B7A5CF" w14:textId="77777777" w:rsidR="008C7C75" w:rsidRDefault="008C7C75" w:rsidP="00A1129E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Escopo (Apontamentos da Análise)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60BA89" w14:textId="77777777" w:rsidR="008C7C75" w:rsidRDefault="008C7C75" w:rsidP="00A1129E">
            <w:pPr>
              <w:ind w:right="24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</w:t>
            </w:r>
          </w:p>
        </w:tc>
      </w:tr>
      <w:tr w:rsidR="008C7C75" w14:paraId="65EDC3FC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3F4901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49319B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Tempestividade do envio da Prestação de Contas à Assembleia Legislativa.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00BA08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87, XI</w:t>
            </w:r>
          </w:p>
        </w:tc>
      </w:tr>
      <w:tr w:rsidR="008C7C75" w14:paraId="6FD99FC3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D8476C8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CDC780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conteúdo da Prestação de Contas.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6B4242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24, e Regimento Interno, art. 214</w:t>
            </w:r>
          </w:p>
        </w:tc>
      </w:tr>
      <w:tr w:rsidR="008C7C75" w14:paraId="2340D3C6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AD2E81D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1F6624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sistema SEI-CED.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9E6977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24, e Regimento Interno, art. 214</w:t>
            </w:r>
          </w:p>
        </w:tc>
      </w:tr>
      <w:tr w:rsidR="008C7C75" w14:paraId="1E5151EB" w14:textId="77777777" w:rsidTr="00A1129E">
        <w:trPr>
          <w:cantSplit/>
          <w:trHeight w:val="3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90908BB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A0B17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Controle Interno.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C42F24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74, LCE nº 113/2005, art. 5º e Lei Estadual nº 15.524/2007</w:t>
            </w:r>
          </w:p>
        </w:tc>
      </w:tr>
      <w:tr w:rsidR="008C7C75" w14:paraId="538DBC8D" w14:textId="77777777" w:rsidTr="00A1129E">
        <w:trPr>
          <w:cantSplit/>
          <w:trHeight w:val="4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0C0760B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7D5D6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Apontamentos do Relatório do Controle Interno.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746D30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</w:rPr>
              <w:t>4º a 8º, e Lei Estadual nº 15.524/2007</w:t>
            </w:r>
          </w:p>
        </w:tc>
      </w:tr>
      <w:tr w:rsidR="008C7C75" w14:paraId="0F52A12A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F875FA2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76CD81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Alterações orçamentárias com ênfase quanto à abertura de créditos adicionais suplementares e especiais.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A9D4B9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40 a 43</w:t>
            </w:r>
          </w:p>
        </w:tc>
      </w:tr>
      <w:tr w:rsidR="008C7C75" w14:paraId="6A776687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FD87B8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4C9846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Orçamentário.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7AAE23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</w:rPr>
              <w:t>9º e 13</w:t>
            </w:r>
          </w:p>
        </w:tc>
      </w:tr>
      <w:tr w:rsidR="008C7C75" w14:paraId="3E23D42C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1A545E1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766D61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Renúncias de Receita e as devidas medidas de compensação.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4EF543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14</w:t>
            </w:r>
          </w:p>
        </w:tc>
      </w:tr>
      <w:tr w:rsidR="008C7C75" w14:paraId="78FEB23B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F8F64B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188ED0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Orçamentária dos Programas de Governo.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2B879F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4º, “e”, e art. 59, § 1º, V</w:t>
            </w:r>
          </w:p>
        </w:tc>
      </w:tr>
      <w:tr w:rsidR="008C7C75" w14:paraId="6FADE1F3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E08689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A20729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dos Fundos Especiais (ativos/inativos).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F9653E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art. 74</w:t>
            </w:r>
          </w:p>
        </w:tc>
      </w:tr>
      <w:tr w:rsidR="008C7C75" w14:paraId="1B5ADA95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CC20CCD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721979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financeira após a inscrição de Restos a Pagar não Processados.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47FA52" w14:textId="77777777" w:rsidR="008C7C75" w:rsidRDefault="008C7C75" w:rsidP="00A1129E">
            <w:pPr>
              <w:ind w:right="243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55, III</w:t>
            </w:r>
          </w:p>
        </w:tc>
      </w:tr>
      <w:tr w:rsidR="008C7C75" w14:paraId="523AE9EE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78041D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E6AF2C1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EFB68C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</w:tr>
      <w:tr w:rsidR="008C7C75" w14:paraId="6A7809A9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92D3DD5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A9DD36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Arrecadação de créditos inscritos em Dívida Ativa.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98295F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11 e 58, e Lei nº 8.429/1992, art. 10, X</w:t>
            </w:r>
          </w:p>
        </w:tc>
      </w:tr>
      <w:tr w:rsidR="008C7C75" w14:paraId="4CAA68A7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A1784AB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4959A8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contábeis relativos aos precatórios.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014B17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100</w:t>
            </w:r>
          </w:p>
        </w:tc>
      </w:tr>
      <w:tr w:rsidR="008C7C75" w14:paraId="460FC12F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07DAA75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011F66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recursos ao Tribunal de Justiça para pagamento de Precatórios.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1E5E2D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 nº 62/2009, art. 2º, EC nº 99/2017, EC nº 109/2021, EC nº 113/21, e EC nº 114/21</w:t>
            </w:r>
          </w:p>
        </w:tc>
      </w:tr>
      <w:tr w:rsidR="008C7C75" w14:paraId="0FD58AA6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57303EF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6ADC31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8DFAA7" w14:textId="77777777" w:rsidR="008C7C75" w:rsidRDefault="008C7C75" w:rsidP="00A1129E">
            <w:pPr>
              <w:ind w:right="243" w:firstLine="0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LC nº 101/2000, art. 43, Lei nº 9.717/98, Lei nº 9.983/2000 e Lei Estadual nº 17.435/12</w:t>
            </w:r>
          </w:p>
        </w:tc>
      </w:tr>
      <w:tr w:rsidR="008C7C75" w14:paraId="039DC887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E34BBB4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11A11D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patronais para o Regime Próprio de Previdência.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5E9C44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 e Lei Estadual nº 17.435/12</w:t>
            </w:r>
          </w:p>
        </w:tc>
      </w:tr>
      <w:tr w:rsidR="008C7C75" w14:paraId="617E7BF0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722A534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28A4A3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Atuarial.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40FEDF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</w:t>
            </w:r>
          </w:p>
        </w:tc>
      </w:tr>
      <w:tr w:rsidR="008C7C75" w14:paraId="33B9F652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C65989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9C33CB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Aportes para cobertura do déficit atuarial e repasses para cobertura de insuficiências financeiras.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7BE982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69, e Lei Estadual nº 17.435/12</w:t>
            </w:r>
          </w:p>
        </w:tc>
      </w:tr>
      <w:tr w:rsidR="008C7C75" w14:paraId="45FC4B83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02B7651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66C2B1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constitucional de 30% em Manutenção e Desenvolvimento do Ensino.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47BBCB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185</w:t>
            </w:r>
          </w:p>
        </w:tc>
      </w:tr>
      <w:tr w:rsidR="008C7C75" w14:paraId="1667E605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AE9C896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C12730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de 70% dos recursos do FUNDEB na remuneração do magistério.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E0950A8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14.113/20, art. 26</w:t>
            </w:r>
          </w:p>
        </w:tc>
      </w:tr>
      <w:tr w:rsidR="008C7C75" w14:paraId="1E3E2F2C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F00F01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7C7440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Conselho Estadual de Acompanhamento e Controle Social do FUNDEB.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84A1C0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14.113/20, art. 31, parágrafo único</w:t>
            </w:r>
          </w:p>
        </w:tc>
      </w:tr>
      <w:tr w:rsidR="008C7C75" w14:paraId="44075AB0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2A47E87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96EF31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do Parecer do Conselho Estadual de Acompanhamento e Controle Social do FUNDEB.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62DEBA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14.113/20, art. 33</w:t>
            </w:r>
          </w:p>
        </w:tc>
      </w:tr>
      <w:tr w:rsidR="008C7C75" w14:paraId="79C7722C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92EF8F6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A11EC34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12% em Ações e Serviços Públicos de Saúde – ASPS.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9F63E1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8C7C75" w14:paraId="411C19F5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373EE1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825FD8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de despesas com ASPS dentro do Orçamento do FUNSAÚDE.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A3B9CF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8C7C75" w14:paraId="16332704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E1CAB16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DC5816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de despesas com ASPS de acordo com a LC nº 141/2012.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2C2FD1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14</w:t>
            </w:r>
          </w:p>
        </w:tc>
      </w:tr>
      <w:tr w:rsidR="008C7C75" w14:paraId="43C0B8BE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36C7FDF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72696D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da parcela do FUNDEB da base de cálculo para apuração das ASPS.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434527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29</w:t>
            </w:r>
          </w:p>
        </w:tc>
      </w:tr>
      <w:tr w:rsidR="008C7C75" w14:paraId="04560FC8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37C271D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F5786C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2% em Ciência e Tecnologia.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19AEDC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205</w:t>
            </w:r>
          </w:p>
        </w:tc>
      </w:tr>
      <w:tr w:rsidR="008C7C75" w14:paraId="2ECA1E75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4A827A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06DE47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 das Despesas com Pessoal do Poder Executivo.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8A401C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19, II, e 20, II, “c”</w:t>
            </w:r>
          </w:p>
        </w:tc>
      </w:tr>
      <w:tr w:rsidR="008C7C75" w14:paraId="43F211CC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AFF2F65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AC9F4B5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dos Relatórios Resumidos da Execução Orçamentária e de Gestão Fiscal.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BD9461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52 e 55, § 2º</w:t>
            </w:r>
          </w:p>
        </w:tc>
      </w:tr>
      <w:tr w:rsidR="008C7C75" w14:paraId="6B629917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8A1A0AB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9D86A1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retorno ao limite no prazo legal.</w:t>
            </w:r>
          </w:p>
          <w:p w14:paraId="5542A567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D0553A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59, III</w:t>
            </w:r>
          </w:p>
        </w:tc>
      </w:tr>
      <w:tr w:rsidR="008C7C75" w14:paraId="29848F3D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097ED7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7E77B4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redução de 1/3 no prazo legal.</w:t>
            </w:r>
          </w:p>
          <w:p w14:paraId="51C2FD1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737CB9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23</w:t>
            </w:r>
          </w:p>
        </w:tc>
      </w:tr>
      <w:tr w:rsidR="008C7C75" w14:paraId="728678A2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D77DC51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4C025D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Consolidação dos dados das Entidades com contabilidade regida pela Lei nº 6.404/76 e consideradas dependentes nos termos da LRF, na apuração das Despesas com Pessoal do Poder Executivo.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039C0D" w14:textId="77777777" w:rsidR="008C7C75" w:rsidRDefault="008C7C75" w:rsidP="00A1129E">
            <w:pPr>
              <w:ind w:right="243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1º, I, “b”</w:t>
            </w:r>
          </w:p>
        </w:tc>
      </w:tr>
      <w:tr w:rsidR="008C7C75" w14:paraId="0985ED86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BCEDDDB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21EFE7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Dívida Consolidada Líquida.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FD467C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31</w:t>
            </w:r>
          </w:p>
        </w:tc>
      </w:tr>
      <w:tr w:rsidR="008C7C75" w14:paraId="57DA9CCF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1F5E56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6F65D6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Observância do limite definido pelo Senado Federal para Garantia de Valores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9A27120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40</w:t>
            </w:r>
          </w:p>
        </w:tc>
      </w:tr>
      <w:tr w:rsidR="008C7C75" w14:paraId="7FE00D47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8BEA1C7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513917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realização de Operações de Crédito.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081379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32</w:t>
            </w:r>
          </w:p>
        </w:tc>
      </w:tr>
      <w:tr w:rsidR="008C7C75" w14:paraId="1CF897EA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16A549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3C82DD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Legislativo de acordo com o definido na LDO.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756034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133, § 10</w:t>
            </w:r>
          </w:p>
        </w:tc>
      </w:tr>
      <w:tr w:rsidR="008C7C75" w14:paraId="625746D4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7E8AA80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E1B6B6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Judiciário de acordo com o definido na LDO.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2B1F2A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98, § 1º</w:t>
            </w:r>
          </w:p>
        </w:tc>
      </w:tr>
      <w:tr w:rsidR="008C7C75" w14:paraId="7D3CD245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945122D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D7160C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Ministério Público de acordo com o definido na LDO.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75B20F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115</w:t>
            </w:r>
          </w:p>
        </w:tc>
      </w:tr>
      <w:tr w:rsidR="008C7C75" w14:paraId="59F799B1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15BA5B1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F03E4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à Defensoria Pública de acordo com o definido na LDO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914457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134, § 2º</w:t>
            </w:r>
          </w:p>
        </w:tc>
      </w:tr>
      <w:tr w:rsidR="008C7C75" w14:paraId="4F7F0DD6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ACFFE36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580819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Primário.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3BA6EA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8C7C75" w14:paraId="3A0E210E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842B8B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B5F704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Nominal.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D20B73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8C7C75" w14:paraId="2F2A5CF2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B16ED9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A60CC7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das Atas das Audiências Públicas para avaliação das metas fiscais.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2451459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9º, § 4º</w:t>
            </w:r>
          </w:p>
        </w:tc>
      </w:tr>
      <w:tr w:rsidR="008C7C75" w14:paraId="29E70AAB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73C75C1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7E1C5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de Diretrizes Orçamentárias (LDO) no prazo.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1139E6" w14:textId="77777777" w:rsidR="008C7C75" w:rsidRDefault="008C7C75" w:rsidP="00A1129E">
            <w:pPr>
              <w:ind w:right="243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4º e ADCT, art. 35, § 2º, II</w:t>
            </w:r>
          </w:p>
        </w:tc>
      </w:tr>
      <w:tr w:rsidR="008C7C75" w14:paraId="3A731E30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F90FAFE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F9B6F2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Orçamentária Anual (LOA) no prazo.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1EC1F21" w14:textId="77777777" w:rsidR="008C7C75" w:rsidRDefault="008C7C75" w:rsidP="00A1129E">
            <w:pPr>
              <w:ind w:right="243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5º e ADCT, art. 35, § 2º, III</w:t>
            </w:r>
          </w:p>
        </w:tc>
      </w:tr>
      <w:tr w:rsidR="008C7C75" w14:paraId="168CEC2A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D59F22C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AC80EA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da compatibilidade da programação dos orçamentos com os objetivos e metas fiscais.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DA5F76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</w:t>
            </w:r>
          </w:p>
        </w:tc>
      </w:tr>
      <w:tr w:rsidR="008C7C75" w14:paraId="2BCE821F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74CC6DF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763B05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do efeito, sobre as receitas e despesas, decorrente de renúncia fiscal, bem como das medidas de compensação a renúncias de receita e ao aumento de despesas obrigatórias de caráter continuado.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DC2F8C6" w14:textId="77777777" w:rsidR="008C7C75" w:rsidRDefault="008C7C75" w:rsidP="00A1129E">
            <w:pPr>
              <w:ind w:right="243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5º, II</w:t>
            </w:r>
          </w:p>
        </w:tc>
      </w:tr>
      <w:tr w:rsidR="008C7C75" w14:paraId="0AC6F060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C62AFF6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1053BE5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no prazo da programação financeira e do cronograma de execução mensal de desembolso.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D79DA1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8º</w:t>
            </w:r>
          </w:p>
        </w:tc>
      </w:tr>
      <w:tr w:rsidR="008C7C75" w14:paraId="66AFF9EB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D003FE9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A0877D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Desdobramento no prazo, das receitas previstas em metas bimestrais de arrecadação, especificando, quando cabível, as medidas de combate à evasão e à sonegação, a quantidade e valores de ações ajuizadas para cobrança da dívida ativa, bem como a evolução do montante dos créditos tributários passíveis de cobrança administrativa.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7AA8F0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13</w:t>
            </w:r>
          </w:p>
        </w:tc>
      </w:tr>
      <w:tr w:rsidR="008C7C75" w14:paraId="670041E1" w14:textId="77777777" w:rsidTr="00A1129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8139A98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1E741C" w14:textId="77777777" w:rsidR="008C7C75" w:rsidRDefault="008C7C75" w:rsidP="00A1129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da receita derivada da alienação de bens e direitos para o financiamento de despesa corrente, salvo se destinada por lei aos regimes de previdência social.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594D88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44</w:t>
            </w:r>
          </w:p>
        </w:tc>
      </w:tr>
      <w:tr w:rsidR="008C7C75" w14:paraId="1589BC92" w14:textId="77777777" w:rsidTr="00A1129E">
        <w:trPr>
          <w:cantSplit/>
          <w:trHeight w:val="15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FEC4F19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A33D4F" w14:textId="77777777" w:rsidR="008C7C75" w:rsidRDefault="008C7C75" w:rsidP="00A1129E">
            <w:pPr>
              <w:pStyle w:val="texto2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Apresentação de Plano de Governo registrado na Justiça Eleitoral, para fins de controle social, e</w:t>
            </w: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medida do possível, a sua correlação com os programas governamentais.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C73E7A0" w14:textId="77777777" w:rsidR="008C7C75" w:rsidRDefault="008C7C75" w:rsidP="00A1129E">
            <w:pPr>
              <w:ind w:right="24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9.504/97, Resolução ATRICON nº 01/2021</w:t>
            </w:r>
          </w:p>
        </w:tc>
      </w:tr>
      <w:tr w:rsidR="008C7C75" w14:paraId="4FE3AB8B" w14:textId="77777777" w:rsidTr="00A1129E">
        <w:trPr>
          <w:cantSplit/>
          <w:trHeight w:val="15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013DF8A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739B4E" w14:textId="77777777" w:rsidR="008C7C75" w:rsidRDefault="008C7C75" w:rsidP="00A1129E">
            <w:pPr>
              <w:pStyle w:val="texto2"/>
              <w:spacing w:line="254" w:lineRule="auto"/>
              <w:jc w:val="both"/>
              <w:rPr>
                <w:rFonts w:ascii="Arial" w:eastAsia="Calibri" w:hAnsi="Arial" w:cs="Arial"/>
                <w:sz w:val="22"/>
                <w:szCs w:val="28"/>
                <w:lang w:eastAsia="en-US"/>
              </w:rPr>
            </w:pPr>
            <w:r>
              <w:rPr>
                <w:rFonts w:ascii="Arial" w:hAnsi="Arial" w:cs="Arial"/>
                <w:sz w:val="22"/>
                <w:szCs w:val="28"/>
                <w:lang w:eastAsia="en-US"/>
              </w:rPr>
              <w:t>Obrigações de despesa contraídas nos últimos dois quadrimestres do mandato que tenham parcelas a serem pagas no exercício seguinte sem que haja suficiente disponibilidade de caixa.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19E7EF" w14:textId="77777777" w:rsidR="008C7C75" w:rsidRDefault="008C7C75" w:rsidP="00A1129E">
            <w:pPr>
              <w:ind w:right="243" w:firstLine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LC nº 101/2000, art. 42</w:t>
            </w:r>
          </w:p>
        </w:tc>
      </w:tr>
      <w:tr w:rsidR="008C7C75" w14:paraId="77609C2D" w14:textId="77777777" w:rsidTr="00A1129E">
        <w:trPr>
          <w:cantSplit/>
          <w:trHeight w:val="15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C38C6BD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2D394B" w14:textId="77777777" w:rsidR="008C7C75" w:rsidRDefault="008C7C75" w:rsidP="00A1129E">
            <w:pPr>
              <w:pStyle w:val="texto2"/>
              <w:spacing w:line="254" w:lineRule="auto"/>
              <w:jc w:val="both"/>
              <w:rPr>
                <w:rFonts w:ascii="Arial" w:hAnsi="Arial" w:cs="Arial"/>
                <w:sz w:val="22"/>
                <w:szCs w:val="28"/>
                <w:lang w:eastAsia="en-US"/>
              </w:rPr>
            </w:pPr>
            <w:r>
              <w:rPr>
                <w:rFonts w:ascii="Arial" w:hAnsi="Arial" w:cs="Arial"/>
                <w:sz w:val="22"/>
                <w:szCs w:val="28"/>
                <w:lang w:eastAsia="en-US"/>
              </w:rPr>
              <w:t>Despesas com publicidade institucional empenhada, no primeiro semestre do ano de eleição, despesas com publicidade dos órgãos públicos, ou das respectivas entidades da administração indireta, que excedam a 6 (seis) vezes a média mensal dos valores empenhados e não cancelados nos 3 (três) últimos anos que antecedem o pleito.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FBDD2B" w14:textId="77777777" w:rsidR="008C7C75" w:rsidRDefault="008C7C75" w:rsidP="00A1129E">
            <w:pPr>
              <w:ind w:right="243" w:firstLine="0"/>
              <w:rPr>
                <w:rFonts w:ascii="Arial" w:hAnsi="Arial" w:cs="Arial"/>
                <w:szCs w:val="28"/>
              </w:rPr>
            </w:pPr>
            <w:bookmarkStart w:id="2" w:name="_Hlk114831917"/>
            <w:r>
              <w:rPr>
                <w:rFonts w:ascii="Arial" w:hAnsi="Arial" w:cs="Arial"/>
                <w:szCs w:val="28"/>
              </w:rPr>
              <w:t>Art. 73, inciso VII, da Lei nº 9.504/97</w:t>
            </w:r>
            <w:bookmarkEnd w:id="2"/>
          </w:p>
        </w:tc>
      </w:tr>
      <w:tr w:rsidR="008C7C75" w14:paraId="64A60DEE" w14:textId="77777777" w:rsidTr="00A1129E">
        <w:trPr>
          <w:cantSplit/>
          <w:trHeight w:val="15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0545738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EA2D656" w14:textId="77777777" w:rsidR="008C7C75" w:rsidRDefault="008C7C75" w:rsidP="00A1129E">
            <w:pPr>
              <w:pStyle w:val="texto2"/>
              <w:spacing w:line="254" w:lineRule="auto"/>
              <w:jc w:val="both"/>
              <w:rPr>
                <w:rFonts w:ascii="Arial" w:hAnsi="Arial" w:cs="Arial"/>
                <w:sz w:val="22"/>
                <w:szCs w:val="28"/>
                <w:lang w:eastAsia="en-US"/>
              </w:rPr>
            </w:pPr>
            <w:r>
              <w:rPr>
                <w:rFonts w:ascii="Arial" w:hAnsi="Arial" w:cs="Arial"/>
                <w:sz w:val="22"/>
                <w:szCs w:val="28"/>
                <w:lang w:eastAsia="en-US"/>
              </w:rPr>
              <w:t>Despesas com publicidade institucional realizadas nos 3 (três) meses antes das eleições (exceto a publicação legal das normas, regulamentos e editais).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0576A9" w14:textId="77777777" w:rsidR="008C7C75" w:rsidRDefault="008C7C75" w:rsidP="00A1129E">
            <w:pPr>
              <w:ind w:right="243" w:firstLine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Art. 73, inciso VI, “</w:t>
            </w:r>
            <w:r>
              <w:rPr>
                <w:rFonts w:ascii="Arial" w:hAnsi="Arial" w:cs="Arial"/>
                <w:iCs/>
                <w:szCs w:val="28"/>
              </w:rPr>
              <w:t>b”</w:t>
            </w:r>
            <w:r>
              <w:rPr>
                <w:rFonts w:ascii="Arial" w:hAnsi="Arial" w:cs="Arial"/>
                <w:szCs w:val="28"/>
              </w:rPr>
              <w:t>, da Lei nº 9.504/97</w:t>
            </w:r>
          </w:p>
        </w:tc>
      </w:tr>
      <w:tr w:rsidR="008C7C75" w14:paraId="2E86E7F8" w14:textId="77777777" w:rsidTr="00A1129E">
        <w:trPr>
          <w:cantSplit/>
          <w:trHeight w:val="15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17149D0" w14:textId="77777777" w:rsidR="008C7C75" w:rsidRDefault="008C7C75" w:rsidP="00A1129E">
            <w:pPr>
              <w:numPr>
                <w:ilvl w:val="0"/>
                <w:numId w:val="4"/>
              </w:numPr>
              <w:tabs>
                <w:tab w:val="left" w:pos="435"/>
              </w:tabs>
              <w:autoSpaceDE/>
              <w:spacing w:line="240" w:lineRule="auto"/>
              <w:ind w:left="284" w:right="-210" w:firstLine="0"/>
              <w:rPr>
                <w:rFonts w:ascii="Arial" w:hAnsi="Arial" w:cs="Arial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2298F0D" w14:textId="77777777" w:rsidR="008C7C75" w:rsidRDefault="008C7C75" w:rsidP="00A1129E">
            <w:pPr>
              <w:pStyle w:val="texto2"/>
              <w:spacing w:line="254" w:lineRule="auto"/>
              <w:jc w:val="both"/>
              <w:rPr>
                <w:rFonts w:ascii="Arial" w:hAnsi="Arial" w:cs="Arial"/>
                <w:sz w:val="22"/>
                <w:szCs w:val="28"/>
                <w:lang w:eastAsia="en-US"/>
              </w:rPr>
            </w:pPr>
            <w:r>
              <w:rPr>
                <w:rFonts w:ascii="Arial" w:hAnsi="Arial" w:cs="Arial"/>
                <w:sz w:val="22"/>
                <w:szCs w:val="28"/>
                <w:lang w:eastAsia="en-US"/>
              </w:rPr>
              <w:t>Expedir ato que resulte aumento da despesa com pessoal nos 180 (cento e oitenta) dias anteriores ao final do mandato do titular de Poder ou órgão.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619B13" w14:textId="77777777" w:rsidR="008C7C75" w:rsidRDefault="008C7C75" w:rsidP="00A1129E">
            <w:pPr>
              <w:ind w:right="243" w:firstLine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LC nº 101/2000, art. 21, inciso II</w:t>
            </w:r>
          </w:p>
        </w:tc>
      </w:tr>
    </w:tbl>
    <w:p w14:paraId="55F8485B" w14:textId="77777777" w:rsidR="008C7C75" w:rsidRDefault="008C7C75" w:rsidP="008E3F9F">
      <w:pPr>
        <w:tabs>
          <w:tab w:val="left" w:pos="1300"/>
        </w:tabs>
        <w:spacing w:before="120"/>
        <w:ind w:right="-852" w:hanging="142"/>
        <w:jc w:val="center"/>
      </w:pPr>
    </w:p>
    <w:sectPr w:rsidR="008C7C7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978D" w14:textId="77777777" w:rsidR="00FF02C6" w:rsidRDefault="00FF02C6" w:rsidP="00FF02C6">
      <w:pPr>
        <w:spacing w:before="0" w:after="0" w:line="240" w:lineRule="auto"/>
      </w:pPr>
      <w:r>
        <w:separator/>
      </w:r>
    </w:p>
  </w:endnote>
  <w:endnote w:type="continuationSeparator" w:id="0">
    <w:p w14:paraId="0CEA0B1D" w14:textId="77777777" w:rsidR="00FF02C6" w:rsidRDefault="00FF02C6" w:rsidP="00FF02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D359" w14:textId="77777777" w:rsidR="00FF02C6" w:rsidRDefault="00FF02C6" w:rsidP="00FF02C6">
      <w:pPr>
        <w:spacing w:before="0" w:after="0" w:line="240" w:lineRule="auto"/>
      </w:pPr>
      <w:r>
        <w:separator/>
      </w:r>
    </w:p>
  </w:footnote>
  <w:footnote w:type="continuationSeparator" w:id="0">
    <w:p w14:paraId="5D1663B7" w14:textId="77777777" w:rsidR="00FF02C6" w:rsidRDefault="00FF02C6" w:rsidP="00FF02C6">
      <w:pPr>
        <w:spacing w:before="0" w:after="0" w:line="240" w:lineRule="auto"/>
      </w:pPr>
      <w:r>
        <w:continuationSeparator/>
      </w:r>
    </w:p>
  </w:footnote>
  <w:footnote w:id="1">
    <w:p w14:paraId="10BCE521" w14:textId="2C8B2122" w:rsidR="00C76C22" w:rsidRPr="00C76C22" w:rsidRDefault="00DA2D38" w:rsidP="00C76C22">
      <w:pPr>
        <w:pStyle w:val="Textodenotaderodap"/>
        <w:ind w:firstLine="284"/>
        <w:rPr>
          <w:rFonts w:ascii="Arial" w:hAnsi="Arial" w:cs="Arial"/>
        </w:rPr>
      </w:pPr>
      <w:r w:rsidRPr="00C76C22">
        <w:rPr>
          <w:rStyle w:val="Refdenotaderodap"/>
          <w:rFonts w:ascii="Arial" w:hAnsi="Arial" w:cs="Arial"/>
          <w:b/>
          <w:bCs/>
        </w:rPr>
        <w:sym w:font="Symbol" w:char="F02A"/>
      </w:r>
      <w:r w:rsidR="00C76C22" w:rsidRPr="00C76C22">
        <w:rPr>
          <w:rFonts w:ascii="Arial" w:hAnsi="Arial" w:cs="Arial"/>
          <w:b/>
        </w:rPr>
        <w:t>Notas da Biblioteca:</w:t>
      </w:r>
    </w:p>
    <w:p w14:paraId="39AEE680" w14:textId="77777777" w:rsidR="00C76C22" w:rsidRPr="00C76C22" w:rsidRDefault="00C76C22" w:rsidP="00C76C22">
      <w:pPr>
        <w:spacing w:after="0" w:line="240" w:lineRule="auto"/>
        <w:ind w:left="567" w:hanging="283"/>
        <w:jc w:val="left"/>
        <w:rPr>
          <w:rFonts w:ascii="Arial" w:hAnsi="Arial" w:cs="Arial"/>
          <w:sz w:val="20"/>
        </w:rPr>
      </w:pPr>
      <w:r w:rsidRPr="00C76C22">
        <w:rPr>
          <w:rFonts w:ascii="Arial" w:hAnsi="Arial" w:cs="Arial"/>
          <w:sz w:val="20"/>
        </w:rPr>
        <w:t xml:space="preserve">a) Este texto não substitui o publicado no periódico: </w:t>
      </w:r>
      <w:hyperlink r:id="rId1" w:history="1">
        <w:r w:rsidRPr="00C76C22">
          <w:rPr>
            <w:rStyle w:val="Hyperlink"/>
            <w:rFonts w:ascii="Arial" w:hAnsi="Arial" w:cs="Arial"/>
            <w:b/>
            <w:bCs/>
            <w:sz w:val="20"/>
          </w:rPr>
          <w:t xml:space="preserve">Diário Eletrônico do Tribunal de Contas do Estado do Paraná, </w:t>
        </w:r>
        <w:r w:rsidRPr="00C76C22">
          <w:rPr>
            <w:rStyle w:val="Hyperlink"/>
            <w:rFonts w:ascii="Arial" w:hAnsi="Arial" w:cs="Arial"/>
            <w:sz w:val="20"/>
          </w:rPr>
          <w:t>Curitiba, PR, ano 18, n. 2931, 2 mar.. 2023, p. 89-91.</w:t>
        </w:r>
      </w:hyperlink>
    </w:p>
    <w:p w14:paraId="05CD893B" w14:textId="77777777" w:rsidR="00C76C22" w:rsidRPr="00C76C22" w:rsidRDefault="00C76C22" w:rsidP="00C76C22">
      <w:pPr>
        <w:pStyle w:val="Textodenotaderodap"/>
        <w:ind w:left="284" w:firstLine="0"/>
        <w:jc w:val="left"/>
        <w:rPr>
          <w:rFonts w:ascii="Arial" w:hAnsi="Arial" w:cs="Arial"/>
        </w:rPr>
      </w:pPr>
      <w:r w:rsidRPr="00C76C22">
        <w:rPr>
          <w:rFonts w:ascii="Arial" w:hAnsi="Arial" w:cs="Arial"/>
        </w:rPr>
        <w:t xml:space="preserve">b) Origem: Processo n.  641006/22– </w:t>
      </w:r>
      <w:hyperlink r:id="rId2" w:history="1">
        <w:r w:rsidRPr="00C76C22">
          <w:rPr>
            <w:rStyle w:val="Hyperlink"/>
            <w:rFonts w:ascii="Arial" w:hAnsi="Arial" w:cs="Arial"/>
          </w:rPr>
          <w:t>Acórdão n. 192/23 - Tribunal Pleno</w:t>
        </w:r>
      </w:hyperlink>
      <w:r w:rsidRPr="00C76C22">
        <w:rPr>
          <w:rFonts w:ascii="Arial" w:hAnsi="Arial" w:cs="Arial"/>
        </w:rPr>
        <w:t>.</w:t>
      </w:r>
    </w:p>
    <w:p w14:paraId="39164FE9" w14:textId="77777777" w:rsidR="00C76C22" w:rsidRPr="00C76C22" w:rsidRDefault="00C76C22" w:rsidP="00C76C22">
      <w:pPr>
        <w:pStyle w:val="Textodenotaderodap"/>
        <w:ind w:left="360" w:hanging="76"/>
        <w:jc w:val="left"/>
        <w:rPr>
          <w:rStyle w:val="Hyperlink"/>
          <w:rFonts w:ascii="Arial" w:hAnsi="Arial" w:cs="Arial"/>
          <w:color w:val="auto"/>
          <w:u w:val="none"/>
        </w:rPr>
      </w:pPr>
      <w:r w:rsidRPr="00C76C22">
        <w:rPr>
          <w:rStyle w:val="Hyperlink"/>
          <w:rFonts w:ascii="Arial" w:hAnsi="Arial" w:cs="Arial"/>
          <w:b/>
          <w:bCs/>
          <w:color w:val="auto"/>
          <w:u w:val="none"/>
        </w:rPr>
        <w:t>c) Ver também</w:t>
      </w:r>
      <w:r w:rsidRPr="00C76C22">
        <w:rPr>
          <w:rStyle w:val="Hyperlink"/>
          <w:rFonts w:ascii="Arial" w:hAnsi="Arial" w:cs="Arial"/>
          <w:color w:val="auto"/>
          <w:u w:val="none"/>
        </w:rPr>
        <w:t>:</w:t>
      </w:r>
    </w:p>
    <w:p w14:paraId="28046F51" w14:textId="77777777" w:rsidR="00C76C22" w:rsidRPr="00C76C22" w:rsidRDefault="00C76C22" w:rsidP="00C76C22">
      <w:pPr>
        <w:spacing w:after="0" w:line="240" w:lineRule="auto"/>
        <w:ind w:left="567" w:firstLine="0"/>
        <w:jc w:val="left"/>
        <w:rPr>
          <w:rFonts w:ascii="Arial" w:hAnsi="Arial" w:cs="Arial"/>
          <w:sz w:val="20"/>
        </w:rPr>
      </w:pPr>
      <w:hyperlink r:id="rId3" w:history="1">
        <w:r w:rsidRPr="00C76C22">
          <w:rPr>
            <w:rStyle w:val="Hyperlink"/>
            <w:rFonts w:ascii="Arial" w:hAnsi="Arial" w:cs="Arial"/>
            <w:sz w:val="20"/>
          </w:rPr>
          <w:t>Instrução Normativa n. 62, de 15 de dezembro de 2011</w:t>
        </w:r>
      </w:hyperlink>
      <w:r w:rsidRPr="00C76C22">
        <w:rPr>
          <w:rFonts w:ascii="Arial" w:hAnsi="Arial" w:cs="Arial"/>
          <w:sz w:val="20"/>
        </w:rPr>
        <w:t>.</w:t>
      </w:r>
    </w:p>
    <w:p w14:paraId="4D2F4FD1" w14:textId="462B14CE" w:rsidR="00C76C22" w:rsidRPr="00C76C22" w:rsidRDefault="00C76C22" w:rsidP="00C76C22">
      <w:pPr>
        <w:ind w:left="567" w:firstLine="0"/>
        <w:jc w:val="left"/>
        <w:rPr>
          <w:rFonts w:ascii="Arial" w:hAnsi="Arial" w:cs="Arial"/>
          <w:sz w:val="20"/>
        </w:rPr>
      </w:pPr>
      <w:hyperlink r:id="rId4" w:history="1">
        <w:r w:rsidRPr="00C76C22">
          <w:rPr>
            <w:rStyle w:val="Hyperlink"/>
            <w:rFonts w:ascii="Arial" w:hAnsi="Arial" w:cs="Arial"/>
            <w:sz w:val="20"/>
          </w:rPr>
          <w:t>Instrução de Serviço n. 27, de 3 de outubro de 2011</w:t>
        </w:r>
      </w:hyperlink>
      <w:r>
        <w:rPr>
          <w:rStyle w:val="Hyperlink"/>
          <w:rFonts w:ascii="Arial" w:hAnsi="Arial" w:cs="Arial"/>
          <w:sz w:val="20"/>
        </w:rPr>
        <w:t>.</w:t>
      </w:r>
    </w:p>
    <w:p w14:paraId="62DEB2D6" w14:textId="2B15D327" w:rsidR="00DA2D38" w:rsidRPr="00DA2D38" w:rsidRDefault="00DA2D38" w:rsidP="00DA2D38">
      <w:pPr>
        <w:pStyle w:val="Textodenotaderodap"/>
        <w:ind w:firstLine="1134"/>
        <w:rPr>
          <w:rFonts w:ascii="Arial" w:hAnsi="Arial" w:cs="Arial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785F" w14:textId="38FA3CE9" w:rsidR="0034380A" w:rsidRDefault="008C7C75" w:rsidP="0034380A">
    <w:pPr>
      <w:tabs>
        <w:tab w:val="center" w:pos="4252"/>
        <w:tab w:val="right" w:pos="8504"/>
      </w:tabs>
      <w:autoSpaceDE/>
      <w:spacing w:before="0" w:after="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2F421" wp14:editId="1D8601A8">
          <wp:simplePos x="0" y="0"/>
          <wp:positionH relativeFrom="margin">
            <wp:align>left</wp:align>
          </wp:positionH>
          <wp:positionV relativeFrom="paragraph">
            <wp:posOffset>-266065</wp:posOffset>
          </wp:positionV>
          <wp:extent cx="605790" cy="712470"/>
          <wp:effectExtent l="0" t="0" r="3810" b="0"/>
          <wp:wrapSquare wrapText="bothSides"/>
          <wp:docPr id="6" name="Imagem 6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F9F">
      <w:rPr>
        <w:rFonts w:ascii="Arial" w:hAnsi="Arial" w:cs="Arial"/>
        <w:b/>
        <w:sz w:val="30"/>
        <w:szCs w:val="30"/>
      </w:rPr>
      <w:t>TRIBUNAL DE CONTAS DO ESTADO DO PARANÁ</w:t>
    </w:r>
  </w:p>
  <w:p w14:paraId="26E29AF2" w14:textId="77777777" w:rsidR="0034380A" w:rsidRDefault="008E3F9F" w:rsidP="0034380A">
    <w:pPr>
      <w:pBdr>
        <w:bottom w:val="single" w:sz="4" w:space="1" w:color="auto"/>
      </w:pBdr>
      <w:tabs>
        <w:tab w:val="center" w:pos="4252"/>
        <w:tab w:val="right" w:pos="8504"/>
      </w:tabs>
      <w:autoSpaceDE/>
      <w:spacing w:before="0" w:after="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</w:p>
  <w:p w14:paraId="5E5F05DC" w14:textId="77777777" w:rsidR="0034380A" w:rsidRDefault="008E3F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CD"/>
    <w:multiLevelType w:val="hybridMultilevel"/>
    <w:tmpl w:val="DCE4A692"/>
    <w:lvl w:ilvl="0" w:tplc="976C8396">
      <w:start w:val="1"/>
      <w:numFmt w:val="lowerLetter"/>
      <w:lvlText w:val="%1)"/>
      <w:lvlJc w:val="left"/>
      <w:pPr>
        <w:ind w:left="1440" w:hanging="1440"/>
      </w:pPr>
      <w:rPr>
        <w:i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2265B3"/>
    <w:multiLevelType w:val="hybridMultilevel"/>
    <w:tmpl w:val="752C8FE4"/>
    <w:lvl w:ilvl="0" w:tplc="C308A822">
      <w:start w:val="1"/>
      <w:numFmt w:val="lowerLetter"/>
      <w:lvlText w:val="%1)"/>
      <w:lvlJc w:val="left"/>
      <w:pPr>
        <w:ind w:left="2574" w:hanging="1440"/>
      </w:pPr>
      <w:rPr>
        <w:i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4D7449"/>
    <w:multiLevelType w:val="hybridMultilevel"/>
    <w:tmpl w:val="DCE4A692"/>
    <w:lvl w:ilvl="0" w:tplc="976C8396">
      <w:start w:val="1"/>
      <w:numFmt w:val="lowerLetter"/>
      <w:lvlText w:val="%1)"/>
      <w:lvlJc w:val="left"/>
      <w:pPr>
        <w:ind w:left="3000" w:hanging="1440"/>
      </w:pPr>
      <w:rPr>
        <w:i/>
        <w:color w:val="auto"/>
      </w:r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9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807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437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7674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75"/>
    <w:rsid w:val="000A2D8F"/>
    <w:rsid w:val="001C5989"/>
    <w:rsid w:val="008C7C75"/>
    <w:rsid w:val="008E3F9F"/>
    <w:rsid w:val="0091163D"/>
    <w:rsid w:val="00C529DC"/>
    <w:rsid w:val="00C76C22"/>
    <w:rsid w:val="00CB1B4B"/>
    <w:rsid w:val="00DA2D38"/>
    <w:rsid w:val="00F05FDA"/>
    <w:rsid w:val="00FF02C6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45E698"/>
  <w15:chartTrackingRefBased/>
  <w15:docId w15:val="{EE350440-2582-4EC5-9262-D01A280F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75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C7C7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7C7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C7C7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2">
    <w:name w:val="texto2"/>
    <w:basedOn w:val="Normal"/>
    <w:rsid w:val="008C7C75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7C7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C7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qFormat/>
    <w:rsid w:val="00FF02C6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F02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F02C6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1C598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98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23/2/pdf/00372206.pdf" TargetMode="External"/><Relationship Id="rId1" Type="http://schemas.openxmlformats.org/officeDocument/2006/relationships/hyperlink" Target="https://www1.tce.pr.gov.br/conteudo/diario-eletronico-2931-2023-de-2-de-marco-de-2023/346374/area/10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94A4-4902-44F4-B3AF-BA9D2799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3311</Words>
  <Characters>17884</Characters>
  <Application>Microsoft Office Word</Application>
  <DocSecurity>0</DocSecurity>
  <Lines>149</Lines>
  <Paragraphs>42</Paragraphs>
  <ScaleCrop>false</ScaleCrop>
  <Company/>
  <LinksUpToDate>false</LinksUpToDate>
  <CharactersWithSpaces>21153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Soria Garcia</dc:creator>
  <cp:keywords/>
  <dc:description/>
  <cp:lastModifiedBy>Alice Soria Garcia</cp:lastModifiedBy>
  <cp:revision>12</cp:revision>
  <dcterms:created xsi:type="dcterms:W3CDTF">2023-03-03T14:36:00Z</dcterms:created>
  <dcterms:modified xsi:type="dcterms:W3CDTF">2023-03-03T14:53:00Z</dcterms:modified>
</cp:coreProperties>
</file>