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3A03" w14:textId="27E02CF1" w:rsidR="00C4094A" w:rsidRDefault="00C4094A" w:rsidP="00C4094A">
      <w:pPr>
        <w:pStyle w:val="CabealhodoSumrio"/>
        <w:spacing w:after="24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INSTRUÇÃO NORMATIVA</w:t>
      </w:r>
      <w:r w:rsidR="00AB2D8D">
        <w:rPr>
          <w:rFonts w:ascii="Arial" w:hAnsi="Arial" w:cs="Arial"/>
          <w:b/>
          <w:bCs/>
          <w:color w:val="auto"/>
          <w:sz w:val="28"/>
          <w:szCs w:val="28"/>
        </w:rPr>
        <w:t xml:space="preserve"> Nº 162</w:t>
      </w:r>
      <w:r w:rsidR="00E362AC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AB2D8D">
        <w:rPr>
          <w:rFonts w:ascii="Arial" w:hAnsi="Arial" w:cs="Arial"/>
          <w:b/>
          <w:bCs/>
          <w:color w:val="auto"/>
          <w:sz w:val="28"/>
          <w:szCs w:val="28"/>
        </w:rPr>
        <w:t>2021</w:t>
      </w:r>
      <w:r w:rsidR="006402E9" w:rsidRPr="006402E9">
        <w:rPr>
          <w:rStyle w:val="Refdenotaderodap"/>
          <w:rFonts w:ascii="Arial" w:hAnsi="Arial" w:cs="Arial"/>
          <w:b/>
          <w:bCs/>
          <w:color w:val="auto"/>
          <w:sz w:val="28"/>
          <w:szCs w:val="28"/>
        </w:rPr>
        <w:footnoteReference w:customMarkFollows="1" w:id="1"/>
        <w:sym w:font="Symbol" w:char="F02A"/>
      </w:r>
    </w:p>
    <w:p w14:paraId="0A4C4DC6" w14:textId="5C689F87" w:rsidR="00C4094A" w:rsidRPr="003C56CA" w:rsidRDefault="00C4094A" w:rsidP="00AB2D8D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3C56CA">
        <w:rPr>
          <w:rFonts w:cs="Arial"/>
          <w:i/>
          <w:szCs w:val="22"/>
        </w:rPr>
        <w:t xml:space="preserve">Revoga a </w:t>
      </w:r>
      <w:hyperlink r:id="rId11" w:history="1">
        <w:r w:rsidRPr="0028649E">
          <w:rPr>
            <w:rStyle w:val="Hyperlink"/>
            <w:rFonts w:cs="Arial"/>
            <w:i/>
            <w:sz w:val="22"/>
            <w:szCs w:val="22"/>
          </w:rPr>
          <w:t>Instrução Normativa nº 72/2012</w:t>
        </w:r>
      </w:hyperlink>
      <w:r w:rsidRPr="003C56CA">
        <w:rPr>
          <w:rFonts w:cs="Arial"/>
          <w:i/>
          <w:szCs w:val="22"/>
        </w:rPr>
        <w:t>.</w:t>
      </w:r>
    </w:p>
    <w:p w14:paraId="2C505FC0" w14:textId="60F9E37A" w:rsidR="00077248" w:rsidRPr="002235DE" w:rsidRDefault="00077248" w:rsidP="00EC29DB">
      <w:pPr>
        <w:pStyle w:val="Texto"/>
        <w:ind w:firstLine="1134"/>
        <w:rPr>
          <w:rFonts w:cs="Arial"/>
          <w:sz w:val="24"/>
        </w:rPr>
      </w:pPr>
      <w:r w:rsidRPr="003C56CA">
        <w:rPr>
          <w:bCs/>
          <w:sz w:val="24"/>
        </w:rPr>
        <w:t>O</w:t>
      </w:r>
      <w:r>
        <w:rPr>
          <w:b/>
          <w:sz w:val="24"/>
        </w:rPr>
        <w:t xml:space="preserve"> </w:t>
      </w:r>
      <w:r w:rsidRPr="002235DE">
        <w:rPr>
          <w:b/>
          <w:sz w:val="24"/>
        </w:rPr>
        <w:t>TRIBUNAL DE CONTAS DO ESTADO DO PARANÁ</w:t>
      </w:r>
      <w:r w:rsidRPr="002235DE">
        <w:rPr>
          <w:sz w:val="24"/>
        </w:rPr>
        <w:t xml:space="preserve">, </w:t>
      </w:r>
      <w:r w:rsidRPr="00DC599A">
        <w:rPr>
          <w:rFonts w:cs="Arial"/>
          <w:bCs/>
          <w:sz w:val="24"/>
        </w:rPr>
        <w:t xml:space="preserve">no uso das </w:t>
      </w:r>
      <w:r w:rsidRPr="004E0A34">
        <w:rPr>
          <w:rFonts w:cs="Arial"/>
          <w:bCs/>
          <w:sz w:val="24"/>
        </w:rPr>
        <w:t xml:space="preserve">atribuições contidas no art. 2º, I, da Lei Complementar Estadual nº 113, de 15 de dezembro de 2005, e com base nos </w:t>
      </w:r>
      <w:proofErr w:type="spellStart"/>
      <w:r w:rsidRPr="004E0A34">
        <w:rPr>
          <w:rFonts w:cs="Arial"/>
          <w:bCs/>
          <w:sz w:val="24"/>
        </w:rPr>
        <w:t>arts</w:t>
      </w:r>
      <w:proofErr w:type="spellEnd"/>
      <w:r w:rsidRPr="004E0A34">
        <w:rPr>
          <w:rFonts w:cs="Arial"/>
          <w:bCs/>
          <w:sz w:val="24"/>
        </w:rPr>
        <w:t xml:space="preserve">. 151-A, I e V, 193 e 194, do Regimento Interno, </w:t>
      </w:r>
      <w:r w:rsidR="004E0A34" w:rsidRPr="004E0A34">
        <w:rPr>
          <w:rFonts w:cs="Arial"/>
          <w:bCs/>
          <w:sz w:val="24"/>
        </w:rPr>
        <w:t>no item II, “a”, do Acórdão 2</w:t>
      </w:r>
      <w:r w:rsidR="00AB2D8D">
        <w:rPr>
          <w:rFonts w:cs="Arial"/>
          <w:bCs/>
          <w:sz w:val="24"/>
        </w:rPr>
        <w:t>.</w:t>
      </w:r>
      <w:r w:rsidR="004E0A34" w:rsidRPr="004E0A34">
        <w:rPr>
          <w:rFonts w:cs="Arial"/>
          <w:bCs/>
          <w:sz w:val="24"/>
        </w:rPr>
        <w:t xml:space="preserve">045/20-STP, proferido no processo nº 903750/17, no item III do </w:t>
      </w:r>
      <w:hyperlink r:id="rId12" w:history="1">
        <w:r w:rsidR="004E0A34" w:rsidRPr="00D92FFF">
          <w:rPr>
            <w:rStyle w:val="Hyperlink"/>
            <w:rFonts w:cs="Arial"/>
            <w:bCs/>
            <w:sz w:val="24"/>
          </w:rPr>
          <w:t>Acórdão 429/19</w:t>
        </w:r>
        <w:r w:rsidR="00AB2D8D" w:rsidRPr="00D92FFF">
          <w:rPr>
            <w:rStyle w:val="Hyperlink"/>
            <w:rFonts w:cs="Arial"/>
            <w:bCs/>
            <w:sz w:val="24"/>
          </w:rPr>
          <w:t>-STP</w:t>
        </w:r>
      </w:hyperlink>
      <w:r w:rsidR="004E0A34" w:rsidRPr="004E0A34">
        <w:rPr>
          <w:rFonts w:cs="Arial"/>
          <w:bCs/>
          <w:sz w:val="24"/>
        </w:rPr>
        <w:t>, proferido no processo nº 273030/09,</w:t>
      </w:r>
      <w:r w:rsidRPr="004E0A34">
        <w:rPr>
          <w:rFonts w:cs="Arial"/>
          <w:bCs/>
          <w:sz w:val="24"/>
        </w:rPr>
        <w:t xml:space="preserve"> e considerando o </w:t>
      </w:r>
      <w:hyperlink r:id="rId13" w:history="1">
        <w:r w:rsidRPr="00721E1F">
          <w:rPr>
            <w:rStyle w:val="Hyperlink"/>
            <w:rFonts w:cs="Arial"/>
            <w:bCs/>
            <w:sz w:val="24"/>
          </w:rPr>
          <w:t xml:space="preserve">Acórdão nº </w:t>
        </w:r>
        <w:r w:rsidR="00AB2D8D" w:rsidRPr="00721E1F">
          <w:rPr>
            <w:rStyle w:val="Hyperlink"/>
            <w:rFonts w:cs="Arial"/>
            <w:bCs/>
            <w:sz w:val="24"/>
          </w:rPr>
          <w:t>467/21</w:t>
        </w:r>
        <w:r w:rsidRPr="00721E1F">
          <w:rPr>
            <w:rStyle w:val="Hyperlink"/>
            <w:rFonts w:cs="Arial"/>
            <w:bCs/>
            <w:sz w:val="24"/>
          </w:rPr>
          <w:t>-Tribunal Pleno</w:t>
        </w:r>
      </w:hyperlink>
      <w:r w:rsidRPr="004E0A34">
        <w:rPr>
          <w:rFonts w:cs="Arial"/>
          <w:bCs/>
          <w:sz w:val="24"/>
        </w:rPr>
        <w:t xml:space="preserve">, Processo nº </w:t>
      </w:r>
      <w:r w:rsidR="00AB2D8D">
        <w:rPr>
          <w:rFonts w:cs="Arial"/>
          <w:bCs/>
          <w:sz w:val="24"/>
        </w:rPr>
        <w:t>669461/20</w:t>
      </w:r>
      <w:r w:rsidRPr="004E0A34">
        <w:rPr>
          <w:rFonts w:cs="Arial"/>
          <w:bCs/>
          <w:sz w:val="24"/>
        </w:rPr>
        <w:t>,</w:t>
      </w:r>
    </w:p>
    <w:p w14:paraId="227612C8" w14:textId="77777777" w:rsidR="00077248" w:rsidRPr="002235DE" w:rsidRDefault="00077248" w:rsidP="006371FB">
      <w:pPr>
        <w:pStyle w:val="Texto"/>
        <w:spacing w:before="360" w:after="36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  <w:r>
        <w:rPr>
          <w:rFonts w:cs="Arial"/>
          <w:b/>
          <w:bCs/>
          <w:sz w:val="24"/>
        </w:rPr>
        <w:t>:</w:t>
      </w:r>
    </w:p>
    <w:p w14:paraId="26BB47D1" w14:textId="60CC72DF" w:rsidR="00077248" w:rsidRPr="00095C82" w:rsidRDefault="00077248" w:rsidP="00077248">
      <w:pPr>
        <w:pStyle w:val="ArtigosOrdinais"/>
        <w:ind w:firstLine="1134"/>
        <w:rPr>
          <w:rFonts w:eastAsia="Calibri" w:cs="Arial"/>
          <w:color w:val="000000"/>
          <w:sz w:val="24"/>
        </w:rPr>
      </w:pPr>
      <w:r w:rsidRPr="005158BC">
        <w:rPr>
          <w:rFonts w:cs="Arial"/>
          <w:b/>
          <w:sz w:val="24"/>
        </w:rPr>
        <w:t>Art. 1º</w:t>
      </w:r>
      <w:r w:rsidRPr="005158BC">
        <w:rPr>
          <w:rFonts w:cs="Arial"/>
          <w:bCs w:val="0"/>
          <w:sz w:val="24"/>
        </w:rPr>
        <w:t xml:space="preserve"> </w:t>
      </w:r>
      <w:r>
        <w:rPr>
          <w:rFonts w:cs="Arial"/>
          <w:sz w:val="24"/>
        </w:rPr>
        <w:t xml:space="preserve">Fica revogada a </w:t>
      </w:r>
      <w:hyperlink r:id="rId14" w:history="1">
        <w:r w:rsidRPr="00C53FE6">
          <w:rPr>
            <w:rStyle w:val="Hyperlink"/>
            <w:rFonts w:cs="Arial"/>
            <w:sz w:val="24"/>
          </w:rPr>
          <w:t>Instrução Normativa nº 72/2012</w:t>
        </w:r>
      </w:hyperlink>
      <w:r>
        <w:rPr>
          <w:rFonts w:cs="Arial"/>
          <w:sz w:val="24"/>
        </w:rPr>
        <w:t>.</w:t>
      </w:r>
    </w:p>
    <w:p w14:paraId="79BEE980" w14:textId="77777777" w:rsidR="00C4094A" w:rsidRPr="00DC599A" w:rsidRDefault="00077248" w:rsidP="00077248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2º</w:t>
      </w:r>
      <w:r w:rsidRPr="00DC599A">
        <w:rPr>
          <w:rFonts w:cs="Arial"/>
          <w:sz w:val="24"/>
        </w:rPr>
        <w:t xml:space="preserve"> Esta Instrução Normativa entra em vigor na data de sua publicação.</w:t>
      </w:r>
    </w:p>
    <w:p w14:paraId="2C10C5C4" w14:textId="77777777" w:rsidR="00C4094A" w:rsidRDefault="00C4094A" w:rsidP="00AB2D8D">
      <w:pPr>
        <w:pStyle w:val="ArtigosOrdinais"/>
        <w:spacing w:before="360"/>
        <w:jc w:val="center"/>
        <w:rPr>
          <w:sz w:val="24"/>
        </w:rPr>
      </w:pPr>
      <w:r w:rsidRPr="00777043">
        <w:rPr>
          <w:sz w:val="24"/>
        </w:rPr>
        <w:t xml:space="preserve">Curitiba, </w:t>
      </w:r>
      <w:r w:rsidR="00AB2D8D">
        <w:rPr>
          <w:sz w:val="24"/>
        </w:rPr>
        <w:t>11</w:t>
      </w:r>
      <w:r>
        <w:rPr>
          <w:sz w:val="24"/>
        </w:rPr>
        <w:t xml:space="preserve"> de </w:t>
      </w:r>
      <w:r w:rsidR="00AB2D8D">
        <w:rPr>
          <w:sz w:val="24"/>
        </w:rPr>
        <w:t>março</w:t>
      </w:r>
      <w:r>
        <w:rPr>
          <w:sz w:val="24"/>
        </w:rPr>
        <w:t xml:space="preserve"> de </w:t>
      </w:r>
      <w:r w:rsidR="00AB2D8D">
        <w:rPr>
          <w:sz w:val="24"/>
        </w:rPr>
        <w:t>2021</w:t>
      </w:r>
      <w:r w:rsidR="00425A9A">
        <w:rPr>
          <w:sz w:val="24"/>
        </w:rPr>
        <w:t>.</w:t>
      </w:r>
    </w:p>
    <w:p w14:paraId="2212042A" w14:textId="77777777" w:rsidR="006371FB" w:rsidRPr="00777043" w:rsidRDefault="006371FB" w:rsidP="006371FB">
      <w:pPr>
        <w:pStyle w:val="ArtigosOrdinais"/>
        <w:jc w:val="center"/>
        <w:rPr>
          <w:rFonts w:cs="Arial"/>
          <w:color w:val="000000"/>
          <w:sz w:val="24"/>
        </w:rPr>
      </w:pPr>
    </w:p>
    <w:p w14:paraId="1A7FCA32" w14:textId="77777777" w:rsidR="00AB2D8D" w:rsidRPr="00EC29DB" w:rsidRDefault="00AB2D8D" w:rsidP="00AB2D8D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lang w:eastAsia="pt-BR"/>
        </w:rPr>
      </w:pPr>
      <w:bookmarkStart w:id="2" w:name="_Hlk65750390"/>
      <w:r w:rsidRPr="00EC29DB">
        <w:rPr>
          <w:rFonts w:ascii="Arial" w:hAnsi="Arial" w:cs="Arial"/>
          <w:color w:val="808080"/>
          <w:sz w:val="24"/>
        </w:rPr>
        <w:t>- assinatura digital -</w:t>
      </w:r>
    </w:p>
    <w:p w14:paraId="337C9969" w14:textId="77777777" w:rsidR="00AB2D8D" w:rsidRPr="00EC29DB" w:rsidRDefault="00AB2D8D" w:rsidP="00EC29DB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3" w:name="_Hlk536444639"/>
      <w:r w:rsidRPr="00EC29DB">
        <w:rPr>
          <w:rFonts w:ascii="Arial" w:hAnsi="Arial" w:cs="Arial"/>
          <w:sz w:val="24"/>
        </w:rPr>
        <w:t>Conselheiro</w:t>
      </w:r>
      <w:r w:rsidRPr="00EC29DB">
        <w:rPr>
          <w:rFonts w:ascii="Arial" w:hAnsi="Arial" w:cs="Arial"/>
          <w:b/>
          <w:sz w:val="24"/>
        </w:rPr>
        <w:t xml:space="preserve"> </w:t>
      </w:r>
      <w:bookmarkEnd w:id="3"/>
      <w:r w:rsidRPr="00EC29DB">
        <w:rPr>
          <w:rFonts w:ascii="Arial" w:hAnsi="Arial" w:cs="Arial"/>
          <w:b/>
          <w:sz w:val="24"/>
        </w:rPr>
        <w:t>FABIO DE SOUZA CAMARGO</w:t>
      </w:r>
    </w:p>
    <w:p w14:paraId="4E16224B" w14:textId="77777777" w:rsidR="00C4094A" w:rsidRPr="00EC29DB" w:rsidRDefault="00AB2D8D" w:rsidP="00EC29DB">
      <w:pPr>
        <w:pStyle w:val="ArtigosOrdinais"/>
        <w:spacing w:before="0"/>
        <w:jc w:val="center"/>
        <w:rPr>
          <w:rFonts w:cs="Arial"/>
          <w:color w:val="000000"/>
          <w:sz w:val="24"/>
        </w:rPr>
      </w:pPr>
      <w:r w:rsidRPr="00EC29DB">
        <w:rPr>
          <w:rFonts w:cs="Arial"/>
          <w:sz w:val="24"/>
          <w:szCs w:val="22"/>
        </w:rPr>
        <w:t>Presidente</w:t>
      </w:r>
      <w:bookmarkEnd w:id="2"/>
    </w:p>
    <w:sectPr w:rsidR="00C4094A" w:rsidRPr="00EC29DB" w:rsidSect="00DB4150">
      <w:headerReference w:type="default" r:id="rId15"/>
      <w:footerReference w:type="even" r:id="rId16"/>
      <w:footerReference w:type="defaul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A65F" w14:textId="77777777" w:rsidR="000F71E2" w:rsidRDefault="000F71E2">
      <w:pPr>
        <w:spacing w:after="0" w:line="240" w:lineRule="auto"/>
      </w:pPr>
      <w:r>
        <w:separator/>
      </w:r>
    </w:p>
  </w:endnote>
  <w:endnote w:type="continuationSeparator" w:id="0">
    <w:p w14:paraId="55F3F225" w14:textId="77777777" w:rsidR="000F71E2" w:rsidRDefault="000F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E546" w14:textId="77777777" w:rsidR="002513A5" w:rsidRDefault="002513A5" w:rsidP="002513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68B31" w14:textId="77777777" w:rsidR="002513A5" w:rsidRDefault="002513A5" w:rsidP="002513A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9DC8" w14:textId="77777777" w:rsidR="002513A5" w:rsidRDefault="002513A5" w:rsidP="002513A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1C69" w14:textId="77777777" w:rsidR="000F71E2" w:rsidRDefault="000F71E2">
      <w:pPr>
        <w:spacing w:after="0" w:line="240" w:lineRule="auto"/>
      </w:pPr>
      <w:r>
        <w:separator/>
      </w:r>
    </w:p>
  </w:footnote>
  <w:footnote w:type="continuationSeparator" w:id="0">
    <w:p w14:paraId="63915D44" w14:textId="77777777" w:rsidR="000F71E2" w:rsidRDefault="000F71E2">
      <w:pPr>
        <w:spacing w:after="0" w:line="240" w:lineRule="auto"/>
      </w:pPr>
      <w:r>
        <w:continuationSeparator/>
      </w:r>
    </w:p>
  </w:footnote>
  <w:footnote w:id="1">
    <w:p w14:paraId="16AC9C30" w14:textId="77777777" w:rsidR="002368C8" w:rsidRPr="00171AA0" w:rsidRDefault="006402E9" w:rsidP="00580E2E">
      <w:pPr>
        <w:pStyle w:val="Textodenotaderodap"/>
        <w:spacing w:after="0" w:line="240" w:lineRule="auto"/>
        <w:rPr>
          <w:rFonts w:ascii="Arial" w:hAnsi="Arial" w:cs="Arial"/>
        </w:rPr>
      </w:pPr>
      <w:r w:rsidRPr="006402E9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="002368C8" w:rsidRPr="00171AA0">
        <w:rPr>
          <w:rFonts w:ascii="Arial" w:hAnsi="Arial" w:cs="Arial"/>
          <w:b/>
        </w:rPr>
        <w:t>Notas da Biblioteca:</w:t>
      </w:r>
    </w:p>
    <w:bookmarkEnd w:id="0"/>
    <w:p w14:paraId="76F0A91D" w14:textId="7C99E0C8" w:rsidR="002368C8" w:rsidRPr="00171AA0" w:rsidRDefault="002368C8" w:rsidP="006371FB">
      <w:pPr>
        <w:pStyle w:val="Textodenotaderodap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textAlignment w:val="top"/>
        <w:rPr>
          <w:rFonts w:ascii="Arial" w:hAnsi="Arial" w:cs="Arial"/>
        </w:rPr>
      </w:pPr>
      <w:r w:rsidRPr="00171AA0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D5DDC" w:rsidRPr="00171AA0">
          <w:rPr>
            <w:rStyle w:val="Hyperlink"/>
            <w:rFonts w:cs="Arial"/>
            <w:b/>
            <w:bCs/>
            <w:sz w:val="20"/>
          </w:rPr>
          <w:t>Diário Eletrônico do Tribunal de Contas do Estado do Paraná</w:t>
        </w:r>
        <w:r w:rsidR="00CD5DDC" w:rsidRPr="00171AA0">
          <w:rPr>
            <w:rStyle w:val="Hyperlink"/>
            <w:rFonts w:cs="Arial"/>
            <w:sz w:val="20"/>
          </w:rPr>
          <w:t>, Curitiba, PR, n. 2500, 11 mar. 2021, p. 22</w:t>
        </w:r>
      </w:hyperlink>
      <w:r w:rsidR="00CD5DDC" w:rsidRPr="00171AA0">
        <w:rPr>
          <w:rFonts w:ascii="Arial" w:hAnsi="Arial" w:cs="Arial"/>
        </w:rPr>
        <w:t>.</w:t>
      </w:r>
    </w:p>
    <w:p w14:paraId="0994A8E9" w14:textId="197A035F" w:rsidR="002368C8" w:rsidRPr="00171AA0" w:rsidRDefault="002368C8" w:rsidP="006371FB">
      <w:pPr>
        <w:pStyle w:val="Textodenotaderodap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textAlignment w:val="top"/>
        <w:rPr>
          <w:rFonts w:ascii="Arial" w:hAnsi="Arial" w:cs="Arial"/>
        </w:rPr>
      </w:pPr>
      <w:bookmarkStart w:id="1" w:name="_Hlk65508546"/>
      <w:r w:rsidRPr="00171AA0">
        <w:rPr>
          <w:rFonts w:ascii="Arial" w:hAnsi="Arial" w:cs="Arial"/>
        </w:rPr>
        <w:t xml:space="preserve">Origem: Processo n. </w:t>
      </w:r>
      <w:r w:rsidR="0060032D" w:rsidRPr="00171AA0">
        <w:rPr>
          <w:rFonts w:ascii="Arial" w:hAnsi="Arial" w:cs="Arial"/>
        </w:rPr>
        <w:t>669461/20</w:t>
      </w:r>
      <w:r w:rsidR="001A3BA0" w:rsidRPr="00171AA0">
        <w:rPr>
          <w:rFonts w:ascii="Arial" w:hAnsi="Arial" w:cs="Arial"/>
        </w:rPr>
        <w:t xml:space="preserve"> </w:t>
      </w:r>
      <w:r w:rsidRPr="00171AA0">
        <w:rPr>
          <w:rFonts w:ascii="Arial" w:hAnsi="Arial" w:cs="Arial"/>
        </w:rPr>
        <w:t xml:space="preserve">– </w:t>
      </w:r>
      <w:hyperlink r:id="rId2" w:history="1">
        <w:r w:rsidR="00404665" w:rsidRPr="00171AA0">
          <w:rPr>
            <w:rStyle w:val="Hyperlink"/>
            <w:rFonts w:cs="Arial"/>
            <w:sz w:val="20"/>
          </w:rPr>
          <w:t>Acórdão n. 467/2021 – Tribunal Pleno</w:t>
        </w:r>
      </w:hyperlink>
      <w:r w:rsidR="00177D63" w:rsidRPr="00171AA0">
        <w:rPr>
          <w:rFonts w:ascii="Arial" w:hAnsi="Arial" w:cs="Arial"/>
        </w:rPr>
        <w:t xml:space="preserve"> e </w:t>
      </w:r>
      <w:r w:rsidR="00177D63" w:rsidRPr="00171AA0">
        <w:rPr>
          <w:rFonts w:ascii="Arial" w:hAnsi="Arial" w:cs="Arial"/>
          <w:bCs/>
        </w:rPr>
        <w:t>Processo n</w:t>
      </w:r>
      <w:r w:rsidR="00171AA0">
        <w:rPr>
          <w:rFonts w:ascii="Arial" w:hAnsi="Arial" w:cs="Arial"/>
          <w:bCs/>
        </w:rPr>
        <w:t>.</w:t>
      </w:r>
      <w:r w:rsidR="00177D63" w:rsidRPr="00171AA0">
        <w:rPr>
          <w:rFonts w:ascii="Arial" w:hAnsi="Arial" w:cs="Arial"/>
          <w:bCs/>
        </w:rPr>
        <w:t xml:space="preserve"> 669461/20</w:t>
      </w:r>
      <w:r w:rsidR="00171AA0" w:rsidRPr="00171AA0">
        <w:rPr>
          <w:rFonts w:ascii="Arial" w:hAnsi="Arial" w:cs="Arial"/>
          <w:bCs/>
        </w:rPr>
        <w:t xml:space="preserve"> - </w:t>
      </w:r>
      <w:hyperlink r:id="rId3" w:history="1">
        <w:r w:rsidR="00171AA0" w:rsidRPr="00721E1F">
          <w:rPr>
            <w:rStyle w:val="Hyperlink"/>
            <w:rFonts w:cs="Arial"/>
            <w:bCs/>
            <w:sz w:val="20"/>
          </w:rPr>
          <w:t>Acórdão n. 467/21 - Tribunal Pleno</w:t>
        </w:r>
      </w:hyperlink>
      <w:r w:rsidR="00171AA0" w:rsidRPr="00171AA0">
        <w:rPr>
          <w:rFonts w:ascii="Arial" w:hAnsi="Arial" w:cs="Arial"/>
          <w:bCs/>
          <w:color w:val="0000FF"/>
        </w:rPr>
        <w:t>.</w:t>
      </w:r>
    </w:p>
    <w:bookmarkEnd w:id="1"/>
    <w:p w14:paraId="2720B15D" w14:textId="389A86E3" w:rsidR="002368C8" w:rsidRPr="00171AA0" w:rsidRDefault="002368C8" w:rsidP="006371FB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40" w:lineRule="auto"/>
        <w:ind w:left="142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171AA0">
        <w:rPr>
          <w:rStyle w:val="Forte"/>
          <w:rFonts w:ascii="Arial" w:hAnsi="Arial" w:cs="Arial"/>
          <w:sz w:val="20"/>
          <w:szCs w:val="20"/>
        </w:rPr>
        <w:t>Revoga</w:t>
      </w:r>
      <w:r w:rsidRPr="00171AA0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="00580E2E" w:rsidRPr="00171AA0">
          <w:rPr>
            <w:rStyle w:val="Hyperlink"/>
            <w:rFonts w:cs="Arial"/>
            <w:sz w:val="20"/>
            <w:szCs w:val="20"/>
          </w:rPr>
          <w:t>Instrução Normativa n. 72, de 13 de setembro de 2012</w:t>
        </w:r>
      </w:hyperlink>
      <w:r w:rsidR="00580E2E" w:rsidRPr="00171AA0">
        <w:rPr>
          <w:rFonts w:ascii="Arial" w:hAnsi="Arial" w:cs="Arial"/>
          <w:sz w:val="20"/>
          <w:szCs w:val="20"/>
        </w:rPr>
        <w:t>.</w:t>
      </w:r>
    </w:p>
    <w:p w14:paraId="5E28E84D" w14:textId="2C40F189" w:rsidR="006402E9" w:rsidRDefault="006402E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21F1" w14:textId="77777777" w:rsidR="002513A5" w:rsidRDefault="00000000" w:rsidP="0000321B">
    <w:pPr>
      <w:pStyle w:val="Cabealho"/>
      <w:spacing w:before="240" w:after="48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DD7D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2513A5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1D"/>
    <w:multiLevelType w:val="hybridMultilevel"/>
    <w:tmpl w:val="B6C675FA"/>
    <w:lvl w:ilvl="0" w:tplc="444807DA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12664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94A"/>
    <w:rsid w:val="0000321B"/>
    <w:rsid w:val="000718C2"/>
    <w:rsid w:val="00077248"/>
    <w:rsid w:val="000A7797"/>
    <w:rsid w:val="000B0C15"/>
    <w:rsid w:val="000F71E2"/>
    <w:rsid w:val="00171AA0"/>
    <w:rsid w:val="00177D63"/>
    <w:rsid w:val="001A3BA0"/>
    <w:rsid w:val="002368C8"/>
    <w:rsid w:val="002513A5"/>
    <w:rsid w:val="0028649E"/>
    <w:rsid w:val="002C1602"/>
    <w:rsid w:val="00321E09"/>
    <w:rsid w:val="003C56CA"/>
    <w:rsid w:val="00404665"/>
    <w:rsid w:val="00425A9A"/>
    <w:rsid w:val="004B5EF9"/>
    <w:rsid w:val="004E0A34"/>
    <w:rsid w:val="00580E2E"/>
    <w:rsid w:val="005C6C35"/>
    <w:rsid w:val="0060032D"/>
    <w:rsid w:val="006371FB"/>
    <w:rsid w:val="006402E9"/>
    <w:rsid w:val="00697F5B"/>
    <w:rsid w:val="006C5E0A"/>
    <w:rsid w:val="00721E1F"/>
    <w:rsid w:val="00795511"/>
    <w:rsid w:val="008F70D1"/>
    <w:rsid w:val="00A1309A"/>
    <w:rsid w:val="00AB2D8D"/>
    <w:rsid w:val="00B2102E"/>
    <w:rsid w:val="00C4094A"/>
    <w:rsid w:val="00C53FE6"/>
    <w:rsid w:val="00CD5DDC"/>
    <w:rsid w:val="00D540F9"/>
    <w:rsid w:val="00D92FFF"/>
    <w:rsid w:val="00DB4150"/>
    <w:rsid w:val="00E362AC"/>
    <w:rsid w:val="00EC29DB"/>
    <w:rsid w:val="00F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B850"/>
  <w15:chartTrackingRefBased/>
  <w15:docId w15:val="{5548AD38-27ED-45C3-8287-F7EDACF8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094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24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09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C4094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C4094A"/>
  </w:style>
  <w:style w:type="paragraph" w:styleId="Cabealho">
    <w:name w:val="header"/>
    <w:basedOn w:val="Normal"/>
    <w:link w:val="CabealhoChar"/>
    <w:rsid w:val="00C409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C4094A"/>
    <w:rPr>
      <w:rFonts w:ascii="Times New Roman" w:eastAsia="Times New Roman" w:hAnsi="Times New Roman"/>
      <w:sz w:val="24"/>
      <w:szCs w:val="24"/>
    </w:rPr>
  </w:style>
  <w:style w:type="paragraph" w:customStyle="1" w:styleId="Ementa">
    <w:name w:val="Ementa"/>
    <w:basedOn w:val="Normal"/>
    <w:rsid w:val="00C4094A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C4094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C4094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C4094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94A"/>
    <w:pPr>
      <w:keepLines/>
      <w:spacing w:after="0"/>
      <w:outlineLvl w:val="9"/>
    </w:pPr>
    <w:rPr>
      <w:b w:val="0"/>
      <w:bCs w:val="0"/>
      <w:color w:val="2F5496"/>
      <w:kern w:val="0"/>
      <w:lang w:eastAsia="pt-BR"/>
    </w:rPr>
  </w:style>
  <w:style w:type="character" w:customStyle="1" w:styleId="Ttulo8Char">
    <w:name w:val="Título 8 Char"/>
    <w:link w:val="Ttulo8"/>
    <w:rsid w:val="0007724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6402E9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402E9"/>
    <w:rPr>
      <w:lang w:eastAsia="en-US"/>
    </w:rPr>
  </w:style>
  <w:style w:type="character" w:styleId="Refdenotaderodap">
    <w:name w:val="footnote reference"/>
    <w:uiPriority w:val="99"/>
    <w:semiHidden/>
    <w:unhideWhenUsed/>
    <w:rsid w:val="006402E9"/>
    <w:rPr>
      <w:vertAlign w:val="superscript"/>
    </w:rPr>
  </w:style>
  <w:style w:type="character" w:styleId="Hyperlink">
    <w:name w:val="Hyperlink"/>
    <w:rsid w:val="002368C8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2368C8"/>
    <w:rPr>
      <w:b/>
      <w:bCs/>
    </w:rPr>
  </w:style>
  <w:style w:type="paragraph" w:styleId="NormalWeb">
    <w:name w:val="Normal (Web)"/>
    <w:basedOn w:val="Normal"/>
    <w:uiPriority w:val="99"/>
    <w:unhideWhenUsed/>
    <w:rsid w:val="002368C8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D92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tce.pr.gov.br/multimidia/2021/3/pdf/00355069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tce.pr.gov.br/multimidia/2021/3/pdf/00355069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instrucao-normativa-n-72-de-13-de-setembro-de-2012/237401/area/24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tce.pr.gov.br/conteudo/instrucao-normativa-n-72-de-13-de-setembro-de-2012/237401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21/3/pdf/00355069.pdf" TargetMode="External"/><Relationship Id="rId2" Type="http://schemas.openxmlformats.org/officeDocument/2006/relationships/hyperlink" Target="https://www1.tce.pr.gov.br/multimidia/2021/3/pdf/00355069.pdf" TargetMode="External"/><Relationship Id="rId1" Type="http://schemas.openxmlformats.org/officeDocument/2006/relationships/hyperlink" Target="https://www1.tce.pr.gov.br/multimidia/2021/3/pdf/00355245.pdf" TargetMode="External"/><Relationship Id="rId4" Type="http://schemas.openxmlformats.org/officeDocument/2006/relationships/hyperlink" Target="https://www1.tce.pr.gov.br/conteudo/instrucao-normativa-n-72-de-13-de-setembro-de-2012/23740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9DDF46EC94B428DABCD5C4422E1DA" ma:contentTypeVersion="5" ma:contentTypeDescription="Crie um novo documento." ma:contentTypeScope="" ma:versionID="acf8aa90097983294f9963347e0ed7f9">
  <xsd:schema xmlns:xsd="http://www.w3.org/2001/XMLSchema" xmlns:xs="http://www.w3.org/2001/XMLSchema" xmlns:p="http://schemas.microsoft.com/office/2006/metadata/properties" xmlns:ns3="0ebb035b-b8af-4716-bbaf-14964353092d" xmlns:ns4="7e20501a-907d-46ca-b5f4-6cbabb06d9d7" targetNamespace="http://schemas.microsoft.com/office/2006/metadata/properties" ma:root="true" ma:fieldsID="168344928a40d8236d90351c26516e62" ns3:_="" ns4:_="">
    <xsd:import namespace="0ebb035b-b8af-4716-bbaf-14964353092d"/>
    <xsd:import namespace="7e20501a-907d-46ca-b5f4-6cbabb06d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b035b-b8af-4716-bbaf-149643530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501a-907d-46ca-b5f4-6cbabb06d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D2AA0-0F5B-48AF-85CE-8CDE95FBE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48732-7318-4DA2-9068-D849058FD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b035b-b8af-4716-bbaf-14964353092d"/>
    <ds:schemaRef ds:uri="7e20501a-907d-46ca-b5f4-6cbabb06d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3720E-DCEC-4F99-A8A3-C43DBABDA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4C514-AD0E-43F2-B642-9F30AE25E7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19</cp:revision>
  <dcterms:created xsi:type="dcterms:W3CDTF">2021-03-17T14:21:00Z</dcterms:created>
  <dcterms:modified xsi:type="dcterms:W3CDTF">2022-07-12T23:15:00Z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0x010100E799DDF46EC94B428DABCD5C4422E1DA</vt:lpwstr>
  </property>
</Properties>
</file>