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7B4B" w14:textId="2AAE3943" w:rsidR="005169C6" w:rsidRPr="00AC0D10" w:rsidRDefault="005169C6" w:rsidP="005169C6">
      <w:pPr>
        <w:spacing w:before="24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C0D10">
        <w:rPr>
          <w:rFonts w:ascii="Arial" w:hAnsi="Arial" w:cs="Arial"/>
          <w:b/>
          <w:sz w:val="28"/>
          <w:szCs w:val="28"/>
        </w:rPr>
        <w:t xml:space="preserve">INSTRUÇÃO NORMATIVA Nº </w:t>
      </w:r>
      <w:r>
        <w:rPr>
          <w:rFonts w:ascii="Arial" w:hAnsi="Arial" w:cs="Arial"/>
          <w:b/>
          <w:sz w:val="28"/>
          <w:szCs w:val="28"/>
        </w:rPr>
        <w:t>121</w:t>
      </w:r>
      <w:r w:rsidRPr="00AC0D10">
        <w:rPr>
          <w:rFonts w:ascii="Arial" w:hAnsi="Arial" w:cs="Arial"/>
          <w:b/>
          <w:sz w:val="28"/>
          <w:szCs w:val="28"/>
        </w:rPr>
        <w:t>/2016</w:t>
      </w:r>
      <w:r w:rsidR="00E807D2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1D0EAE43" w14:textId="77777777" w:rsidR="005169C6" w:rsidRDefault="005169C6" w:rsidP="005169C6">
      <w:pPr>
        <w:spacing w:before="120"/>
        <w:ind w:left="4536"/>
        <w:jc w:val="both"/>
        <w:rPr>
          <w:rFonts w:ascii="Arial" w:hAnsi="Arial" w:cs="Arial"/>
          <w:i/>
          <w:sz w:val="24"/>
          <w:szCs w:val="24"/>
        </w:rPr>
      </w:pPr>
    </w:p>
    <w:p w14:paraId="573FF4CA" w14:textId="77777777" w:rsidR="005169C6" w:rsidRPr="00C3521F" w:rsidRDefault="005169C6" w:rsidP="005169C6">
      <w:pPr>
        <w:spacing w:before="12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C3521F">
        <w:rPr>
          <w:rFonts w:ascii="Arial" w:hAnsi="Arial" w:cs="Arial"/>
          <w:i/>
          <w:sz w:val="22"/>
          <w:szCs w:val="22"/>
        </w:rPr>
        <w:t>Dispõe sobre o Plano Estratégico do Tribunal de Contas do Estado do Paraná para o período de 2017 a 2021.</w:t>
      </w:r>
    </w:p>
    <w:p w14:paraId="4B9EC8EA" w14:textId="77777777" w:rsidR="005169C6" w:rsidRPr="00AC0D10" w:rsidRDefault="005169C6" w:rsidP="005169C6">
      <w:pPr>
        <w:spacing w:before="120"/>
        <w:ind w:left="4536"/>
        <w:jc w:val="both"/>
        <w:rPr>
          <w:rFonts w:ascii="Arial" w:hAnsi="Arial" w:cs="Arial"/>
          <w:i/>
          <w:sz w:val="24"/>
          <w:szCs w:val="24"/>
        </w:rPr>
      </w:pPr>
    </w:p>
    <w:p w14:paraId="258EA98D" w14:textId="77777777" w:rsidR="005169C6" w:rsidRDefault="005169C6" w:rsidP="005169C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3521F">
        <w:rPr>
          <w:rFonts w:ascii="Arial" w:hAnsi="Arial" w:cs="Arial"/>
          <w:bCs/>
          <w:sz w:val="24"/>
          <w:szCs w:val="24"/>
        </w:rPr>
        <w:t xml:space="preserve">O </w:t>
      </w:r>
      <w:r w:rsidRPr="00AC0D10">
        <w:rPr>
          <w:rFonts w:ascii="Arial" w:hAnsi="Arial" w:cs="Arial"/>
          <w:b/>
          <w:sz w:val="24"/>
          <w:szCs w:val="24"/>
        </w:rPr>
        <w:t>TRIBUNAL DE CONTAS DO ESTADO DO PARANÁ</w:t>
      </w:r>
      <w:r w:rsidRPr="00993B22">
        <w:rPr>
          <w:rFonts w:ascii="Arial" w:hAnsi="Arial" w:cs="Arial"/>
          <w:sz w:val="24"/>
          <w:szCs w:val="24"/>
        </w:rPr>
        <w:t xml:space="preserve">, no uso das atribuições contidas no art. 2º, I, da Lei Complementar n.º 113, de 15 de dezembro de 2005, nos </w:t>
      </w:r>
      <w:proofErr w:type="spellStart"/>
      <w:r w:rsidRPr="00993B22">
        <w:rPr>
          <w:rFonts w:ascii="Arial" w:hAnsi="Arial" w:cs="Arial"/>
          <w:sz w:val="24"/>
          <w:szCs w:val="24"/>
        </w:rPr>
        <w:t>arts</w:t>
      </w:r>
      <w:proofErr w:type="spellEnd"/>
      <w:r w:rsidRPr="00993B22">
        <w:rPr>
          <w:rFonts w:ascii="Arial" w:hAnsi="Arial" w:cs="Arial"/>
          <w:sz w:val="24"/>
          <w:szCs w:val="24"/>
        </w:rPr>
        <w:t>. 5º, XIII, 187, II, e 193 a 196 do Regimento Interno, bem como no art. 1º da Resolução n.º 57/2016,</w:t>
      </w:r>
    </w:p>
    <w:p w14:paraId="6D0B5951" w14:textId="77777777" w:rsidR="005169C6" w:rsidRPr="00356971" w:rsidRDefault="005169C6" w:rsidP="005169C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76E631F" w14:textId="77777777" w:rsidR="005169C6" w:rsidRPr="00356971" w:rsidRDefault="005169C6" w:rsidP="005169C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356971">
        <w:rPr>
          <w:rFonts w:ascii="Arial" w:hAnsi="Arial" w:cs="Arial"/>
          <w:b/>
          <w:bCs/>
          <w:sz w:val="24"/>
          <w:szCs w:val="24"/>
        </w:rPr>
        <w:t>RESOLVE</w:t>
      </w:r>
    </w:p>
    <w:p w14:paraId="10DD8F48" w14:textId="77777777" w:rsidR="005169C6" w:rsidRPr="00356971" w:rsidRDefault="005169C6" w:rsidP="005169C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1ECE69AA" w14:textId="77777777" w:rsidR="005169C6" w:rsidRPr="00993B22" w:rsidRDefault="005169C6" w:rsidP="005169C6">
      <w:pPr>
        <w:overflowPunct w:val="0"/>
        <w:adjustRightInd w:val="0"/>
        <w:spacing w:before="120"/>
        <w:ind w:firstLine="1134"/>
        <w:jc w:val="both"/>
        <w:textAlignment w:val="baseline"/>
        <w:rPr>
          <w:rFonts w:ascii="Arial" w:hAnsi="Arial"/>
          <w:sz w:val="24"/>
          <w:szCs w:val="24"/>
        </w:rPr>
      </w:pPr>
      <w:r w:rsidRPr="00993B22">
        <w:rPr>
          <w:rFonts w:ascii="Arial" w:hAnsi="Arial"/>
          <w:b/>
          <w:sz w:val="24"/>
          <w:szCs w:val="24"/>
        </w:rPr>
        <w:t>Art. 1º</w:t>
      </w:r>
      <w:r w:rsidRPr="00993B22">
        <w:rPr>
          <w:rFonts w:ascii="Arial" w:hAnsi="Arial"/>
          <w:sz w:val="24"/>
          <w:szCs w:val="24"/>
        </w:rPr>
        <w:t xml:space="preserve"> Fica instituído </w:t>
      </w:r>
      <w:r w:rsidRPr="00993B22">
        <w:rPr>
          <w:rFonts w:ascii="Arial" w:hAnsi="Arial"/>
          <w:iCs/>
          <w:sz w:val="24"/>
          <w:szCs w:val="24"/>
        </w:rPr>
        <w:t>o Plano Estratégico do Tribunal de Contas do Estado do Paraná para o período de 2017 a 2021</w:t>
      </w:r>
      <w:r w:rsidRPr="00993B22">
        <w:rPr>
          <w:rFonts w:ascii="Arial" w:hAnsi="Arial"/>
          <w:sz w:val="24"/>
          <w:szCs w:val="24"/>
        </w:rPr>
        <w:t>, na forma do Anexo desta Instrução Normativa.</w:t>
      </w:r>
    </w:p>
    <w:p w14:paraId="6FB8748C" w14:textId="77777777" w:rsidR="005169C6" w:rsidRPr="00993B22" w:rsidRDefault="005169C6" w:rsidP="005169C6">
      <w:pPr>
        <w:overflowPunct w:val="0"/>
        <w:adjustRightInd w:val="0"/>
        <w:spacing w:before="120"/>
        <w:ind w:firstLine="1134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993B22">
        <w:rPr>
          <w:rFonts w:ascii="Arial,Bold" w:eastAsia="Calibri" w:hAnsi="Arial,Bold" w:cs="Arial,Bold"/>
          <w:b/>
          <w:bCs/>
          <w:sz w:val="24"/>
          <w:szCs w:val="24"/>
          <w:lang w:eastAsia="en-US"/>
        </w:rPr>
        <w:t xml:space="preserve">Art. 2º </w:t>
      </w:r>
      <w:r w:rsidRPr="00993B22">
        <w:rPr>
          <w:rFonts w:ascii="Arial" w:eastAsia="Calibri" w:hAnsi="Arial" w:cs="Arial"/>
          <w:sz w:val="24"/>
          <w:szCs w:val="24"/>
          <w:lang w:eastAsia="en-US"/>
        </w:rPr>
        <w:t xml:space="preserve">Esta </w:t>
      </w:r>
      <w:r w:rsidRPr="00993B22">
        <w:rPr>
          <w:rFonts w:ascii="Arial" w:hAnsi="Arial"/>
          <w:sz w:val="24"/>
          <w:szCs w:val="24"/>
        </w:rPr>
        <w:t>Instrução</w:t>
      </w:r>
      <w:r w:rsidRPr="00993B22">
        <w:rPr>
          <w:rFonts w:ascii="Arial" w:eastAsia="Calibri" w:hAnsi="Arial" w:cs="Arial"/>
          <w:sz w:val="24"/>
          <w:szCs w:val="24"/>
          <w:lang w:eastAsia="en-US"/>
        </w:rPr>
        <w:t xml:space="preserve"> Normativa entra em vigor na data de sua publicação. </w:t>
      </w:r>
    </w:p>
    <w:p w14:paraId="125C1E3E" w14:textId="77777777" w:rsidR="005169C6" w:rsidRDefault="005169C6" w:rsidP="005169C6">
      <w:pPr>
        <w:tabs>
          <w:tab w:val="left" w:pos="2901"/>
        </w:tabs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7300DBE7" w14:textId="77777777" w:rsidR="005169C6" w:rsidRPr="00356971" w:rsidRDefault="005169C6" w:rsidP="005169C6">
      <w:pPr>
        <w:spacing w:befor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27</w:t>
      </w:r>
      <w:r w:rsidRPr="0035697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356971">
        <w:rPr>
          <w:rFonts w:ascii="Arial" w:hAnsi="Arial" w:cs="Arial"/>
          <w:sz w:val="24"/>
          <w:szCs w:val="24"/>
        </w:rPr>
        <w:t xml:space="preserve"> de 2016.</w:t>
      </w:r>
    </w:p>
    <w:p w14:paraId="030133A5" w14:textId="77777777" w:rsidR="005169C6" w:rsidRDefault="005169C6" w:rsidP="005169C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26E4D5" w14:textId="77777777" w:rsidR="005169C6" w:rsidRPr="00356971" w:rsidRDefault="005169C6" w:rsidP="005169C6">
      <w:pPr>
        <w:spacing w:before="360"/>
        <w:jc w:val="center"/>
        <w:rPr>
          <w:rFonts w:ascii="Arial" w:hAnsi="Arial" w:cs="Arial"/>
          <w:b/>
          <w:sz w:val="24"/>
          <w:szCs w:val="24"/>
        </w:rPr>
      </w:pPr>
      <w:r w:rsidRPr="00356971">
        <w:rPr>
          <w:rFonts w:ascii="Arial" w:hAnsi="Arial" w:cs="Arial"/>
          <w:b/>
          <w:sz w:val="24"/>
          <w:szCs w:val="24"/>
        </w:rPr>
        <w:t>IVAN LELIS BONILHA</w:t>
      </w:r>
    </w:p>
    <w:p w14:paraId="4F259972" w14:textId="77777777" w:rsidR="005169C6" w:rsidRDefault="005169C6" w:rsidP="005169C6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356971">
        <w:rPr>
          <w:rFonts w:ascii="Arial" w:hAnsi="Arial" w:cs="Arial"/>
          <w:sz w:val="24"/>
          <w:szCs w:val="24"/>
        </w:rPr>
        <w:t>Presidente</w:t>
      </w:r>
    </w:p>
    <w:p w14:paraId="707C81A1" w14:textId="77777777" w:rsidR="005169C6" w:rsidRPr="00556DD3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556DD3">
        <w:rPr>
          <w:rFonts w:ascii="Arial" w:hAnsi="Arial" w:cs="Arial"/>
          <w:b/>
          <w:color w:val="000000"/>
          <w:sz w:val="28"/>
          <w:szCs w:val="24"/>
        </w:rPr>
        <w:lastRenderedPageBreak/>
        <w:t>ANEXO</w:t>
      </w:r>
    </w:p>
    <w:p w14:paraId="7385E7CF" w14:textId="77777777" w:rsidR="005169C6" w:rsidRPr="00556DD3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</w:p>
    <w:p w14:paraId="731AE6CF" w14:textId="77777777" w:rsidR="005169C6" w:rsidRPr="00556DD3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 w:rsidRPr="00556DD3">
        <w:rPr>
          <w:rFonts w:ascii="Arial" w:hAnsi="Arial" w:cs="Arial"/>
          <w:b/>
          <w:color w:val="000000"/>
          <w:sz w:val="28"/>
          <w:szCs w:val="24"/>
        </w:rPr>
        <w:t>Plano Estratégico 2017 - 2021</w:t>
      </w:r>
    </w:p>
    <w:p w14:paraId="6A1581B7" w14:textId="77777777" w:rsidR="005169C6" w:rsidRPr="000A7D2A" w:rsidRDefault="005169C6" w:rsidP="005169C6">
      <w:pPr>
        <w:overflowPunct w:val="0"/>
        <w:adjustRightInd w:val="0"/>
        <w:spacing w:before="480"/>
        <w:jc w:val="center"/>
        <w:textAlignment w:val="baseline"/>
        <w:rPr>
          <w:rFonts w:ascii="Arial" w:hAnsi="Arial" w:cs="Arial"/>
          <w:b/>
          <w:color w:val="404040"/>
          <w:sz w:val="28"/>
          <w:szCs w:val="24"/>
        </w:rPr>
      </w:pPr>
      <w:r w:rsidRPr="000A7D2A">
        <w:rPr>
          <w:rFonts w:ascii="Arial" w:hAnsi="Arial" w:cs="Arial"/>
          <w:b/>
          <w:color w:val="404040"/>
          <w:sz w:val="28"/>
          <w:szCs w:val="24"/>
        </w:rPr>
        <w:t>Missão</w:t>
      </w:r>
    </w:p>
    <w:p w14:paraId="561E46AF" w14:textId="77777777" w:rsidR="005169C6" w:rsidRPr="000A7D2A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i/>
          <w:color w:val="404040"/>
          <w:sz w:val="28"/>
          <w:szCs w:val="24"/>
        </w:rPr>
      </w:pPr>
      <w:r w:rsidRPr="000A7D2A">
        <w:rPr>
          <w:rFonts w:ascii="Arial" w:hAnsi="Arial" w:cs="Arial"/>
          <w:i/>
          <w:color w:val="404040"/>
          <w:sz w:val="28"/>
          <w:szCs w:val="24"/>
        </w:rPr>
        <w:t>Fiscalizar a gestão dos recursos públicos.</w:t>
      </w:r>
    </w:p>
    <w:p w14:paraId="628A956B" w14:textId="77777777" w:rsidR="005169C6" w:rsidRPr="000A7D2A" w:rsidRDefault="005169C6" w:rsidP="005169C6">
      <w:pPr>
        <w:overflowPunct w:val="0"/>
        <w:adjustRightInd w:val="0"/>
        <w:spacing w:before="480"/>
        <w:jc w:val="center"/>
        <w:textAlignment w:val="baseline"/>
        <w:rPr>
          <w:rFonts w:ascii="Arial" w:hAnsi="Arial" w:cs="Arial"/>
          <w:b/>
          <w:color w:val="404040"/>
          <w:sz w:val="28"/>
          <w:szCs w:val="24"/>
        </w:rPr>
      </w:pPr>
      <w:r w:rsidRPr="000A7D2A">
        <w:rPr>
          <w:rFonts w:ascii="Arial" w:hAnsi="Arial" w:cs="Arial"/>
          <w:b/>
          <w:color w:val="404040"/>
          <w:sz w:val="28"/>
          <w:szCs w:val="24"/>
        </w:rPr>
        <w:t>Visão</w:t>
      </w:r>
    </w:p>
    <w:p w14:paraId="79930EA5" w14:textId="77777777" w:rsidR="005169C6" w:rsidRPr="000A7D2A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i/>
          <w:color w:val="404040"/>
          <w:sz w:val="28"/>
          <w:szCs w:val="24"/>
        </w:rPr>
      </w:pPr>
      <w:r w:rsidRPr="000A7D2A">
        <w:rPr>
          <w:rFonts w:ascii="Arial" w:hAnsi="Arial" w:cs="Arial"/>
          <w:i/>
          <w:color w:val="404040"/>
          <w:sz w:val="28"/>
          <w:szCs w:val="24"/>
        </w:rPr>
        <w:t>Sermos um tribunal mais próximo da sociedade, com mais resultados que a beneficiem.</w:t>
      </w:r>
    </w:p>
    <w:p w14:paraId="19A5DBE9" w14:textId="77777777" w:rsidR="005169C6" w:rsidRPr="000A7D2A" w:rsidRDefault="005169C6" w:rsidP="005169C6">
      <w:pPr>
        <w:overflowPunct w:val="0"/>
        <w:adjustRightInd w:val="0"/>
        <w:spacing w:before="480"/>
        <w:jc w:val="center"/>
        <w:textAlignment w:val="baseline"/>
        <w:rPr>
          <w:rFonts w:ascii="Arial" w:hAnsi="Arial" w:cs="Arial"/>
          <w:b/>
          <w:color w:val="404040"/>
          <w:sz w:val="28"/>
          <w:szCs w:val="24"/>
        </w:rPr>
      </w:pPr>
      <w:r w:rsidRPr="000A7D2A">
        <w:rPr>
          <w:rFonts w:ascii="Arial" w:hAnsi="Arial" w:cs="Arial"/>
          <w:b/>
          <w:color w:val="404040"/>
          <w:sz w:val="28"/>
          <w:szCs w:val="24"/>
        </w:rPr>
        <w:t>Valores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11"/>
        <w:gridCol w:w="6173"/>
      </w:tblGrid>
      <w:tr w:rsidR="005169C6" w:rsidRPr="000A7D2A" w14:paraId="31536429" w14:textId="77777777" w:rsidTr="00537C35">
        <w:trPr>
          <w:trHeight w:val="435"/>
        </w:trPr>
        <w:tc>
          <w:tcPr>
            <w:tcW w:w="136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38D0" w14:textId="77777777" w:rsidR="005169C6" w:rsidRPr="000A7D2A" w:rsidRDefault="005169C6" w:rsidP="00537C35">
            <w:pPr>
              <w:overflowPunct w:val="0"/>
              <w:adjustRightInd w:val="0"/>
              <w:spacing w:before="240" w:after="20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Cs w:val="17"/>
              </w:rPr>
            </w:pPr>
            <w:r w:rsidRPr="000A7D2A">
              <w:rPr>
                <w:rFonts w:ascii="Arial" w:hAnsi="Arial" w:cs="Arial"/>
                <w:b/>
                <w:bCs/>
                <w:szCs w:val="17"/>
              </w:rPr>
              <w:t>VALOR</w:t>
            </w:r>
          </w:p>
        </w:tc>
        <w:tc>
          <w:tcPr>
            <w:tcW w:w="363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3BC3" w14:textId="77777777" w:rsidR="005169C6" w:rsidRPr="000A7D2A" w:rsidRDefault="005169C6" w:rsidP="00537C35">
            <w:pPr>
              <w:overflowPunct w:val="0"/>
              <w:adjustRightInd w:val="0"/>
              <w:spacing w:before="240" w:after="20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Cs w:val="17"/>
              </w:rPr>
            </w:pPr>
            <w:r w:rsidRPr="000A7D2A">
              <w:rPr>
                <w:rFonts w:ascii="Arial" w:hAnsi="Arial" w:cs="Arial"/>
                <w:b/>
                <w:bCs/>
                <w:szCs w:val="17"/>
              </w:rPr>
              <w:t>DEFINIÇÃO</w:t>
            </w:r>
          </w:p>
        </w:tc>
      </w:tr>
      <w:tr w:rsidR="005169C6" w:rsidRPr="000A7D2A" w14:paraId="0115441D" w14:textId="77777777" w:rsidTr="00537C35">
        <w:trPr>
          <w:trHeight w:val="831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34D6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EFETIVIDADE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5DB92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Alcançamos a satisfação dos cidadãos com o desempenho do TCE-PR, atuando de forma tempestiva e com qualidade.</w:t>
            </w:r>
          </w:p>
        </w:tc>
      </w:tr>
      <w:tr w:rsidR="005169C6" w:rsidRPr="000A7D2A" w14:paraId="6FCE60E1" w14:textId="77777777" w:rsidTr="00537C35">
        <w:trPr>
          <w:trHeight w:val="891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B85F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EQUIDADE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7D1F4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Usamos da imparcialidade para reconhecer o direito de cada um, usando a equivalência para se tornarem iguais e considerando as diferenças de cada situação, de forma justa e razoável.</w:t>
            </w:r>
          </w:p>
        </w:tc>
      </w:tr>
      <w:tr w:rsidR="005169C6" w:rsidRPr="000A7D2A" w14:paraId="2D004F23" w14:textId="77777777" w:rsidTr="00537C35">
        <w:trPr>
          <w:trHeight w:val="891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9B29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ÉTICA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864D0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Agimos com integridade e responsabilidade, respeitando as leis, os princípios morais e as regras do bem proceder referendadas e aceitas pela coletividade no compromisso com o interesse público.</w:t>
            </w:r>
          </w:p>
        </w:tc>
      </w:tr>
      <w:tr w:rsidR="005169C6" w:rsidRPr="000A7D2A" w14:paraId="3D1586D5" w14:textId="77777777" w:rsidTr="00537C35">
        <w:trPr>
          <w:trHeight w:val="891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C7CE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INDEPENDÊNCIA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61EBA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Atuamos com imparcialidade, liberdade e autonomia, não permitindo interferência contrária ao interesse público.</w:t>
            </w:r>
          </w:p>
        </w:tc>
      </w:tr>
      <w:tr w:rsidR="005169C6" w:rsidRPr="000A7D2A" w14:paraId="01E79E39" w14:textId="77777777" w:rsidTr="00537C35">
        <w:trPr>
          <w:trHeight w:val="891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7B3B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INOVAÇÃO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E8F2D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Estimulamos um ambiente propício à mudança, mobilizando-nos para o desenvolvimento de soluções novas, criativas e sustentáveis, como forma de encontrarmos respostas aos nossos desafios.</w:t>
            </w:r>
          </w:p>
        </w:tc>
      </w:tr>
      <w:tr w:rsidR="005169C6" w:rsidRPr="000A7D2A" w14:paraId="70FE87EE" w14:textId="77777777" w:rsidTr="00537C35">
        <w:trPr>
          <w:trHeight w:val="974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A156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PROFISSIONALISMO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335A9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Valorizamos a conduta profissional ética e responsável. Acreditamos na capacidade das pessoas de produzirem resultados oportunos e efetivos, por meio do desenvolvimento permanente do seu potencial e das suas competências em prol da instituição e de si mesmas.</w:t>
            </w:r>
          </w:p>
        </w:tc>
      </w:tr>
      <w:tr w:rsidR="005169C6" w:rsidRPr="000A7D2A" w14:paraId="44876C0C" w14:textId="77777777" w:rsidTr="00537C35">
        <w:trPr>
          <w:trHeight w:val="891"/>
        </w:trPr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B942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0A7D2A">
              <w:rPr>
                <w:rFonts w:ascii="Arial" w:hAnsi="Arial" w:cs="Arial"/>
                <w:b/>
                <w:bCs/>
              </w:rPr>
              <w:t>TRANSPARÊNCIA</w:t>
            </w:r>
          </w:p>
        </w:tc>
        <w:tc>
          <w:tcPr>
            <w:tcW w:w="36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D064D" w14:textId="77777777" w:rsidR="005169C6" w:rsidRPr="000A7D2A" w:rsidRDefault="005169C6" w:rsidP="00537C35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0A7D2A">
              <w:rPr>
                <w:rFonts w:ascii="Arial" w:hAnsi="Arial" w:cs="Arial"/>
                <w:bCs/>
                <w:sz w:val="22"/>
              </w:rPr>
              <w:t>Damos visibilidade e prestamos informações acessíveis à sociedade, de forma a fomentar o controle social.</w:t>
            </w:r>
          </w:p>
        </w:tc>
      </w:tr>
    </w:tbl>
    <w:p w14:paraId="1A48EB6B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404040"/>
          <w:sz w:val="28"/>
          <w:szCs w:val="24"/>
        </w:rPr>
      </w:pPr>
    </w:p>
    <w:p w14:paraId="7A7C204A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404040"/>
          <w:sz w:val="28"/>
          <w:szCs w:val="24"/>
        </w:rPr>
      </w:pPr>
    </w:p>
    <w:p w14:paraId="06EFAE79" w14:textId="77777777" w:rsidR="005169C6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404040"/>
          <w:sz w:val="36"/>
          <w:szCs w:val="36"/>
        </w:rPr>
      </w:pPr>
    </w:p>
    <w:p w14:paraId="3405078A" w14:textId="77777777" w:rsidR="005169C6" w:rsidRPr="000A7D2A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404040"/>
          <w:sz w:val="36"/>
          <w:szCs w:val="36"/>
        </w:rPr>
      </w:pPr>
      <w:r w:rsidRPr="000A7D2A">
        <w:rPr>
          <w:rFonts w:ascii="Arial" w:hAnsi="Arial" w:cs="Arial"/>
          <w:b/>
          <w:color w:val="404040"/>
          <w:sz w:val="36"/>
          <w:szCs w:val="36"/>
        </w:rPr>
        <w:t>Objetivos e Indicadores Estratégicos</w:t>
      </w:r>
    </w:p>
    <w:p w14:paraId="3FFEF9B9" w14:textId="77777777" w:rsidR="005169C6" w:rsidRPr="000A7D2A" w:rsidRDefault="005169C6" w:rsidP="005169C6">
      <w:pPr>
        <w:overflowPunct w:val="0"/>
        <w:adjustRightInd w:val="0"/>
        <w:spacing w:before="360" w:after="36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 w:rsidRPr="000A7D2A">
        <w:rPr>
          <w:rFonts w:ascii="Arial" w:hAnsi="Arial" w:cs="Arial"/>
          <w:b/>
          <w:color w:val="000000"/>
          <w:sz w:val="28"/>
          <w:szCs w:val="24"/>
        </w:rPr>
        <w:t>Perspectiva: SOCIEDADE</w:t>
      </w:r>
    </w:p>
    <w:p w14:paraId="33BEF7B6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031E239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01 - Fomentar a transparência na Administração Pública</w:t>
      </w:r>
    </w:p>
    <w:p w14:paraId="54C08E21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Avaliar a transparência periodicamente, com a apuração e divulgação do índice de transparência de cada ente jurisdicionado e consolidar o Tribunal como uma fonte centralizada de informações acerca da Administração Pública Estadual e Municipal.</w:t>
      </w:r>
    </w:p>
    <w:p w14:paraId="7A1977A1" w14:textId="77777777" w:rsidR="005169C6" w:rsidRPr="000A7D2A" w:rsidRDefault="005169C6" w:rsidP="005169C6">
      <w:pPr>
        <w:overflowPunct w:val="0"/>
        <w:adjustRightInd w:val="0"/>
        <w:spacing w:before="240"/>
        <w:textAlignment w:val="baseline"/>
        <w:rPr>
          <w:rFonts w:ascii="Arial" w:hAnsi="Arial" w:cs="Arial"/>
          <w:b/>
          <w:i/>
          <w:color w:val="404040"/>
          <w:sz w:val="24"/>
          <w:szCs w:val="24"/>
        </w:rPr>
      </w:pPr>
      <w:r w:rsidRPr="000A7D2A">
        <w:rPr>
          <w:rFonts w:ascii="Arial" w:hAnsi="Arial" w:cs="Arial"/>
          <w:b/>
          <w:i/>
          <w:color w:val="404040"/>
          <w:sz w:val="24"/>
          <w:szCs w:val="24"/>
        </w:rPr>
        <w:t>Indicadores Estratégicos</w:t>
      </w:r>
    </w:p>
    <w:p w14:paraId="3E0F4E0E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Índice de transparência da Administração Pública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: Mede o grau de transparência dos jurisdicionados, apurado através da metodologia a ser desenvolvida 2017. </w:t>
      </w:r>
    </w:p>
    <w:p w14:paraId="6C323E95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</w:t>
      </w:r>
      <w:r w:rsidRPr="000A7D2A">
        <w:rPr>
          <w:rFonts w:ascii="Arial" w:hAnsi="Arial" w:cs="Arial"/>
          <w:color w:val="000000"/>
          <w:sz w:val="24"/>
          <w:szCs w:val="24"/>
        </w:rPr>
        <w:t>: Apuração e divulgação do índice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1697"/>
        <w:gridCol w:w="1697"/>
      </w:tblGrid>
      <w:tr w:rsidR="005169C6" w:rsidRPr="000A7D2A" w14:paraId="0104B30C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5E97CF9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55A29BA1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C55944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6A251A4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C6D7ED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7FA75E2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52D522B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0B58B62D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5A3949B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a metodologia do Índice de Transparência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62CD4C8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Apurar o valor e definir meta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78FE354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4B4EDB4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B3E2D3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</w:tr>
    </w:tbl>
    <w:p w14:paraId="65519C1C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Ampliação do Portal de Informações para Todos: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execução anual do Plano de Ampliação do Portal de Informações para Todos - PIT, a ser estabelecido em 2017, para o período de 2017 a 2021.</w:t>
      </w:r>
    </w:p>
    <w:p w14:paraId="06DECE1E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sz w:val="24"/>
          <w:szCs w:val="24"/>
        </w:rPr>
        <w:t>% de cumprimento do plano de Ampliação do PIT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1697"/>
        <w:gridCol w:w="1697"/>
      </w:tblGrid>
      <w:tr w:rsidR="005169C6" w:rsidRPr="000A7D2A" w14:paraId="14EE43FA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C96169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1476D4AC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13B2977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4569EC0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0B8F9D2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1F8DDE1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08E76F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7ED36D3E" w14:textId="77777777" w:rsidTr="00537C35">
        <w:trPr>
          <w:trHeight w:val="123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DC9966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o Plano de Ampliação do PIT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299B2DE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413BE96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3275038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noWrap/>
            <w:vAlign w:val="center"/>
            <w:hideMark/>
          </w:tcPr>
          <w:p w14:paraId="4E1460D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</w:tr>
    </w:tbl>
    <w:p w14:paraId="1012E7A0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04CA198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56E00E19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sz w:val="24"/>
          <w:szCs w:val="24"/>
        </w:rPr>
        <w:lastRenderedPageBreak/>
        <w:t xml:space="preserve">Objetivo 02 - Contribuir </w:t>
      </w:r>
      <w:r w:rsidRPr="000A7D2A">
        <w:rPr>
          <w:rFonts w:ascii="Arial" w:hAnsi="Arial" w:cs="Arial"/>
          <w:b/>
          <w:color w:val="000000"/>
          <w:sz w:val="24"/>
          <w:szCs w:val="24"/>
        </w:rPr>
        <w:t>para melhoria do desempenho da Administração Pública</w:t>
      </w:r>
    </w:p>
    <w:p w14:paraId="6C89B2AA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Fiscalizar tendo por objetivo a melhoraria do desempenho da Administração Pública, assegurando o cumprimento das recomendações e determinações resultantes do nosso processo decisório.</w:t>
      </w:r>
    </w:p>
    <w:p w14:paraId="79981EF0" w14:textId="77777777" w:rsidR="005169C6" w:rsidRPr="000A7D2A" w:rsidRDefault="005169C6" w:rsidP="005169C6">
      <w:pPr>
        <w:overflowPunct w:val="0"/>
        <w:adjustRightInd w:val="0"/>
        <w:spacing w:before="240"/>
        <w:textAlignment w:val="baseline"/>
        <w:rPr>
          <w:rFonts w:ascii="Arial" w:hAnsi="Arial" w:cs="Arial"/>
          <w:b/>
          <w:i/>
          <w:color w:val="404040"/>
          <w:sz w:val="24"/>
          <w:szCs w:val="24"/>
        </w:rPr>
      </w:pPr>
      <w:r w:rsidRPr="000A7D2A">
        <w:rPr>
          <w:rFonts w:ascii="Arial" w:hAnsi="Arial" w:cs="Arial"/>
          <w:b/>
          <w:i/>
          <w:color w:val="404040"/>
          <w:sz w:val="24"/>
          <w:szCs w:val="24"/>
        </w:rPr>
        <w:t>Indicadores Estratégicos</w:t>
      </w:r>
    </w:p>
    <w:p w14:paraId="5BE7CEB4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Índice de cumprimento das recomendações do TCE: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 Mede o percentual de recomendações feitas pelo Tribunal, com vencimento no exercício de apuração da meta, que foram cumpridas tempestivamente pelo ente jurisdicionado. </w:t>
      </w:r>
    </w:p>
    <w:p w14:paraId="66F1B06C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(quantidade de recomendações cumpridas / quantidade total de recomendações com prazo de vencimento no período) x 100</w:t>
      </w:r>
    </w:p>
    <w:tbl>
      <w:tblPr>
        <w:tblW w:w="4960" w:type="pct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1557"/>
        <w:gridCol w:w="1683"/>
        <w:gridCol w:w="1683"/>
        <w:gridCol w:w="1683"/>
      </w:tblGrid>
      <w:tr w:rsidR="005169C6" w:rsidRPr="000A7D2A" w14:paraId="57EFB0B3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10A01B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3029271F" w14:textId="77777777" w:rsidTr="00537C35">
        <w:trPr>
          <w:trHeight w:val="375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15AB53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FE6F84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AD00BA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A5B8DD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55D1CD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4D0F958C" w14:textId="77777777" w:rsidTr="00537C35">
        <w:trPr>
          <w:trHeight w:val="375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5CEAC2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Estabelecer o processo de registro e monitoramento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4AE15A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Apurar o valor e definir meta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580785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C95539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7B45AE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</w:tr>
    </w:tbl>
    <w:p w14:paraId="69E908F4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14:paraId="2C096477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cumprimento das determinações do TCE: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determinações (obrigações de fazer e de recolhimento) feitas pelo Tribunal, com vencimento no exercício de apuração da meta, que foram cumpridas tempestivamente pelo ente jurisdicionado.</w:t>
      </w: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F5FEB50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</w:t>
      </w:r>
      <w:r w:rsidRPr="000A7D2A">
        <w:rPr>
          <w:rFonts w:ascii="Arial" w:hAnsi="Arial" w:cs="Arial"/>
          <w:color w:val="000000"/>
          <w:sz w:val="24"/>
          <w:szCs w:val="24"/>
        </w:rPr>
        <w:t>: (quantidade de determinações cumpridas / quantidade total de determinações com prazo de vencimento no período) x100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51B820BE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DD3643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1B5214FD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FCCEA8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34EC85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0677B8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CFADB6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EC01E2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268D61F3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6FBFEA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C66521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C6755D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35579D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12F16E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</w:tr>
    </w:tbl>
    <w:p w14:paraId="18F36133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4BE4A4AA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1D8DDE02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lastRenderedPageBreak/>
        <w:t>Objetivo 03 - Combater a corrupção, a fraude e o desperdício dos recursos públicos</w:t>
      </w:r>
    </w:p>
    <w:p w14:paraId="668ABACE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Acompanhar a execução das sanções aplicadas para reparação dos danos e avaliar e fortalecer o Controle Interno dos entes jurisdicionados, levando-o a cumprir suas atribuições constitucionais e legais.</w:t>
      </w:r>
    </w:p>
    <w:p w14:paraId="732D66FF" w14:textId="77777777" w:rsidR="005169C6" w:rsidRPr="000A7D2A" w:rsidRDefault="005169C6" w:rsidP="005169C6">
      <w:pPr>
        <w:overflowPunct w:val="0"/>
        <w:adjustRightInd w:val="0"/>
        <w:spacing w:before="240"/>
        <w:textAlignment w:val="baseline"/>
        <w:rPr>
          <w:rFonts w:ascii="Arial" w:hAnsi="Arial" w:cs="Arial"/>
          <w:b/>
          <w:i/>
          <w:color w:val="404040"/>
          <w:sz w:val="24"/>
          <w:szCs w:val="24"/>
        </w:rPr>
      </w:pPr>
      <w:r w:rsidRPr="000A7D2A">
        <w:rPr>
          <w:rFonts w:ascii="Arial" w:hAnsi="Arial" w:cs="Arial"/>
          <w:b/>
          <w:i/>
          <w:color w:val="404040"/>
          <w:sz w:val="24"/>
          <w:szCs w:val="24"/>
        </w:rPr>
        <w:t>Indicadores Estratégicos</w:t>
      </w:r>
    </w:p>
    <w:p w14:paraId="2FD52FA3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Acompanhamento das Sanções Pecuniárias: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sanções pecuniárias cujos processos de cobrança estejam em pleno andamento.</w:t>
      </w:r>
    </w:p>
    <w:p w14:paraId="20914261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cálculo: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7D2A">
        <w:rPr>
          <w:rFonts w:ascii="Arial" w:hAnsi="Arial" w:cs="Arial"/>
          <w:sz w:val="24"/>
          <w:szCs w:val="24"/>
        </w:rPr>
        <w:t>(Número de sanções com execução em dia / Número total de sanções em execução) x 100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0EF7E26B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FAC459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4408D219" w14:textId="77777777" w:rsidTr="00537C35">
        <w:trPr>
          <w:trHeight w:val="416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6B5EDE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C737D6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59E6F6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A25530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4EE463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0DBA131B" w14:textId="77777777" w:rsidTr="00537C35">
        <w:trPr>
          <w:trHeight w:val="268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170D74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100BD7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470D71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7F97AC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8E82AA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</w:tr>
    </w:tbl>
    <w:p w14:paraId="367BA7A2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maturidade do sistema de controle interno dos jurisdicionados: </w:t>
      </w:r>
      <w:r w:rsidRPr="000A7D2A">
        <w:rPr>
          <w:rFonts w:ascii="Arial" w:hAnsi="Arial" w:cs="Arial"/>
          <w:color w:val="000000"/>
          <w:sz w:val="24"/>
          <w:szCs w:val="24"/>
        </w:rPr>
        <w:t>Mede o grau de estruturação e de atuação do Sistema de Controle Interno dos entes jurisdicionados, conforme metodologia de avaliação e apuração a ser estabelecida em 2017.</w:t>
      </w:r>
    </w:p>
    <w:p w14:paraId="40DACDDD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Apuração e divulgação do índice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360926AD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518733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55913EE0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81D93F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1C136E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C64182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6FF810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30518B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3637B39E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0260BE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a metodologia de avaliação do nível de maturidade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EA2EE9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Apurar o valor e definir meta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BA8CD2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5D271D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566DCF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</w:tr>
    </w:tbl>
    <w:p w14:paraId="11F27D9B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14:paraId="1EC9688B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2FBC700B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lastRenderedPageBreak/>
        <w:t>Objetivo 04 - Fortalecer a imagem institucional</w:t>
      </w:r>
    </w:p>
    <w:p w14:paraId="6B231DC6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Através da nossa conduta e atuação, gerar notícias que fortaleçam a instituição e elevem à percepção positiva da sociedade em geral e principalmente dos segmentos com quem nos relacionamos diretamente.</w:t>
      </w:r>
    </w:p>
    <w:p w14:paraId="3D3A3595" w14:textId="77777777" w:rsidR="005169C6" w:rsidRPr="000A7D2A" w:rsidRDefault="005169C6" w:rsidP="005169C6">
      <w:pPr>
        <w:overflowPunct w:val="0"/>
        <w:adjustRightInd w:val="0"/>
        <w:spacing w:before="240"/>
        <w:textAlignment w:val="baseline"/>
        <w:rPr>
          <w:rFonts w:ascii="Arial" w:hAnsi="Arial" w:cs="Arial"/>
          <w:b/>
          <w:i/>
          <w:color w:val="404040"/>
          <w:sz w:val="24"/>
          <w:szCs w:val="24"/>
        </w:rPr>
      </w:pPr>
      <w:r w:rsidRPr="000A7D2A">
        <w:rPr>
          <w:rFonts w:ascii="Arial" w:hAnsi="Arial" w:cs="Arial"/>
          <w:b/>
          <w:i/>
          <w:color w:val="404040"/>
          <w:sz w:val="24"/>
          <w:szCs w:val="24"/>
        </w:rPr>
        <w:t>Indicadores Estratégicos</w:t>
      </w:r>
    </w:p>
    <w:p w14:paraId="7D266A52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matérias positivas na mídia: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matérias veiculadas na mídia, que contribuem para uma imagem positiva do Tribunal perante a Sociedade em geral, em relação ao total de matérias veiculadas.</w:t>
      </w:r>
    </w:p>
    <w:p w14:paraId="45C9B9C9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(quantidade de matérias positivas / quantidade total de matérias veiculadas no período) x 100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188BB9E0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6E9205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23323E4C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366864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F3A9C6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68ED4E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089EE8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69026E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03163537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98CB3A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Elaborar Plano e Metodologia de Avaliação das Matérias Positivas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5D45FB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Apurar o valor e definir meta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F69A23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281CA1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831A1B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</w:tr>
    </w:tbl>
    <w:p w14:paraId="06042DE4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Nível de percepção do público alvo: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grau de satisfação, dos públicos com os quais temos relacionamento direto, com a conduta e atuação do Tribunal. </w:t>
      </w:r>
    </w:p>
    <w:p w14:paraId="69612C11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Pesquisa de Satisfação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085F9FCE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FE4676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3CD01844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7825CF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F34E28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AE3C98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FB75AD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824F4C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0524DDF0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63FC0B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o Plano de Avaliação da Percepção dos Públicos-Alvo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6D2234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69FFDA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2D21B7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173DE5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+10%</w:t>
            </w:r>
          </w:p>
        </w:tc>
      </w:tr>
    </w:tbl>
    <w:p w14:paraId="7262F443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59419165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4373AEA0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lastRenderedPageBreak/>
        <w:t>Objetivo 05 - Melhorar o desempenho do TCE-PR</w:t>
      </w:r>
    </w:p>
    <w:p w14:paraId="47FF0F49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Melhorar nosso desempenho na avaliação QATC/MMD realizada pela ATRICON e em uma relação custo x benefício favorável.</w:t>
      </w:r>
    </w:p>
    <w:p w14:paraId="1EFA3139" w14:textId="77777777" w:rsidR="005169C6" w:rsidRPr="000A7D2A" w:rsidRDefault="005169C6" w:rsidP="005169C6">
      <w:pPr>
        <w:overflowPunct w:val="0"/>
        <w:adjustRightInd w:val="0"/>
        <w:spacing w:before="240"/>
        <w:textAlignment w:val="baseline"/>
        <w:rPr>
          <w:rFonts w:ascii="Arial" w:hAnsi="Arial" w:cs="Arial"/>
          <w:b/>
          <w:i/>
          <w:color w:val="404040"/>
          <w:sz w:val="24"/>
          <w:szCs w:val="24"/>
        </w:rPr>
      </w:pPr>
      <w:r w:rsidRPr="000A7D2A">
        <w:rPr>
          <w:rFonts w:ascii="Arial" w:hAnsi="Arial" w:cs="Arial"/>
          <w:b/>
          <w:i/>
          <w:color w:val="404040"/>
          <w:sz w:val="24"/>
          <w:szCs w:val="24"/>
        </w:rPr>
        <w:t>Indicadores Estratégicos</w:t>
      </w:r>
    </w:p>
    <w:p w14:paraId="7F3F190A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Nota da </w:t>
      </w:r>
      <w:r w:rsidRPr="000A7D2A">
        <w:rPr>
          <w:rFonts w:ascii="Arial" w:hAnsi="Arial" w:cs="Arial"/>
          <w:b/>
          <w:sz w:val="24"/>
          <w:szCs w:val="24"/>
        </w:rPr>
        <w:t>avaliação QATC/MMD ATRICON</w:t>
      </w:r>
      <w:r w:rsidRPr="000A7D2A">
        <w:rPr>
          <w:rFonts w:cs="Arial"/>
          <w:b/>
          <w:sz w:val="24"/>
          <w:szCs w:val="24"/>
          <w:vertAlign w:val="superscript"/>
        </w:rPr>
        <w:footnoteReference w:id="2"/>
      </w:r>
      <w:r w:rsidRPr="000A7D2A">
        <w:rPr>
          <w:rFonts w:ascii="Arial" w:hAnsi="Arial" w:cs="Arial"/>
          <w:b/>
          <w:sz w:val="24"/>
          <w:szCs w:val="24"/>
        </w:rPr>
        <w:t xml:space="preserve">: </w:t>
      </w:r>
      <w:r w:rsidRPr="000A7D2A">
        <w:rPr>
          <w:rFonts w:ascii="Arial" w:hAnsi="Arial" w:cs="Arial"/>
          <w:color w:val="000000"/>
          <w:sz w:val="24"/>
          <w:szCs w:val="24"/>
        </w:rPr>
        <w:t>Mede o desempenho do Tribunal conforme os critérios de avaliação estabelecidos pela ATRICON e apurado através do QATC/MMD.</w:t>
      </w:r>
    </w:p>
    <w:p w14:paraId="32B0A3D2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QATC/MMD ATRICON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610B00E6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D898DA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48B62380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E2E663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5147D6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E1C03C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3C9D2F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0AE45B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75F69425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E7CB60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160CE5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9D7B8B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3D7172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DA033F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</w:tbl>
    <w:p w14:paraId="0F9E5498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Relação custo x benefício do TCE: </w:t>
      </w:r>
      <w:r w:rsidRPr="000A7D2A">
        <w:rPr>
          <w:rFonts w:ascii="Arial" w:hAnsi="Arial" w:cs="Arial"/>
          <w:color w:val="000000"/>
          <w:sz w:val="24"/>
          <w:szCs w:val="24"/>
        </w:rPr>
        <w:t>Mede a quantidade de R$ (Reais) economizados pela atuação preventiva ou recuperados pelas determinações, para cada R$ (Real) gasto com o Tribunal.</w:t>
      </w:r>
    </w:p>
    <w:p w14:paraId="481FF627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cálculo: (</w:t>
      </w:r>
      <w:r w:rsidRPr="000A7D2A">
        <w:rPr>
          <w:rFonts w:ascii="Arial" w:hAnsi="Arial" w:cs="Arial"/>
          <w:color w:val="000000"/>
          <w:sz w:val="24"/>
          <w:szCs w:val="24"/>
        </w:rPr>
        <w:t>soma dos valores imputados em débitos, ressarcimentos e economias de recursos em decorrências das ações de fiscalização / total de despesas empenhadas pelo TCE)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7B6FC918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D33131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16D57C28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A828DF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D8CF41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37D6C3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DACC9C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8C69F2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6C5A340B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708D93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 xml:space="preserve">Estabelecer metodologia de registro e mensuração financeira dos resultados da fiscalização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981957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Apurar o valor e definir meta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B4F5CC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EA63B3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A3B9F4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- </w:t>
            </w:r>
          </w:p>
        </w:tc>
      </w:tr>
    </w:tbl>
    <w:p w14:paraId="5B8B6E40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14:paraId="0F116897" w14:textId="77777777" w:rsidR="005169C6" w:rsidRPr="000A7D2A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br w:type="page"/>
      </w:r>
      <w:r w:rsidRPr="000A7D2A">
        <w:rPr>
          <w:rFonts w:ascii="Arial" w:hAnsi="Arial" w:cs="Arial"/>
          <w:b/>
          <w:color w:val="000000"/>
          <w:sz w:val="28"/>
          <w:szCs w:val="24"/>
        </w:rPr>
        <w:lastRenderedPageBreak/>
        <w:t>Perspectiva: PROCESSOS INTERNOS</w:t>
      </w:r>
    </w:p>
    <w:p w14:paraId="29E62C71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E43BEBE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06 - Estimular o Controle Social</w:t>
      </w:r>
    </w:p>
    <w:p w14:paraId="07F97B1C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Incentivar a participação da sociedade através do controle social.</w:t>
      </w:r>
    </w:p>
    <w:p w14:paraId="08F48CDC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28CC836E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implementação do Plano de Estímulo ao Controle Social: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a execução anual do Plano Bianual de Estímulo ao Controle Social, a ser estabelecido no primeiro ano de cada nova gestão. </w:t>
      </w:r>
    </w:p>
    <w:p w14:paraId="48DACC95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: </w:t>
      </w:r>
      <w:r w:rsidRPr="000A7D2A">
        <w:rPr>
          <w:rFonts w:ascii="Arial" w:hAnsi="Arial" w:cs="Arial"/>
          <w:sz w:val="24"/>
          <w:szCs w:val="24"/>
        </w:rPr>
        <w:t>% das ações do Plano finalizadas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1E38F5D9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CE73DC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31C48C28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A3C4C6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64C5C6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A81590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F40F5D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A24685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4D923569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C41A23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o Plano Bianual de Estímulo ao Controle Social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CF9D17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de implantação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6E634E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o Plano Bianual de Estímulo ao Controle Social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889286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de implantação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0DF321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o Plano Bianual de Estímulo ao Controle Social</w:t>
            </w:r>
          </w:p>
        </w:tc>
      </w:tr>
    </w:tbl>
    <w:p w14:paraId="7D17E3CB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188ADD1B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07 - Intensificar a cooperação com agentes de controle e entidades de interesse</w:t>
      </w:r>
    </w:p>
    <w:p w14:paraId="2251201D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Estreitar a relação com parceiros atuais e futuros, de forma efetiva.</w:t>
      </w:r>
    </w:p>
    <w:p w14:paraId="1D49C111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31807C6C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Ações conjuntas de controle: </w:t>
      </w:r>
      <w:r w:rsidRPr="000A7D2A">
        <w:rPr>
          <w:rFonts w:ascii="Arial" w:hAnsi="Arial" w:cs="Arial"/>
          <w:color w:val="000000"/>
          <w:sz w:val="24"/>
          <w:szCs w:val="24"/>
        </w:rPr>
        <w:t>Mede a quantidade de ações de fiscalização executadas a cada ano pelo Tribunal em conjunto com outros agentes de controle e/ou entidades de interesse.</w:t>
      </w:r>
    </w:p>
    <w:p w14:paraId="29320D82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Quantidade de ações conjuntas de controle executadas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3E1B58D6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03CF8A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14E7EAA5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A2BD87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F1D3E5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FECED3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F55228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019B2A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3D87F4DA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02168F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CC4F8A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B84744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36E0F4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04BF87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23C92032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color w:val="000000"/>
          <w:sz w:val="22"/>
        </w:rPr>
      </w:pPr>
    </w:p>
    <w:p w14:paraId="75E4DF33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2"/>
        </w:rPr>
        <w:br w:type="page"/>
      </w:r>
    </w:p>
    <w:p w14:paraId="68539AD7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Índice de efetividade das parcerias firmadas: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percentual de termos de cooperação que alcançaram os resultados esperados. </w:t>
      </w:r>
    </w:p>
    <w:p w14:paraId="6A6818EC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</w:t>
      </w:r>
      <w:r w:rsidRPr="000A7D2A">
        <w:rPr>
          <w:rFonts w:ascii="Arial" w:hAnsi="Arial" w:cs="Arial"/>
          <w:color w:val="000000"/>
          <w:sz w:val="24"/>
          <w:szCs w:val="24"/>
        </w:rPr>
        <w:t>: (quantidade de termos de cooperação firmados com outras instituições que efetivamente produziram resultados / quantidade total dos termos firmados) x 100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74FB2144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691086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6F86C702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138181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001749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2E281D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69C362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1D550B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7A1A1C5B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08D96F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2E50FE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89F845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AA476E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273A8A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</w:tr>
    </w:tbl>
    <w:p w14:paraId="56BEBB67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6E28516E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08 - Intensificar as ações de capacitação externa</w:t>
      </w:r>
    </w:p>
    <w:p w14:paraId="1BC8E233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Contribuir para o desenvolvimento e aperfeiçoamento das competências dos servidores e gestores públicos.</w:t>
      </w:r>
    </w:p>
    <w:p w14:paraId="049A6E1C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337EE8C3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Inscrições em cursos de capacitação externa: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a participação do público externo em cursos presenciais e de ensino à distância - EAD. </w:t>
      </w:r>
    </w:p>
    <w:p w14:paraId="26B44A59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quantidade de inscrições em cursos de capacitação externa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063E0955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D94F31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13C32EE9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4F8A4E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1D9D22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C61206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523F1C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EFEE5C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302BA5A8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1EB6C1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30.000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F9ED18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+10%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AD9D93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+10%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26F592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+10%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4BC8AF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A7D2A">
              <w:rPr>
                <w:rFonts w:ascii="Arial" w:hAnsi="Arial" w:cs="Arial"/>
                <w:sz w:val="24"/>
                <w:szCs w:val="24"/>
              </w:rPr>
              <w:t>+10%</w:t>
            </w:r>
          </w:p>
        </w:tc>
      </w:tr>
    </w:tbl>
    <w:p w14:paraId="157EF0E8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41ECA3B6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09 - Aperfeiçoar os processos de fiscalização</w:t>
      </w:r>
    </w:p>
    <w:p w14:paraId="2E515622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Melhorar a eficiência e a eficácia dos nossos processos de trabalho de fiscalização.</w:t>
      </w:r>
    </w:p>
    <w:p w14:paraId="0162281A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2DA92771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ATRICON - QATC-10</w:t>
      </w:r>
      <w:r w:rsidRPr="000A7D2A">
        <w:rPr>
          <w:rFonts w:cs="Arial"/>
          <w:b/>
          <w:color w:val="000000"/>
          <w:sz w:val="24"/>
          <w:szCs w:val="24"/>
          <w:vertAlign w:val="superscript"/>
        </w:rPr>
        <w:footnoteReference w:id="3"/>
      </w: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 - Agilidade no julgamento de processos e gerenciamento de prazos pelos Tribunais de Contas: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grau em que o Tribunal atende aos critérios de avaliação estabelecidos pela ATRICON, relativos à instrução e julgamento de processos, apurado através do QATC-10. </w:t>
      </w:r>
    </w:p>
    <w:p w14:paraId="4D5AE428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Contagem dos itens atendidos</w:t>
      </w: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2F5FBDF6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2EFAA2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Metas</w:t>
            </w:r>
          </w:p>
        </w:tc>
      </w:tr>
      <w:tr w:rsidR="005169C6" w:rsidRPr="000A7D2A" w14:paraId="4071D4F7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70762C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1645E8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28B47C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44D2B8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F8BC78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6D0866F3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A03E28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216CE0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FEAD31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EB0C61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EAC24B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14:paraId="76627182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39A98489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ATRICON - QATC-11</w:t>
      </w:r>
      <w:r w:rsidRPr="000A7D2A">
        <w:rPr>
          <w:rFonts w:cs="Arial"/>
          <w:b/>
          <w:color w:val="000000"/>
          <w:sz w:val="24"/>
          <w:szCs w:val="24"/>
          <w:vertAlign w:val="superscript"/>
        </w:rPr>
        <w:footnoteReference w:id="4"/>
      </w: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 - Controle Externo Concomitante: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grau em que o Tribunal atende aos critérios de avaliação estabelecidos pela ATRICON, relativos à fiscalização concomitante, apurado através do QATC-11. </w:t>
      </w:r>
    </w:p>
    <w:p w14:paraId="374E3C6F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Contagem dos itens atendidos</w:t>
      </w: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4682F518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F713EC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7BD89F76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2901838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A1F4B1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D8FF5D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6D7F09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535610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1614CB56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06A621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C42A9E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47D0C0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C439E8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9261C3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</w:tbl>
    <w:p w14:paraId="36C970EB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68FDB691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10 - Ampliar e aperfeiçoar a sistemática de avaliação do desempenho da Administração Pública baseada em indicadores</w:t>
      </w:r>
    </w:p>
    <w:p w14:paraId="6851D8A7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Aferir e divulgar sistematicamente o desempenho da Administração Pública.</w:t>
      </w:r>
    </w:p>
    <w:p w14:paraId="26F161CD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1541B4DD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Número de indicadores desenvolvidos, medidos e publicados regularmente: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 Mede a quantidade de novos indicadores de avaliação da Administração Pública desenvolvidos e publicados no exercício. </w:t>
      </w:r>
    </w:p>
    <w:p w14:paraId="14C44F64" w14:textId="77777777" w:rsidR="005169C6" w:rsidRPr="000A7D2A" w:rsidRDefault="005169C6" w:rsidP="005169C6">
      <w:pPr>
        <w:tabs>
          <w:tab w:val="left" w:pos="2361"/>
        </w:tabs>
        <w:overflowPunct w:val="0"/>
        <w:adjustRightInd w:val="0"/>
        <w:spacing w:before="120" w:after="120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quantidade de indicadores desenvolvidos e publicados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3D223096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A265F4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64B5FACA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3AEC5C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42E5601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4A4508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EB26D1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E10C72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15722E67" w14:textId="77777777" w:rsidTr="00537C35">
        <w:trPr>
          <w:trHeight w:val="37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462F186" w14:textId="77777777" w:rsidR="005169C6" w:rsidRPr="000A7D2A" w:rsidRDefault="005169C6" w:rsidP="00537C35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Apurar e divulgar os dois indicadores existentes (educação e saúde)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2D868D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33BAF3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3BCBA8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6A4C8AB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+1</w:t>
            </w:r>
          </w:p>
        </w:tc>
      </w:tr>
    </w:tbl>
    <w:p w14:paraId="586AE76E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183D41C7" w14:textId="77777777" w:rsidR="005169C6" w:rsidRPr="000A7D2A" w:rsidRDefault="005169C6" w:rsidP="005169C6">
      <w:pPr>
        <w:autoSpaceDE/>
        <w:autoSpaceDN/>
        <w:spacing w:after="160" w:line="256" w:lineRule="auto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br w:type="page"/>
      </w:r>
      <w:r w:rsidRPr="000A7D2A">
        <w:rPr>
          <w:rFonts w:ascii="Arial" w:hAnsi="Arial" w:cs="Arial"/>
          <w:b/>
          <w:color w:val="000000"/>
          <w:sz w:val="24"/>
          <w:szCs w:val="24"/>
        </w:rPr>
        <w:lastRenderedPageBreak/>
        <w:t>Objetivo 11 - Aperfeiçoar os processos de trabalho de suporte e gestão</w:t>
      </w:r>
    </w:p>
    <w:p w14:paraId="01112878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Revisar e definir as rotinas, otimizando e integrando os processos de trabalho de suporte e gestão.</w:t>
      </w:r>
    </w:p>
    <w:p w14:paraId="0A4A276A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59D6BA3D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Processos de trabalho aperfeiçoados (otimizados, padronizados, implantados e monitorados por indicadores):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execução anual do Plano de Aperfeiçoamento dos Processos de Trabalho de Gestão e Suporte.</w:t>
      </w: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14:paraId="1DB3AC5D" w14:textId="77777777" w:rsidR="005169C6" w:rsidRPr="000A7D2A" w:rsidRDefault="005169C6" w:rsidP="005169C6">
      <w:pPr>
        <w:overflowPunct w:val="0"/>
        <w:adjustRightInd w:val="0"/>
        <w:spacing w:before="120" w:after="12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sz w:val="24"/>
          <w:szCs w:val="24"/>
        </w:rPr>
        <w:t>% de cumprimento do plano de aperfeiçoamento de processos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343ABC8E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0E820B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4D4A4071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4C606B6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A0523C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239C56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1D57114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03DC8B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6321777B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49703B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Identificar os processos de trabalho a serem aperfeiçoados e elaborar o plano de Implantação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0768D6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F1C516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C6CEA0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95C4073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anual de implantação</w:t>
            </w:r>
          </w:p>
        </w:tc>
      </w:tr>
    </w:tbl>
    <w:p w14:paraId="15F1A5B1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12 - Aperfeiçoar a comunicação institucional</w:t>
      </w:r>
    </w:p>
    <w:p w14:paraId="726E4260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Aprimorar os canais formais e informais de comunicação do TCE-PR com seus públicos de interesse.</w:t>
      </w:r>
    </w:p>
    <w:p w14:paraId="0AF55D3B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020659C2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QATC-26</w:t>
      </w:r>
      <w:r w:rsidRPr="000A7D2A">
        <w:rPr>
          <w:rFonts w:cs="Arial"/>
          <w:b/>
          <w:color w:val="000000"/>
          <w:sz w:val="24"/>
          <w:szCs w:val="24"/>
          <w:vertAlign w:val="superscript"/>
        </w:rPr>
        <w:footnoteReference w:id="5"/>
      </w: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: Comunicação com a mídia, com os cidadãos e com as organizações da sociedade civil: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grau em que o Tribunal atende aos critérios de avaliação estabelecidos pela ATRICON, relativos à comunicação institucional com a mídia, com os cidadãos e com as organizações da sociedade civil, apurado através do QATC-26. </w:t>
      </w:r>
    </w:p>
    <w:p w14:paraId="48AE193B" w14:textId="77777777" w:rsidR="005169C6" w:rsidRPr="000A7D2A" w:rsidRDefault="005169C6" w:rsidP="005169C6">
      <w:pPr>
        <w:overflowPunct w:val="0"/>
        <w:adjustRightInd w:val="0"/>
        <w:spacing w:before="120" w:after="120" w:line="276" w:lineRule="auto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color w:val="000000"/>
          <w:sz w:val="24"/>
          <w:szCs w:val="24"/>
        </w:rPr>
        <w:t>Contagem dos itens atendidos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68266DF8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5A0AB74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5EA561F2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555A60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1CE1ED9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B82444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F82ECC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CC3627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2298FE49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9AB5E4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E4C89B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94BBC4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598282E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EE4979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14:paraId="625FFC6D" w14:textId="77777777" w:rsidR="005169C6" w:rsidRPr="000A7D2A" w:rsidRDefault="005169C6" w:rsidP="005169C6">
      <w:pPr>
        <w:overflowPunct w:val="0"/>
        <w:adjustRightInd w:val="0"/>
        <w:spacing w:before="360" w:after="36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br w:type="page"/>
      </w:r>
      <w:r w:rsidRPr="000A7D2A">
        <w:rPr>
          <w:rFonts w:ascii="Arial" w:hAnsi="Arial" w:cs="Arial"/>
          <w:b/>
          <w:color w:val="000000"/>
          <w:sz w:val="28"/>
          <w:szCs w:val="24"/>
        </w:rPr>
        <w:lastRenderedPageBreak/>
        <w:t>Perspectiva: PESSOAS E APRENDIZADO</w:t>
      </w:r>
    </w:p>
    <w:p w14:paraId="1763CD7F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13 - Desenvolver competências comportamentais, técnicas e gerenciais</w:t>
      </w:r>
    </w:p>
    <w:p w14:paraId="6ACF4A31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Desenvolver e aperfeiçoar as competências dos membros e servidores.</w:t>
      </w:r>
    </w:p>
    <w:p w14:paraId="2D5E1776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0DB6E5CF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execução do Plano de Desenvolvimento de Competências de membros e servidores: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percentual de execução anual do Plano de Capacitação de Membros e Servidores a ser estabelecido em 2017. </w:t>
      </w:r>
    </w:p>
    <w:p w14:paraId="3C9AE4CE" w14:textId="77777777" w:rsidR="005169C6" w:rsidRPr="000A7D2A" w:rsidRDefault="005169C6" w:rsidP="005169C6">
      <w:pPr>
        <w:overflowPunct w:val="0"/>
        <w:adjustRightInd w:val="0"/>
        <w:spacing w:before="120" w:after="120" w:line="276" w:lineRule="auto"/>
        <w:jc w:val="both"/>
        <w:textAlignment w:val="baseline"/>
        <w:rPr>
          <w:rFonts w:ascii="Arial" w:hAnsi="Arial" w:cs="Arial"/>
          <w:i/>
          <w:color w:val="FF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</w:t>
      </w:r>
      <w:r w:rsidRPr="000A7D2A">
        <w:rPr>
          <w:rFonts w:ascii="Arial" w:hAnsi="Arial" w:cs="Arial"/>
          <w:i/>
          <w:sz w:val="24"/>
          <w:szCs w:val="24"/>
        </w:rPr>
        <w:t xml:space="preserve">: </w:t>
      </w:r>
      <w:r w:rsidRPr="000A7D2A">
        <w:rPr>
          <w:rFonts w:ascii="Arial" w:hAnsi="Arial" w:cs="Arial"/>
          <w:sz w:val="24"/>
          <w:szCs w:val="24"/>
        </w:rPr>
        <w:t>% das ações do Plano de Desenvolvimento de Competências de membros e servidores realizadas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032CDBD1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1D488BE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3900D7E5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AF996C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41B00F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1B00705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AE1F84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49FE39E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5A6DB82C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06738C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Elaboração do Plano de Capacitação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42F9A97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EE73A9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7BF45B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4FE334C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</w:tr>
    </w:tbl>
    <w:p w14:paraId="3E3F5B0F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1F951795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>Objetivo 14 - Otimizar a alocação de pessoas, alinhando competências e demandas</w:t>
      </w:r>
    </w:p>
    <w:p w14:paraId="35B66D65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Priorizar a alocação de pessoas com base em critérios formalmente estabelecidos.</w:t>
      </w:r>
    </w:p>
    <w:p w14:paraId="328F935C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4914F7D4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alocação de pessoas: </w:t>
      </w:r>
      <w:r w:rsidRPr="000A7D2A">
        <w:rPr>
          <w:rFonts w:ascii="Arial" w:hAnsi="Arial" w:cs="Arial"/>
          <w:color w:val="000000"/>
          <w:sz w:val="24"/>
          <w:szCs w:val="24"/>
        </w:rPr>
        <w:t xml:space="preserve">Mede o percentual de alocações que seguem os critérios formalmente estabelecidos pela política de alocação de pessoas. </w:t>
      </w:r>
    </w:p>
    <w:p w14:paraId="44745DD3" w14:textId="77777777" w:rsidR="005169C6" w:rsidRPr="000A7D2A" w:rsidRDefault="005169C6" w:rsidP="005169C6">
      <w:pPr>
        <w:overflowPunct w:val="0"/>
        <w:adjustRightInd w:val="0"/>
        <w:spacing w:before="120" w:after="12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>Fórmula de cálculo</w:t>
      </w:r>
      <w:r w:rsidRPr="000A7D2A">
        <w:rPr>
          <w:rFonts w:ascii="Arial" w:hAnsi="Arial" w:cs="Arial"/>
          <w:i/>
          <w:sz w:val="24"/>
          <w:szCs w:val="24"/>
        </w:rPr>
        <w:t xml:space="preserve">: </w:t>
      </w:r>
      <w:r w:rsidRPr="000A7D2A">
        <w:rPr>
          <w:rFonts w:ascii="Arial" w:hAnsi="Arial" w:cs="Arial"/>
          <w:sz w:val="24"/>
          <w:szCs w:val="24"/>
        </w:rPr>
        <w:t>% de pessoas alocadas com base nos critérios estabelecidos na política de alocação</w:t>
      </w:r>
    </w:p>
    <w:tbl>
      <w:tblPr>
        <w:tblW w:w="490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63"/>
      </w:tblGrid>
      <w:tr w:rsidR="005169C6" w:rsidRPr="000A7D2A" w14:paraId="217EB508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3F405160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7466A270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14F3AFA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3A55E0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5A15D2C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124486D2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9F4EE4B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3DA172C9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07291C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 xml:space="preserve">Elaboração da política de alocação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650740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78156B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7E785B6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80186EA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85%</w:t>
            </w:r>
          </w:p>
        </w:tc>
      </w:tr>
    </w:tbl>
    <w:p w14:paraId="75BD5033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7ABAA3CB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lastRenderedPageBreak/>
        <w:t>Objetivo 15 - Aperfeiçoar a gestão do desempenho e o reconhecimento profissional</w:t>
      </w:r>
    </w:p>
    <w:p w14:paraId="652A98E8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Medir, aumentar e valorizar o desempenho profissional.</w:t>
      </w:r>
    </w:p>
    <w:p w14:paraId="2E38E75B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58105730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implementação do Plano de Metas e Reconhecimento: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execução anual do Plano de Metas e Reconhecimento a ser estabelecido em 2019.</w:t>
      </w:r>
    </w:p>
    <w:p w14:paraId="05EDB112" w14:textId="77777777" w:rsidR="005169C6" w:rsidRPr="000A7D2A" w:rsidRDefault="005169C6" w:rsidP="005169C6">
      <w:pPr>
        <w:overflowPunct w:val="0"/>
        <w:adjustRightInd w:val="0"/>
        <w:spacing w:before="120" w:after="120" w:line="276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sz w:val="24"/>
          <w:szCs w:val="24"/>
        </w:rPr>
        <w:t>% das ações do Plano de Metas finalizadas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6AC315E0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0AAEB0D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48BC81F7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592B102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418C4C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542AB4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9B10B6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80FFF2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44664E8C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2D2B1CF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7FBF3D7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47C66E4D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Elaborar o Plano de Metas e Reconhecimento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2825FB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de implantação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7E9F680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90% do cronograma de implantação</w:t>
            </w:r>
          </w:p>
        </w:tc>
      </w:tr>
    </w:tbl>
    <w:p w14:paraId="23E03CAF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6C84C7A9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3CEC802D" w14:textId="77777777" w:rsidR="005169C6" w:rsidRPr="000A7D2A" w:rsidRDefault="005169C6" w:rsidP="005169C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br w:type="page"/>
      </w:r>
      <w:r w:rsidRPr="000A7D2A">
        <w:rPr>
          <w:rFonts w:ascii="Arial" w:hAnsi="Arial" w:cs="Arial"/>
          <w:b/>
          <w:color w:val="000000"/>
          <w:sz w:val="28"/>
          <w:szCs w:val="24"/>
        </w:rPr>
        <w:lastRenderedPageBreak/>
        <w:t>Perspectiva: ORÇAMENTO E LOGÍSTICA</w:t>
      </w:r>
    </w:p>
    <w:p w14:paraId="57FE19D5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A31F844" w14:textId="77777777" w:rsidR="005169C6" w:rsidRPr="000A7D2A" w:rsidRDefault="005169C6" w:rsidP="005169C6">
      <w:pPr>
        <w:overflowPunct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Objetivo 16 - Assegurar bens e serviços adequados às necessidades do </w:t>
      </w:r>
      <w:r w:rsidRPr="000A7D2A">
        <w:rPr>
          <w:rFonts w:ascii="Arial" w:hAnsi="Arial" w:cs="Arial"/>
          <w:b/>
          <w:color w:val="000000"/>
          <w:sz w:val="22"/>
          <w:szCs w:val="24"/>
        </w:rPr>
        <w:t>TCE-PR</w:t>
      </w:r>
    </w:p>
    <w:p w14:paraId="7A0E1427" w14:textId="77777777" w:rsidR="005169C6" w:rsidRPr="000A7D2A" w:rsidRDefault="005169C6" w:rsidP="005169C6">
      <w:pPr>
        <w:overflowPunct w:val="0"/>
        <w:adjustRightInd w:val="0"/>
        <w:spacing w:before="24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A7D2A">
        <w:rPr>
          <w:rFonts w:ascii="Arial" w:hAnsi="Arial" w:cs="Arial"/>
          <w:color w:val="000000"/>
          <w:sz w:val="24"/>
          <w:szCs w:val="24"/>
        </w:rPr>
        <w:t>Dotar a instituição de ambiente físico e de meios tecnológicos adequados para o desempenho eficiente e seguro de suas atividades.</w:t>
      </w:r>
    </w:p>
    <w:p w14:paraId="09281901" w14:textId="77777777" w:rsidR="005169C6" w:rsidRPr="000A7D2A" w:rsidRDefault="005169C6" w:rsidP="005169C6">
      <w:pPr>
        <w:overflowPunct w:val="0"/>
        <w:adjustRightInd w:val="0"/>
        <w:spacing w:before="240" w:line="276" w:lineRule="auto"/>
        <w:jc w:val="both"/>
        <w:textAlignment w:val="baseline"/>
        <w:rPr>
          <w:rFonts w:ascii="Arial" w:hAnsi="Arial" w:cs="Arial"/>
          <w:b/>
          <w:i/>
          <w:color w:val="000000"/>
          <w:sz w:val="24"/>
          <w:szCs w:val="24"/>
        </w:rPr>
      </w:pPr>
      <w:r w:rsidRPr="000A7D2A">
        <w:rPr>
          <w:rFonts w:ascii="Arial" w:hAnsi="Arial" w:cs="Arial"/>
          <w:b/>
          <w:i/>
          <w:color w:val="000000"/>
          <w:sz w:val="24"/>
          <w:szCs w:val="24"/>
        </w:rPr>
        <w:t>Indicadores Estratégicos</w:t>
      </w:r>
    </w:p>
    <w:p w14:paraId="6253E027" w14:textId="77777777" w:rsidR="005169C6" w:rsidRPr="000A7D2A" w:rsidRDefault="005169C6" w:rsidP="005169C6">
      <w:pPr>
        <w:numPr>
          <w:ilvl w:val="0"/>
          <w:numId w:val="1"/>
        </w:numPr>
        <w:overflowPunct w:val="0"/>
        <w:autoSpaceDE/>
        <w:autoSpaceDN/>
        <w:adjustRightInd w:val="0"/>
        <w:spacing w:before="240" w:after="200" w:line="276" w:lineRule="auto"/>
        <w:contextualSpacing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Índice de implementação Plano Plurianual de Manutenção e Investimentos em bens, serviços, obras e infraestrutura de TI: </w:t>
      </w:r>
      <w:r w:rsidRPr="000A7D2A">
        <w:rPr>
          <w:rFonts w:ascii="Arial" w:hAnsi="Arial" w:cs="Arial"/>
          <w:color w:val="000000"/>
          <w:sz w:val="24"/>
          <w:szCs w:val="24"/>
        </w:rPr>
        <w:t>Mede o percentual de execução anual do Plano Plurianual de Manutenção e Investimentos a ser elaborado em 2017.</w:t>
      </w:r>
      <w:r w:rsidRPr="000A7D2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6CB1920" w14:textId="77777777" w:rsidR="005169C6" w:rsidRPr="000A7D2A" w:rsidRDefault="005169C6" w:rsidP="005169C6">
      <w:pPr>
        <w:overflowPunct w:val="0"/>
        <w:adjustRightInd w:val="0"/>
        <w:spacing w:before="120" w:after="12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A7D2A">
        <w:rPr>
          <w:rFonts w:ascii="Arial" w:hAnsi="Arial" w:cs="Arial"/>
          <w:i/>
          <w:color w:val="000000"/>
          <w:sz w:val="24"/>
          <w:szCs w:val="24"/>
        </w:rPr>
        <w:t xml:space="preserve">Fórmula de cálculo: </w:t>
      </w:r>
      <w:r w:rsidRPr="000A7D2A">
        <w:rPr>
          <w:rFonts w:ascii="Arial" w:hAnsi="Arial" w:cs="Arial"/>
          <w:sz w:val="24"/>
          <w:szCs w:val="24"/>
        </w:rPr>
        <w:t>% das ações do Plano Plurianual de Manutenção e Investimentos em bens, serviços, obras e infraestrutura de TI finalizadas</w:t>
      </w:r>
    </w:p>
    <w:tbl>
      <w:tblPr>
        <w:tblW w:w="4960" w:type="pct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DD9C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3"/>
        <w:gridCol w:w="1683"/>
        <w:gridCol w:w="1683"/>
        <w:gridCol w:w="1683"/>
      </w:tblGrid>
      <w:tr w:rsidR="005169C6" w:rsidRPr="000A7D2A" w14:paraId="3D30760F" w14:textId="77777777" w:rsidTr="00537C35">
        <w:trPr>
          <w:trHeight w:val="37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14:paraId="788FBC1C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Metas</w:t>
            </w:r>
          </w:p>
        </w:tc>
      </w:tr>
      <w:tr w:rsidR="005169C6" w:rsidRPr="000A7D2A" w14:paraId="561E0E7A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72DE8E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74CBC6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5E3ECF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406B91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0F87145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D2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5169C6" w:rsidRPr="000A7D2A" w14:paraId="506D2996" w14:textId="77777777" w:rsidTr="00537C35">
        <w:trPr>
          <w:trHeight w:val="3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5A1E30D1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Elaboração do plano e cumprimento do cronograma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5343A6B4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Cumprimento do cronograma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55F2CF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Vinculação do Plano ao PPA 2020-2023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0F4DF1CE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Cumprimento do cronograma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3C422408" w14:textId="77777777" w:rsidR="005169C6" w:rsidRPr="000A7D2A" w:rsidRDefault="005169C6" w:rsidP="00537C35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D2A">
              <w:rPr>
                <w:rFonts w:ascii="Arial" w:hAnsi="Arial" w:cs="Arial"/>
                <w:color w:val="000000"/>
                <w:sz w:val="24"/>
                <w:szCs w:val="24"/>
              </w:rPr>
              <w:t>Cumprimento do cronograma</w:t>
            </w:r>
          </w:p>
        </w:tc>
      </w:tr>
    </w:tbl>
    <w:p w14:paraId="06E141CD" w14:textId="77777777" w:rsidR="005169C6" w:rsidRPr="000A7D2A" w:rsidRDefault="005169C6" w:rsidP="005169C6">
      <w:pPr>
        <w:overflowPunct w:val="0"/>
        <w:adjustRightInd w:val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AA614F1" w14:textId="77777777" w:rsidR="005169C6" w:rsidRPr="00AC0D10" w:rsidRDefault="005169C6" w:rsidP="005169C6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14:paraId="709860E1" w14:textId="77777777" w:rsidR="00E642A1" w:rsidRDefault="00E642A1"/>
    <w:sectPr w:rsidR="00E642A1" w:rsidSect="005169C6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31D5" w14:textId="77777777" w:rsidR="00951EFA" w:rsidRDefault="00951EFA" w:rsidP="005169C6">
      <w:r>
        <w:separator/>
      </w:r>
    </w:p>
  </w:endnote>
  <w:endnote w:type="continuationSeparator" w:id="0">
    <w:p w14:paraId="30975D0B" w14:textId="77777777" w:rsidR="00951EFA" w:rsidRDefault="00951EFA" w:rsidP="0051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739C" w14:textId="77777777" w:rsidR="00951EFA" w:rsidRDefault="00951EFA" w:rsidP="005169C6">
      <w:r>
        <w:separator/>
      </w:r>
    </w:p>
  </w:footnote>
  <w:footnote w:type="continuationSeparator" w:id="0">
    <w:p w14:paraId="6D1E3F13" w14:textId="77777777" w:rsidR="00951EFA" w:rsidRDefault="00951EFA" w:rsidP="005169C6">
      <w:r>
        <w:continuationSeparator/>
      </w:r>
    </w:p>
  </w:footnote>
  <w:footnote w:id="1">
    <w:p w14:paraId="7AD4E9C1" w14:textId="77777777" w:rsidR="00E807D2" w:rsidRPr="00016A55" w:rsidRDefault="00E807D2" w:rsidP="00E807D2">
      <w:pPr>
        <w:pStyle w:val="Textodenotaderodap"/>
        <w:contextualSpacing/>
        <w:rPr>
          <w:rFonts w:ascii="Arial" w:hAnsi="Arial" w:cs="Arial"/>
        </w:rPr>
      </w:pPr>
      <w:r w:rsidRPr="00E807D2">
        <w:rPr>
          <w:rStyle w:val="Hyperlink"/>
          <w:color w:val="auto"/>
          <w:u w:val="none"/>
        </w:rPr>
        <w:footnoteRef/>
      </w:r>
      <w:r w:rsidRPr="00E807D2">
        <w:t xml:space="preserve"> </w:t>
      </w:r>
      <w:bookmarkStart w:id="0" w:name="_Hlk9321415"/>
      <w:r w:rsidRPr="00016A55">
        <w:rPr>
          <w:rFonts w:ascii="Arial" w:hAnsi="Arial" w:cs="Arial"/>
          <w:b/>
        </w:rPr>
        <w:t>Notas da Biblioteca:</w:t>
      </w:r>
    </w:p>
    <w:bookmarkEnd w:id="0"/>
    <w:p w14:paraId="551888FF" w14:textId="76DAA5E3" w:rsidR="00E807D2" w:rsidRPr="00016A55" w:rsidRDefault="00E807D2" w:rsidP="00C660C8">
      <w:pPr>
        <w:pStyle w:val="PargrafodaLista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016A55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381E33" w:rsidRPr="00C660C8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="00381E33" w:rsidRPr="00016A55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1473, 31 out. 2016, p. 96-98</w:t>
        </w:r>
      </w:hyperlink>
      <w:r w:rsidR="00381E33" w:rsidRPr="00016A55">
        <w:rPr>
          <w:rFonts w:ascii="Arial" w:hAnsi="Arial" w:cs="Arial"/>
          <w:color w:val="0000FF"/>
          <w:sz w:val="20"/>
          <w:szCs w:val="20"/>
        </w:rPr>
        <w:t>.</w:t>
      </w:r>
    </w:p>
    <w:p w14:paraId="78D77BBB" w14:textId="19D78261" w:rsidR="00E807D2" w:rsidRDefault="00E807D2" w:rsidP="00C660C8">
      <w:pPr>
        <w:pStyle w:val="PargrafodaLista"/>
        <w:numPr>
          <w:ilvl w:val="0"/>
          <w:numId w:val="4"/>
        </w:numPr>
        <w:ind w:left="426" w:hanging="284"/>
        <w:jc w:val="both"/>
      </w:pPr>
      <w:r w:rsidRPr="00016A55">
        <w:rPr>
          <w:rFonts w:ascii="Arial" w:hAnsi="Arial" w:cs="Arial"/>
          <w:sz w:val="20"/>
          <w:szCs w:val="20"/>
        </w:rPr>
        <w:t xml:space="preserve">Origem: </w:t>
      </w:r>
      <w:r w:rsidR="00AB008C" w:rsidRPr="00016A55">
        <w:rPr>
          <w:rFonts w:ascii="Arial" w:hAnsi="Arial" w:cs="Arial"/>
          <w:sz w:val="20"/>
          <w:szCs w:val="20"/>
        </w:rPr>
        <w:t xml:space="preserve">Processo n. 853822/16 – </w:t>
      </w:r>
      <w:hyperlink r:id="rId2" w:history="1">
        <w:r w:rsidR="00AB008C" w:rsidRPr="00016A55">
          <w:rPr>
            <w:rStyle w:val="Hyperlink"/>
            <w:rFonts w:ascii="Arial" w:hAnsi="Arial" w:cs="Arial"/>
            <w:color w:val="0000FF"/>
            <w:sz w:val="20"/>
            <w:szCs w:val="20"/>
          </w:rPr>
          <w:t>Acórdão n. 5.277/2016 – Tribunal Pleno.</w:t>
        </w:r>
      </w:hyperlink>
    </w:p>
  </w:footnote>
  <w:footnote w:id="2">
    <w:p w14:paraId="207E0F42" w14:textId="77777777" w:rsidR="005169C6" w:rsidRDefault="005169C6" w:rsidP="005169C6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QATC/MMD – Qualidade e Agilidade dos Tribunais de Contas / Marco de Medição do Desempenho. Sistemática de avaliação dos Tribunais instituída pela ATRICON – Associação dos Membros dos Tribunais de Contas do Brasil.</w:t>
      </w:r>
    </w:p>
  </w:footnote>
  <w:footnote w:id="3">
    <w:p w14:paraId="1F1C292D" w14:textId="77777777" w:rsidR="005169C6" w:rsidRDefault="005169C6" w:rsidP="005169C6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QATC – 10 – Subconjunto de critérios de avaliação do QATC/MMD relativos à agilidade no julgamento de processos e gerenciamento de prazos.</w:t>
      </w:r>
    </w:p>
  </w:footnote>
  <w:footnote w:id="4">
    <w:p w14:paraId="166460CB" w14:textId="77777777" w:rsidR="005169C6" w:rsidRDefault="005169C6" w:rsidP="005169C6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QATC – 11 – Subconjunto de critérios de avaliação do QATC/MMD relativos à fiscalização concomitante.</w:t>
      </w:r>
    </w:p>
    <w:p w14:paraId="23E1FD20" w14:textId="77777777" w:rsidR="005169C6" w:rsidRDefault="005169C6" w:rsidP="005169C6">
      <w:pPr>
        <w:pStyle w:val="Textodenotaderodap"/>
        <w:rPr>
          <w:rFonts w:ascii="Arial" w:hAnsi="Arial" w:cs="Arial"/>
        </w:rPr>
      </w:pPr>
    </w:p>
  </w:footnote>
  <w:footnote w:id="5">
    <w:p w14:paraId="2FB88300" w14:textId="77777777" w:rsidR="005169C6" w:rsidRDefault="005169C6" w:rsidP="005169C6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QATC – 26 – Subconjunto de critérios de avaliação do QATC/MMD relativos à comunicação institucional dos Tribunais.</w:t>
      </w:r>
    </w:p>
    <w:p w14:paraId="548670B0" w14:textId="77777777" w:rsidR="005169C6" w:rsidRDefault="005169C6" w:rsidP="005169C6">
      <w:pPr>
        <w:pStyle w:val="Textodenotaderodap"/>
        <w:rPr>
          <w:rFonts w:ascii="Arial" w:hAnsi="Arial" w:cs="Arial"/>
        </w:rPr>
      </w:pPr>
    </w:p>
    <w:p w14:paraId="449DFA09" w14:textId="77777777" w:rsidR="005169C6" w:rsidRDefault="005169C6" w:rsidP="005169C6">
      <w:pPr>
        <w:pStyle w:val="Textodenotaderodap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C766" w14:textId="180DDE1B" w:rsidR="00942103" w:rsidRDefault="005169C6" w:rsidP="00942103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E0CE6" wp14:editId="5C85E77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439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3B88082" w14:textId="77777777" w:rsidR="005169C6" w:rsidRPr="006533E9" w:rsidRDefault="005169C6" w:rsidP="005169C6">
    <w:pPr>
      <w:tabs>
        <w:tab w:val="center" w:pos="4252"/>
        <w:tab w:val="right" w:pos="8504"/>
      </w:tabs>
      <w:spacing w:before="120" w:after="120"/>
      <w:ind w:left="1134"/>
      <w:jc w:val="center"/>
      <w:rPr>
        <w:rFonts w:ascii="Arial" w:hAnsi="Arial" w:cs="Arial"/>
        <w:b/>
        <w:sz w:val="30"/>
        <w:szCs w:val="30"/>
      </w:rPr>
    </w:pPr>
  </w:p>
  <w:p w14:paraId="5A9B40A3" w14:textId="77777777" w:rsidR="006560ED" w:rsidRPr="00942103" w:rsidRDefault="00000000" w:rsidP="009421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880"/>
    <w:multiLevelType w:val="hybridMultilevel"/>
    <w:tmpl w:val="12FCD5D8"/>
    <w:lvl w:ilvl="0" w:tplc="3F366164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56CC"/>
    <w:multiLevelType w:val="hybridMultilevel"/>
    <w:tmpl w:val="6694D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6458"/>
    <w:multiLevelType w:val="hybridMultilevel"/>
    <w:tmpl w:val="54801CDC"/>
    <w:lvl w:ilvl="0" w:tplc="90E073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68358">
    <w:abstractNumId w:val="1"/>
  </w:num>
  <w:num w:numId="2" w16cid:durableId="1887377359">
    <w:abstractNumId w:val="0"/>
  </w:num>
  <w:num w:numId="3" w16cid:durableId="553154689">
    <w:abstractNumId w:val="1"/>
  </w:num>
  <w:num w:numId="4" w16cid:durableId="184446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F6"/>
    <w:rsid w:val="00016A55"/>
    <w:rsid w:val="000B4439"/>
    <w:rsid w:val="00381E33"/>
    <w:rsid w:val="003B6DD8"/>
    <w:rsid w:val="004252F6"/>
    <w:rsid w:val="005169C6"/>
    <w:rsid w:val="006E55CB"/>
    <w:rsid w:val="00951EFA"/>
    <w:rsid w:val="00AB008C"/>
    <w:rsid w:val="00C3521F"/>
    <w:rsid w:val="00C660C8"/>
    <w:rsid w:val="00C809F3"/>
    <w:rsid w:val="00E642A1"/>
    <w:rsid w:val="00E8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8A09"/>
  <w15:chartTrackingRefBased/>
  <w15:docId w15:val="{EFB2FEED-B14A-440C-ACD3-574A69B5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9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9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169C6"/>
  </w:style>
  <w:style w:type="character" w:customStyle="1" w:styleId="TextodenotaderodapChar">
    <w:name w:val="Texto de nota de rodapé Char"/>
    <w:basedOn w:val="Fontepargpadro"/>
    <w:link w:val="Textodenotaderodap"/>
    <w:rsid w:val="005169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5169C6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169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9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807D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807D2"/>
    <w:pPr>
      <w:autoSpaceDE/>
      <w:autoSpaceDN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6/10/pdf/00304350.pdf" TargetMode="External"/><Relationship Id="rId1" Type="http://schemas.openxmlformats.org/officeDocument/2006/relationships/hyperlink" Target="http://www1.tce.pr.gov.br/multimidia/2016/10/pdf/0030433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CF0E-DACE-4BEE-8EA0-373E8AF2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2344</Words>
  <Characters>12661</Characters>
  <Application>Microsoft Office Word</Application>
  <DocSecurity>0</DocSecurity>
  <Lines>105</Lines>
  <Paragraphs>29</Paragraphs>
  <ScaleCrop>false</ScaleCrop>
  <Company/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9</cp:revision>
  <dcterms:created xsi:type="dcterms:W3CDTF">2022-06-23T20:45:00Z</dcterms:created>
  <dcterms:modified xsi:type="dcterms:W3CDTF">2022-07-13T00:45:00Z</dcterms:modified>
</cp:coreProperties>
</file>