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348" w:rsidRPr="00DC79AA" w:rsidRDefault="00006348" w:rsidP="00DC79AA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79AA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DC79AA">
        <w:rPr>
          <w:rFonts w:ascii="Arial" w:hAnsi="Arial" w:cs="Arial"/>
          <w:b/>
          <w:sz w:val="28"/>
          <w:szCs w:val="28"/>
        </w:rPr>
        <w:t>26/</w:t>
      </w:r>
      <w:r w:rsidR="00D20C8F">
        <w:rPr>
          <w:rFonts w:ascii="Arial" w:hAnsi="Arial" w:cs="Arial"/>
          <w:b/>
          <w:sz w:val="28"/>
          <w:szCs w:val="28"/>
        </w:rPr>
        <w:t>20</w:t>
      </w:r>
      <w:r w:rsidRPr="00DC79AA">
        <w:rPr>
          <w:rFonts w:ascii="Arial" w:hAnsi="Arial" w:cs="Arial"/>
          <w:b/>
          <w:sz w:val="28"/>
          <w:szCs w:val="28"/>
        </w:rPr>
        <w:t>11</w:t>
      </w:r>
      <w:r w:rsidR="00E81AB6" w:rsidRPr="00E81AB6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DC79AA" w:rsidRDefault="00DC79AA" w:rsidP="00D20C8F">
      <w:pPr>
        <w:widowControl w:val="0"/>
        <w:suppressAutoHyphens/>
        <w:spacing w:before="120" w:after="120" w:line="240" w:lineRule="auto"/>
        <w:jc w:val="both"/>
        <w:rPr>
          <w:rFonts w:ascii="Arial" w:hAnsi="Arial" w:cs="Arial"/>
          <w:b/>
          <w:bCs/>
        </w:rPr>
      </w:pPr>
    </w:p>
    <w:p w:rsidR="00006348" w:rsidRPr="00DC79AA" w:rsidRDefault="00006348" w:rsidP="00D20C8F">
      <w:pPr>
        <w:pStyle w:val="Ementa"/>
        <w:widowControl w:val="0"/>
        <w:suppressAutoHyphens/>
        <w:spacing w:before="120" w:after="120"/>
        <w:ind w:left="4536"/>
        <w:rPr>
          <w:rFonts w:cs="Arial"/>
          <w:i/>
          <w:szCs w:val="22"/>
        </w:rPr>
      </w:pPr>
      <w:r w:rsidRPr="00DC79AA">
        <w:rPr>
          <w:rFonts w:cs="Arial"/>
          <w:i/>
          <w:szCs w:val="22"/>
        </w:rPr>
        <w:t>Estabelece o escopo para aplicação na análise da prestação de contas municipal relativa ao exercício de 2010, compreendendo os Poderes Executivo e Legislativo Municipal, a administração direta e indireta e dá outras providências.</w:t>
      </w:r>
    </w:p>
    <w:p w:rsidR="00DC79AA" w:rsidRDefault="00DC79AA" w:rsidP="00006348">
      <w:pPr>
        <w:pStyle w:val="Ementa"/>
        <w:widowControl w:val="0"/>
        <w:suppressAutoHyphens/>
        <w:spacing w:before="0" w:after="0"/>
        <w:ind w:left="0"/>
        <w:rPr>
          <w:rFonts w:cs="Arial"/>
          <w:i/>
          <w:sz w:val="24"/>
        </w:rPr>
      </w:pPr>
    </w:p>
    <w:p w:rsidR="00006348" w:rsidRDefault="00006348" w:rsidP="00D20C8F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</w:rPr>
      </w:pPr>
      <w:r w:rsidRPr="00D20C8F">
        <w:rPr>
          <w:rFonts w:ascii="Arial" w:hAnsi="Arial" w:cs="Arial"/>
        </w:rPr>
        <w:t>O</w:t>
      </w:r>
      <w:r w:rsidRPr="00185EE3">
        <w:rPr>
          <w:rFonts w:ascii="Arial" w:hAnsi="Arial" w:cs="Arial"/>
          <w:b/>
        </w:rPr>
        <w:t xml:space="preserve"> PRESIDENTE DO TRIBUNAL DE CONTAS</w:t>
      </w:r>
      <w:r>
        <w:rPr>
          <w:rFonts w:ascii="Arial" w:hAnsi="Arial" w:cs="Arial"/>
          <w:b/>
        </w:rPr>
        <w:t xml:space="preserve"> DO PARANÁ</w:t>
      </w:r>
      <w:r w:rsidRPr="00185EE3">
        <w:rPr>
          <w:rFonts w:ascii="Arial" w:hAnsi="Arial" w:cs="Arial"/>
        </w:rPr>
        <w:t xml:space="preserve">, </w:t>
      </w:r>
      <w:r w:rsidRPr="00872A2A">
        <w:rPr>
          <w:rFonts w:ascii="Arial" w:hAnsi="Arial" w:cs="Arial"/>
        </w:rPr>
        <w:t xml:space="preserve">no uso das atribuições contidas no art. 122, I, da Lei Complementar nº 113/2005 c/c os </w:t>
      </w:r>
      <w:proofErr w:type="spellStart"/>
      <w:r w:rsidRPr="00872A2A">
        <w:rPr>
          <w:rFonts w:ascii="Arial" w:hAnsi="Arial" w:cs="Arial"/>
        </w:rPr>
        <w:t>arts</w:t>
      </w:r>
      <w:proofErr w:type="spellEnd"/>
      <w:r w:rsidRPr="00872A2A">
        <w:rPr>
          <w:rFonts w:ascii="Arial" w:hAnsi="Arial" w:cs="Arial"/>
        </w:rPr>
        <w:t xml:space="preserve">. 16, XXXIIII, 147, § 2º e 197, do Regimento Interno, e considerando os trabalhos em desenvolvimento para elaboração das Instruções Normativas previstas nos </w:t>
      </w:r>
      <w:proofErr w:type="spellStart"/>
      <w:r w:rsidRPr="00872A2A">
        <w:rPr>
          <w:rFonts w:ascii="Arial" w:hAnsi="Arial" w:cs="Arial"/>
        </w:rPr>
        <w:t>arts</w:t>
      </w:r>
      <w:proofErr w:type="spellEnd"/>
      <w:r w:rsidRPr="00872A2A">
        <w:rPr>
          <w:rFonts w:ascii="Arial" w:hAnsi="Arial" w:cs="Arial"/>
        </w:rPr>
        <w:t>. 216, § 2º e 226, § 2º, visando a regulamentação do escopo e os critérios que serão aplicados na análise das prestações de contas municipais relativas ao exercício de 2011,</w:t>
      </w:r>
    </w:p>
    <w:p w:rsidR="00DC79AA" w:rsidRDefault="00DC79AA" w:rsidP="00006348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:rsidR="00006348" w:rsidRDefault="00006348" w:rsidP="00006348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</w:rPr>
      </w:pPr>
      <w:r w:rsidRPr="00CE2EB8">
        <w:rPr>
          <w:rFonts w:ascii="Arial" w:hAnsi="Arial" w:cs="Arial"/>
          <w:b/>
        </w:rPr>
        <w:t>RESOLVE</w:t>
      </w:r>
    </w:p>
    <w:p w:rsidR="00DC79AA" w:rsidRDefault="00DC79AA" w:rsidP="00006348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</w:rPr>
      </w:pPr>
    </w:p>
    <w:p w:rsidR="00006348" w:rsidRPr="009821D3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107CFB">
        <w:rPr>
          <w:rFonts w:cs="Arial"/>
          <w:b/>
          <w:bCs w:val="0"/>
          <w:sz w:val="24"/>
        </w:rPr>
        <w:t>Art. 1º</w:t>
      </w:r>
      <w:r w:rsidRPr="00107CFB">
        <w:rPr>
          <w:rFonts w:cs="Arial"/>
          <w:bCs w:val="0"/>
          <w:sz w:val="24"/>
        </w:rPr>
        <w:t xml:space="preserve"> Esta</w:t>
      </w:r>
      <w:r w:rsidRPr="00CE7692">
        <w:rPr>
          <w:rFonts w:cs="Arial"/>
          <w:bCs w:val="0"/>
          <w:color w:val="000000"/>
          <w:sz w:val="24"/>
        </w:rPr>
        <w:t xml:space="preserve"> Instrução de Serviço aplica-se na análise das prestações de contas </w:t>
      </w:r>
      <w:r>
        <w:rPr>
          <w:rFonts w:cs="Arial"/>
          <w:bCs w:val="0"/>
          <w:color w:val="000000"/>
          <w:sz w:val="24"/>
        </w:rPr>
        <w:t>no âmbito da administração municipal</w:t>
      </w:r>
      <w:r w:rsidRPr="00E063AB">
        <w:rPr>
          <w:rFonts w:cs="Arial"/>
          <w:bCs w:val="0"/>
          <w:color w:val="000000"/>
          <w:sz w:val="24"/>
        </w:rPr>
        <w:t xml:space="preserve"> </w:t>
      </w:r>
      <w:r w:rsidRPr="00CE7692">
        <w:rPr>
          <w:rFonts w:cs="Arial"/>
          <w:bCs w:val="0"/>
          <w:color w:val="000000"/>
          <w:sz w:val="24"/>
        </w:rPr>
        <w:t>do exercício de 2010</w:t>
      </w:r>
      <w:r>
        <w:rPr>
          <w:rFonts w:cs="Arial"/>
          <w:bCs w:val="0"/>
          <w:color w:val="000000"/>
          <w:sz w:val="24"/>
        </w:rPr>
        <w:t xml:space="preserve">, abrangendo a administração direta e indireta, incluindo os consórcios </w:t>
      </w:r>
      <w:r w:rsidRPr="009821D3">
        <w:rPr>
          <w:rFonts w:cs="Arial"/>
          <w:bCs w:val="0"/>
          <w:sz w:val="24"/>
        </w:rPr>
        <w:t>intermunicipais.</w:t>
      </w:r>
    </w:p>
    <w:p w:rsidR="00006348" w:rsidRPr="00107CFB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107CFB">
        <w:rPr>
          <w:rFonts w:cs="Arial"/>
          <w:bCs w:val="0"/>
          <w:sz w:val="24"/>
        </w:rPr>
        <w:t>Parágrafo único. Entende-se como escopo para a análise da prestação de contas anual, relativa ao exercício financeiro de 2010, os itens definidos nesta Instrução e no Anexo I, compreendendo:</w:t>
      </w:r>
    </w:p>
    <w:p w:rsidR="00006348" w:rsidRPr="00107CFB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107CFB">
        <w:rPr>
          <w:rFonts w:cs="Arial"/>
          <w:bCs w:val="0"/>
          <w:sz w:val="24"/>
        </w:rPr>
        <w:t>I – escopo como o conjunto de itens que compõem a delimitação da análise, constituindo as causas para as suas conclusões;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107CFB">
        <w:rPr>
          <w:rFonts w:cs="Arial"/>
          <w:bCs w:val="0"/>
          <w:sz w:val="24"/>
        </w:rPr>
        <w:t>II – critério o resultado da análise de cada item do escopo, ou o efeito decorrente das causas constatadas na análise.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D31043">
        <w:rPr>
          <w:rFonts w:cs="Arial"/>
          <w:b/>
          <w:bCs w:val="0"/>
          <w:sz w:val="24"/>
        </w:rPr>
        <w:t>Art. 2º</w:t>
      </w:r>
      <w:r w:rsidRPr="00D31043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A análise técnica das</w:t>
      </w:r>
      <w:r w:rsidRPr="00D31043">
        <w:rPr>
          <w:rFonts w:cs="Arial"/>
          <w:bCs w:val="0"/>
          <w:sz w:val="24"/>
        </w:rPr>
        <w:t xml:space="preserve"> contas do </w:t>
      </w:r>
      <w:r>
        <w:rPr>
          <w:rFonts w:cs="Arial"/>
          <w:bCs w:val="0"/>
          <w:sz w:val="24"/>
        </w:rPr>
        <w:t>Poder Executivo municipal</w:t>
      </w:r>
      <w:r w:rsidRPr="00D31043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destina-se ao</w:t>
      </w:r>
      <w:r w:rsidRPr="00D31043">
        <w:rPr>
          <w:rFonts w:cs="Arial"/>
          <w:bCs w:val="0"/>
          <w:sz w:val="24"/>
        </w:rPr>
        <w:t xml:space="preserve"> parecer prévio</w:t>
      </w:r>
      <w:r>
        <w:rPr>
          <w:rFonts w:cs="Arial"/>
          <w:bCs w:val="0"/>
          <w:sz w:val="24"/>
        </w:rPr>
        <w:t xml:space="preserve"> emitido pelo Pleno e será</w:t>
      </w:r>
      <w:r w:rsidRPr="00D31043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configurada</w:t>
      </w:r>
      <w:r w:rsidRPr="00D31043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com base n</w:t>
      </w:r>
      <w:r w:rsidRPr="00D31043">
        <w:rPr>
          <w:rFonts w:cs="Arial"/>
          <w:bCs w:val="0"/>
          <w:sz w:val="24"/>
        </w:rPr>
        <w:t xml:space="preserve">a apreciação geral da gestão orçamentária, patrimonial, financeira e fiscal do exercício, </w:t>
      </w:r>
      <w:r>
        <w:rPr>
          <w:rFonts w:cs="Arial"/>
          <w:bCs w:val="0"/>
          <w:sz w:val="24"/>
        </w:rPr>
        <w:t>contemplando</w:t>
      </w:r>
      <w:r w:rsidRPr="00D31043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a apuração de indicadores de desempenho e fiscais, a</w:t>
      </w:r>
      <w:r w:rsidRPr="00D31043">
        <w:rPr>
          <w:rFonts w:cs="Arial"/>
          <w:bCs w:val="0"/>
          <w:sz w:val="24"/>
        </w:rPr>
        <w:t xml:space="preserve"> verificação da posição dos balanços gerais do Município</w:t>
      </w:r>
      <w:r>
        <w:rPr>
          <w:rFonts w:cs="Arial"/>
          <w:bCs w:val="0"/>
          <w:sz w:val="24"/>
        </w:rPr>
        <w:t xml:space="preserve"> e o parecer do Controle Interno</w:t>
      </w:r>
      <w:r w:rsidRPr="00D31043">
        <w:rPr>
          <w:rFonts w:cs="Arial"/>
          <w:bCs w:val="0"/>
          <w:sz w:val="24"/>
        </w:rPr>
        <w:t>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sz w:val="24"/>
        </w:rPr>
      </w:pPr>
      <w:r w:rsidRPr="008A0EDB">
        <w:rPr>
          <w:rFonts w:cs="Arial"/>
          <w:b/>
          <w:bCs w:val="0"/>
          <w:sz w:val="24"/>
        </w:rPr>
        <w:t>Art. 3º</w:t>
      </w:r>
      <w:r w:rsidRPr="008A0EDB">
        <w:rPr>
          <w:rFonts w:cs="Arial"/>
          <w:bCs w:val="0"/>
          <w:sz w:val="24"/>
        </w:rPr>
        <w:t xml:space="preserve"> As prestações de contas dos administradores municipais, sendo assim consideradas também as contas do Poder Legislativo, serão objeto de julgamento pelo Tribunal, com base na análise balizada no escopo e critérios definidos no Anexo I, de que trata o art. 1º.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4</w:t>
      </w:r>
      <w:r w:rsidRPr="00403CD9">
        <w:rPr>
          <w:rFonts w:cs="Arial"/>
          <w:b/>
          <w:bCs w:val="0"/>
          <w:color w:val="000000"/>
          <w:sz w:val="24"/>
        </w:rPr>
        <w:t>°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O julgamento aludido no art. 3º, e o opinativo para fins do parecer prévio sobre as contas do Prefeito, não implicarão</w:t>
      </w:r>
      <w:r w:rsidRPr="00E514F7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 xml:space="preserve">na convalidação ou </w:t>
      </w:r>
      <w:r w:rsidRPr="00E514F7">
        <w:rPr>
          <w:rFonts w:cs="Arial"/>
          <w:bCs w:val="0"/>
          <w:color w:val="000000"/>
          <w:sz w:val="24"/>
        </w:rPr>
        <w:t xml:space="preserve">saneamento </w:t>
      </w:r>
      <w:r>
        <w:rPr>
          <w:rFonts w:cs="Arial"/>
          <w:bCs w:val="0"/>
          <w:color w:val="000000"/>
          <w:sz w:val="24"/>
        </w:rPr>
        <w:lastRenderedPageBreak/>
        <w:t>de apontamentos não abrangidos pelo escopo referido no art. 1º.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5</w:t>
      </w:r>
      <w:r w:rsidRPr="00403CD9">
        <w:rPr>
          <w:rFonts w:cs="Arial"/>
          <w:b/>
          <w:bCs w:val="0"/>
          <w:color w:val="000000"/>
          <w:sz w:val="24"/>
        </w:rPr>
        <w:t>°</w:t>
      </w:r>
      <w:r w:rsidRPr="00403CD9">
        <w:rPr>
          <w:rFonts w:cs="Arial"/>
          <w:bCs w:val="0"/>
          <w:color w:val="000000"/>
          <w:sz w:val="24"/>
        </w:rPr>
        <w:t xml:space="preserve"> A análise </w:t>
      </w:r>
      <w:r>
        <w:rPr>
          <w:rFonts w:cs="Arial"/>
          <w:bCs w:val="0"/>
          <w:color w:val="000000"/>
          <w:sz w:val="24"/>
        </w:rPr>
        <w:t>instrutiva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será detida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n</w:t>
      </w:r>
      <w:r w:rsidRPr="00403CD9">
        <w:rPr>
          <w:rFonts w:cs="Arial"/>
          <w:bCs w:val="0"/>
          <w:color w:val="000000"/>
          <w:sz w:val="24"/>
        </w:rPr>
        <w:t xml:space="preserve">os pontos de controle relacionados pelo escopo adotado por esta Instrução, a fim de que seja garantido tratamento igualitário </w:t>
      </w:r>
      <w:r>
        <w:rPr>
          <w:rFonts w:cs="Arial"/>
          <w:bCs w:val="0"/>
          <w:color w:val="000000"/>
          <w:sz w:val="24"/>
        </w:rPr>
        <w:t xml:space="preserve">e critérios uniformes </w:t>
      </w:r>
      <w:r w:rsidRPr="00403CD9">
        <w:rPr>
          <w:rFonts w:cs="Arial"/>
          <w:bCs w:val="0"/>
          <w:color w:val="000000"/>
          <w:sz w:val="24"/>
        </w:rPr>
        <w:t xml:space="preserve">aos agentes ordenadores </w:t>
      </w:r>
      <w:r>
        <w:rPr>
          <w:rFonts w:cs="Arial"/>
          <w:bCs w:val="0"/>
          <w:color w:val="000000"/>
          <w:sz w:val="24"/>
        </w:rPr>
        <w:t xml:space="preserve">sujeitos à </w:t>
      </w:r>
      <w:r w:rsidRPr="00403CD9">
        <w:rPr>
          <w:rFonts w:cs="Arial"/>
          <w:bCs w:val="0"/>
          <w:color w:val="000000"/>
          <w:sz w:val="24"/>
        </w:rPr>
        <w:t xml:space="preserve">prestação de contas </w:t>
      </w:r>
      <w:r>
        <w:rPr>
          <w:rFonts w:cs="Arial"/>
          <w:bCs w:val="0"/>
          <w:color w:val="000000"/>
          <w:sz w:val="24"/>
        </w:rPr>
        <w:t>anual</w:t>
      </w:r>
      <w:r w:rsidRPr="00403CD9">
        <w:rPr>
          <w:rFonts w:cs="Arial"/>
          <w:bCs w:val="0"/>
          <w:color w:val="000000"/>
          <w:sz w:val="24"/>
        </w:rPr>
        <w:t>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87711D">
        <w:rPr>
          <w:rFonts w:cs="Arial"/>
          <w:b/>
          <w:bCs w:val="0"/>
          <w:color w:val="000000"/>
          <w:sz w:val="24"/>
        </w:rPr>
        <w:t>Parágrafo único.</w:t>
      </w:r>
      <w:r>
        <w:rPr>
          <w:rFonts w:cs="Arial"/>
          <w:bCs w:val="0"/>
          <w:color w:val="000000"/>
          <w:sz w:val="24"/>
        </w:rPr>
        <w:t xml:space="preserve"> </w:t>
      </w:r>
      <w:r w:rsidRPr="00403CD9">
        <w:rPr>
          <w:rFonts w:cs="Arial"/>
          <w:bCs w:val="0"/>
          <w:color w:val="000000"/>
          <w:sz w:val="24"/>
        </w:rPr>
        <w:t xml:space="preserve">A análise técnica preliminar deverá ser </w:t>
      </w:r>
      <w:r>
        <w:rPr>
          <w:rFonts w:cs="Arial"/>
          <w:bCs w:val="0"/>
          <w:color w:val="000000"/>
          <w:sz w:val="24"/>
        </w:rPr>
        <w:t>efetuada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por</w:t>
      </w:r>
      <w:r w:rsidRPr="00403CD9">
        <w:rPr>
          <w:rFonts w:cs="Arial"/>
          <w:bCs w:val="0"/>
          <w:color w:val="000000"/>
          <w:sz w:val="24"/>
        </w:rPr>
        <w:t xml:space="preserve"> sistema analisador eletrônico, cuja parametrização, ser</w:t>
      </w:r>
      <w:r>
        <w:rPr>
          <w:rFonts w:cs="Arial"/>
          <w:bCs w:val="0"/>
          <w:color w:val="000000"/>
          <w:sz w:val="24"/>
        </w:rPr>
        <w:t>á</w:t>
      </w:r>
      <w:r w:rsidRPr="00403CD9">
        <w:rPr>
          <w:rFonts w:cs="Arial"/>
          <w:bCs w:val="0"/>
          <w:color w:val="000000"/>
          <w:sz w:val="24"/>
        </w:rPr>
        <w:t xml:space="preserve"> desenvolvida pela </w:t>
      </w:r>
      <w:smartTag w:uri="urn:schemas-microsoft-com:office:smarttags" w:element="PersonName">
        <w:smartTagPr>
          <w:attr w:name="ProductID" w:val="DIRETORIA DE CONTAS MUNICIPAIS"/>
        </w:smartTagPr>
        <w:r w:rsidRPr="00403CD9">
          <w:rPr>
            <w:rFonts w:cs="Arial"/>
            <w:bCs w:val="0"/>
            <w:color w:val="000000"/>
            <w:sz w:val="24"/>
          </w:rPr>
          <w:t>Diretoria de Contas Municipais</w:t>
        </w:r>
      </w:smartTag>
      <w:r w:rsidRPr="00403CD9">
        <w:rPr>
          <w:rFonts w:cs="Arial"/>
          <w:bCs w:val="0"/>
          <w:color w:val="000000"/>
          <w:sz w:val="24"/>
        </w:rPr>
        <w:t xml:space="preserve">, restrita aos pontos </w:t>
      </w:r>
      <w:r>
        <w:rPr>
          <w:rFonts w:cs="Arial"/>
          <w:bCs w:val="0"/>
          <w:color w:val="000000"/>
          <w:sz w:val="24"/>
        </w:rPr>
        <w:t>de análise definidos</w:t>
      </w:r>
      <w:r w:rsidRPr="00403CD9">
        <w:rPr>
          <w:rFonts w:cs="Arial"/>
          <w:bCs w:val="0"/>
          <w:color w:val="000000"/>
          <w:sz w:val="24"/>
        </w:rPr>
        <w:t xml:space="preserve"> nest</w:t>
      </w:r>
      <w:r>
        <w:rPr>
          <w:rFonts w:cs="Arial"/>
          <w:bCs w:val="0"/>
          <w:color w:val="000000"/>
          <w:sz w:val="24"/>
        </w:rPr>
        <w:t>a Instrução.</w:t>
      </w:r>
    </w:p>
    <w:p w:rsidR="00006348" w:rsidRPr="00403CD9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403CD9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6</w:t>
      </w:r>
      <w:r w:rsidRPr="00403CD9">
        <w:rPr>
          <w:rFonts w:cs="Arial"/>
          <w:b/>
          <w:bCs w:val="0"/>
          <w:color w:val="000000"/>
          <w:sz w:val="24"/>
        </w:rPr>
        <w:t>º</w:t>
      </w:r>
      <w:r w:rsidRPr="00403CD9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Conforme</w:t>
      </w:r>
      <w:r w:rsidRPr="00403CD9">
        <w:rPr>
          <w:rFonts w:cs="Arial"/>
          <w:bCs w:val="0"/>
          <w:color w:val="000000"/>
          <w:sz w:val="24"/>
        </w:rPr>
        <w:t xml:space="preserve"> determinação contida no art. 352 e incisos, </w:t>
      </w:r>
      <w:r>
        <w:rPr>
          <w:rFonts w:cs="Arial"/>
          <w:bCs w:val="0"/>
          <w:color w:val="000000"/>
          <w:sz w:val="24"/>
        </w:rPr>
        <w:t xml:space="preserve">do Regimento Interno, </w:t>
      </w:r>
      <w:r w:rsidRPr="00403CD9">
        <w:rPr>
          <w:rFonts w:cs="Arial"/>
          <w:bCs w:val="0"/>
          <w:color w:val="000000"/>
          <w:sz w:val="24"/>
        </w:rPr>
        <w:t xml:space="preserve">nenhuma instrução </w:t>
      </w:r>
      <w:r>
        <w:rPr>
          <w:rFonts w:cs="Arial"/>
          <w:bCs w:val="0"/>
          <w:color w:val="000000"/>
          <w:sz w:val="24"/>
        </w:rPr>
        <w:t xml:space="preserve">processual </w:t>
      </w:r>
      <w:r w:rsidRPr="00403CD9">
        <w:rPr>
          <w:rFonts w:cs="Arial"/>
          <w:bCs w:val="0"/>
          <w:color w:val="000000"/>
          <w:sz w:val="24"/>
        </w:rPr>
        <w:t>resultante da análise de prestação de contas poderá deixar de consignar,</w:t>
      </w:r>
      <w:r>
        <w:rPr>
          <w:rFonts w:cs="Arial"/>
          <w:bCs w:val="0"/>
          <w:color w:val="000000"/>
          <w:sz w:val="24"/>
        </w:rPr>
        <w:t xml:space="preserve"> </w:t>
      </w:r>
      <w:r w:rsidRPr="00403CD9">
        <w:rPr>
          <w:rFonts w:cs="Arial"/>
          <w:bCs w:val="0"/>
          <w:color w:val="000000"/>
          <w:sz w:val="24"/>
        </w:rPr>
        <w:t xml:space="preserve">objetivamente, as conclusões, cujas hipóteses deverão ser pautadas no art. 245, do </w:t>
      </w:r>
      <w:r>
        <w:rPr>
          <w:rFonts w:cs="Arial"/>
          <w:bCs w:val="0"/>
          <w:color w:val="000000"/>
          <w:sz w:val="24"/>
        </w:rPr>
        <w:t xml:space="preserve">mesmo </w:t>
      </w:r>
      <w:r w:rsidRPr="00403CD9">
        <w:rPr>
          <w:rFonts w:cs="Arial"/>
          <w:bCs w:val="0"/>
          <w:color w:val="000000"/>
          <w:sz w:val="24"/>
        </w:rPr>
        <w:t>Regimento Interno do Tribunal de Contas, que as gradua em regulares, regulares com ressalva ou irregulares.</w:t>
      </w:r>
    </w:p>
    <w:p w:rsidR="00006348" w:rsidRPr="00403CD9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403CD9">
        <w:rPr>
          <w:rFonts w:cs="Arial"/>
          <w:bCs w:val="0"/>
          <w:color w:val="000000"/>
          <w:sz w:val="24"/>
        </w:rPr>
        <w:t>§ 1° A hipótese de indicação de conclusão pela regularidade com ressalva</w:t>
      </w:r>
      <w:r>
        <w:rPr>
          <w:rFonts w:cs="Arial"/>
          <w:bCs w:val="0"/>
          <w:color w:val="000000"/>
          <w:sz w:val="24"/>
        </w:rPr>
        <w:t>, sempre que possível,</w:t>
      </w:r>
      <w:r w:rsidRPr="00403CD9">
        <w:rPr>
          <w:rFonts w:cs="Arial"/>
          <w:bCs w:val="0"/>
          <w:color w:val="000000"/>
          <w:sz w:val="24"/>
        </w:rPr>
        <w:t xml:space="preserve"> deverá observar a inocorrência da reiterada incidência da anormalidade motivadora de tal opinativo</w:t>
      </w:r>
      <w:r>
        <w:rPr>
          <w:rFonts w:cs="Arial"/>
          <w:bCs w:val="0"/>
          <w:color w:val="000000"/>
          <w:sz w:val="24"/>
        </w:rPr>
        <w:t xml:space="preserve"> no banco de registros da Diretoria de Execuções</w:t>
      </w:r>
      <w:r w:rsidRPr="00403CD9">
        <w:rPr>
          <w:rFonts w:cs="Arial"/>
          <w:bCs w:val="0"/>
          <w:color w:val="000000"/>
          <w:sz w:val="24"/>
        </w:rPr>
        <w:t>, à luz da tempestividade do julgamento de processos anteriores e considerará, ainda, não se tratar de alternância de mandatário.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>
        <w:rPr>
          <w:rFonts w:cs="Arial"/>
          <w:bCs w:val="0"/>
          <w:color w:val="000000"/>
          <w:sz w:val="24"/>
        </w:rPr>
        <w:t>§ 2°</w:t>
      </w:r>
      <w:r w:rsidRPr="008138DD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Na</w:t>
      </w:r>
      <w:r w:rsidRPr="008138DD">
        <w:rPr>
          <w:rFonts w:cs="Arial"/>
          <w:bCs w:val="0"/>
          <w:color w:val="000000"/>
          <w:sz w:val="24"/>
        </w:rPr>
        <w:t xml:space="preserve"> hipótese de indicação de conclusão pela irregularidade das contas a peça instrutiva evidenciará e delimitará precisamente as responsabilidades e os respectivos responsáveis pelos fatos enfocados nos pontos de análise definidos nesta Instrução de Serviço</w:t>
      </w:r>
      <w:r>
        <w:rPr>
          <w:rFonts w:cs="Arial"/>
          <w:bCs w:val="0"/>
          <w:color w:val="000000"/>
          <w:sz w:val="24"/>
        </w:rPr>
        <w:t>, consoante os incisos II a V do art. 352, do Regimento Interno</w:t>
      </w:r>
      <w:r w:rsidRPr="008138DD">
        <w:rPr>
          <w:rFonts w:cs="Arial"/>
          <w:bCs w:val="0"/>
          <w:color w:val="000000"/>
          <w:sz w:val="24"/>
        </w:rPr>
        <w:t>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895430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7</w:t>
      </w:r>
      <w:r w:rsidRPr="00895430">
        <w:rPr>
          <w:rFonts w:cs="Arial"/>
          <w:b/>
          <w:bCs w:val="0"/>
          <w:color w:val="000000"/>
          <w:sz w:val="24"/>
        </w:rPr>
        <w:t>°</w:t>
      </w:r>
      <w:r w:rsidRPr="00CE7692">
        <w:rPr>
          <w:rFonts w:cs="Arial"/>
          <w:bCs w:val="0"/>
          <w:color w:val="000000"/>
          <w:sz w:val="24"/>
        </w:rPr>
        <w:t xml:space="preserve"> </w:t>
      </w:r>
      <w:r>
        <w:rPr>
          <w:rFonts w:cs="Arial"/>
          <w:bCs w:val="0"/>
          <w:color w:val="000000"/>
          <w:sz w:val="24"/>
        </w:rPr>
        <w:t>O</w:t>
      </w:r>
      <w:r w:rsidRPr="00CE7692">
        <w:rPr>
          <w:rFonts w:cs="Arial"/>
          <w:bCs w:val="0"/>
          <w:color w:val="000000"/>
          <w:sz w:val="24"/>
        </w:rPr>
        <w:t xml:space="preserve"> exame d</w:t>
      </w:r>
      <w:r>
        <w:rPr>
          <w:rFonts w:cs="Arial"/>
          <w:bCs w:val="0"/>
          <w:color w:val="000000"/>
          <w:sz w:val="24"/>
        </w:rPr>
        <w:t>a</w:t>
      </w:r>
      <w:r w:rsidRPr="00CE7692">
        <w:rPr>
          <w:rFonts w:cs="Arial"/>
          <w:bCs w:val="0"/>
          <w:color w:val="000000"/>
          <w:sz w:val="24"/>
        </w:rPr>
        <w:t xml:space="preserve"> revisão de cálculo de índices, para viabilização da certidão liberatória na forma do art. 297, do Regimento Interno, será apartado e terá precedência à análise do processo de prestação de contas, </w:t>
      </w:r>
      <w:r>
        <w:rPr>
          <w:rFonts w:cs="Arial"/>
          <w:bCs w:val="0"/>
          <w:color w:val="000000"/>
          <w:sz w:val="24"/>
        </w:rPr>
        <w:t xml:space="preserve">desde que requerido pela entidade, </w:t>
      </w:r>
      <w:r w:rsidRPr="00CE7692">
        <w:rPr>
          <w:rFonts w:cs="Arial"/>
          <w:bCs w:val="0"/>
          <w:color w:val="000000"/>
          <w:sz w:val="24"/>
        </w:rPr>
        <w:t>devendo, após apreciação pela Câmara a que integrar o Relator deste, ficar vinculado às contas respectivas.</w:t>
      </w:r>
    </w:p>
    <w:p w:rsidR="00006348" w:rsidRDefault="00006348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  <w:r w:rsidRPr="00895430">
        <w:rPr>
          <w:rFonts w:cs="Arial"/>
          <w:b/>
          <w:bCs w:val="0"/>
          <w:color w:val="000000"/>
          <w:sz w:val="24"/>
        </w:rPr>
        <w:t xml:space="preserve">Art. </w:t>
      </w:r>
      <w:r>
        <w:rPr>
          <w:rFonts w:cs="Arial"/>
          <w:b/>
          <w:bCs w:val="0"/>
          <w:color w:val="000000"/>
          <w:sz w:val="24"/>
        </w:rPr>
        <w:t>8º</w:t>
      </w:r>
      <w:r w:rsidRPr="00CE7692">
        <w:rPr>
          <w:rFonts w:cs="Arial"/>
          <w:bCs w:val="0"/>
          <w:color w:val="000000"/>
          <w:sz w:val="24"/>
        </w:rPr>
        <w:t xml:space="preserve"> </w:t>
      </w:r>
      <w:r w:rsidRPr="00511692">
        <w:rPr>
          <w:rFonts w:cs="Arial"/>
          <w:bCs w:val="0"/>
          <w:color w:val="000000"/>
          <w:sz w:val="24"/>
        </w:rPr>
        <w:t>Esta Instrução de Serviço entrará em vigor na data de sua publicação</w:t>
      </w:r>
      <w:r>
        <w:rPr>
          <w:rFonts w:cs="Arial"/>
          <w:bCs w:val="0"/>
          <w:color w:val="000000"/>
          <w:sz w:val="24"/>
        </w:rPr>
        <w:t>.</w:t>
      </w:r>
    </w:p>
    <w:p w:rsidR="00DC79AA" w:rsidRDefault="00DC79AA" w:rsidP="00D20C8F">
      <w:pPr>
        <w:pStyle w:val="ArtigosOrdinais"/>
        <w:widowControl w:val="0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uppressAutoHyphens/>
        <w:spacing w:after="120"/>
        <w:ind w:firstLine="851"/>
        <w:rPr>
          <w:rFonts w:cs="Arial"/>
          <w:bCs w:val="0"/>
          <w:color w:val="000000"/>
          <w:sz w:val="24"/>
        </w:rPr>
      </w:pPr>
    </w:p>
    <w:p w:rsidR="00006348" w:rsidRDefault="00006348" w:rsidP="00D20C8F">
      <w:pPr>
        <w:pStyle w:val="Textoemblo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ind w:left="0" w:right="0" w:firstLine="851"/>
      </w:pPr>
      <w:bookmarkStart w:id="2" w:name="DataAtualExtenso"/>
      <w:r>
        <w:t xml:space="preserve">Curitiba, </w:t>
      </w:r>
      <w:bookmarkEnd w:id="2"/>
      <w:r>
        <w:t>24 de agosto de 2011.</w:t>
      </w:r>
    </w:p>
    <w:p w:rsidR="00DC79AA" w:rsidRDefault="00DC79AA" w:rsidP="00D20C8F">
      <w:pPr>
        <w:pStyle w:val="Textoembloc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uppressAutoHyphens/>
        <w:ind w:left="0" w:right="-568" w:firstLine="851"/>
      </w:pPr>
    </w:p>
    <w:p w:rsidR="00006348" w:rsidRDefault="00006348" w:rsidP="00D20C8F">
      <w:pPr>
        <w:widowControl w:val="0"/>
        <w:suppressAutoHyphens/>
        <w:spacing w:before="120" w:after="120" w:line="240" w:lineRule="auto"/>
        <w:ind w:firstLine="851"/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t>F</w:t>
      </w:r>
      <w:r w:rsidRPr="00234D4B">
        <w:rPr>
          <w:rFonts w:ascii="Arial" w:hAnsi="Arial" w:cs="Arial"/>
          <w:b/>
          <w:noProof/>
          <w:sz w:val="28"/>
        </w:rPr>
        <w:t xml:space="preserve">ernando </w:t>
      </w:r>
      <w:r>
        <w:rPr>
          <w:rFonts w:ascii="Arial" w:hAnsi="Arial" w:cs="Arial"/>
          <w:b/>
          <w:noProof/>
          <w:sz w:val="28"/>
        </w:rPr>
        <w:t>A</w:t>
      </w:r>
      <w:r w:rsidRPr="00234D4B">
        <w:rPr>
          <w:rFonts w:ascii="Arial" w:hAnsi="Arial" w:cs="Arial"/>
          <w:b/>
          <w:noProof/>
          <w:sz w:val="28"/>
        </w:rPr>
        <w:t xml:space="preserve">ugusto </w:t>
      </w:r>
      <w:r>
        <w:rPr>
          <w:rFonts w:ascii="Arial" w:hAnsi="Arial" w:cs="Arial"/>
          <w:b/>
          <w:noProof/>
          <w:sz w:val="28"/>
        </w:rPr>
        <w:t>M</w:t>
      </w:r>
      <w:r w:rsidRPr="00234D4B">
        <w:rPr>
          <w:rFonts w:ascii="Arial" w:hAnsi="Arial" w:cs="Arial"/>
          <w:b/>
          <w:noProof/>
          <w:sz w:val="28"/>
        </w:rPr>
        <w:t xml:space="preserve">ello </w:t>
      </w:r>
      <w:r>
        <w:rPr>
          <w:rFonts w:ascii="Arial" w:hAnsi="Arial" w:cs="Arial"/>
          <w:b/>
          <w:noProof/>
          <w:sz w:val="28"/>
        </w:rPr>
        <w:t>G</w:t>
      </w:r>
      <w:r w:rsidRPr="00234D4B">
        <w:rPr>
          <w:rFonts w:ascii="Arial" w:hAnsi="Arial" w:cs="Arial"/>
          <w:b/>
          <w:noProof/>
          <w:sz w:val="28"/>
        </w:rPr>
        <w:t>uimarães</w:t>
      </w:r>
    </w:p>
    <w:p w:rsidR="00006348" w:rsidRDefault="00006348" w:rsidP="00D20C8F">
      <w:pPr>
        <w:widowControl w:val="0"/>
        <w:suppressAutoHyphens/>
        <w:spacing w:before="120" w:after="120" w:line="240" w:lineRule="auto"/>
        <w:ind w:firstLine="85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Presidente</w:t>
      </w:r>
    </w:p>
    <w:p w:rsidR="00006348" w:rsidRDefault="00006348" w:rsidP="00306301">
      <w:pPr>
        <w:widowControl w:val="0"/>
        <w:suppressAutoHyphens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w:br w:type="page"/>
      </w:r>
      <w:r w:rsidRPr="00D20C8F">
        <w:rPr>
          <w:rFonts w:ascii="Arial" w:hAnsi="Arial" w:cs="Arial"/>
          <w:b/>
          <w:bCs/>
          <w:sz w:val="24"/>
          <w:szCs w:val="24"/>
        </w:rPr>
        <w:lastRenderedPageBreak/>
        <w:t xml:space="preserve">INSTRUÇÃO DE SERVIÇO Nº </w:t>
      </w:r>
      <w:r w:rsidRPr="00D20C8F">
        <w:rPr>
          <w:rFonts w:ascii="Arial" w:hAnsi="Arial" w:cs="Arial"/>
          <w:b/>
          <w:sz w:val="24"/>
          <w:szCs w:val="24"/>
        </w:rPr>
        <w:t>26/</w:t>
      </w:r>
      <w:r w:rsidR="00D20C8F" w:rsidRPr="00D20C8F">
        <w:rPr>
          <w:rFonts w:ascii="Arial" w:hAnsi="Arial" w:cs="Arial"/>
          <w:b/>
          <w:sz w:val="24"/>
          <w:szCs w:val="24"/>
        </w:rPr>
        <w:t>20</w:t>
      </w:r>
      <w:r w:rsidRPr="00D20C8F">
        <w:rPr>
          <w:rFonts w:ascii="Arial" w:hAnsi="Arial" w:cs="Arial"/>
          <w:b/>
          <w:sz w:val="24"/>
          <w:szCs w:val="24"/>
        </w:rPr>
        <w:t>11</w:t>
      </w:r>
    </w:p>
    <w:p w:rsidR="00F01A26" w:rsidRPr="00D20C8F" w:rsidRDefault="00F01A26" w:rsidP="00306301">
      <w:pPr>
        <w:widowControl w:val="0"/>
        <w:suppressAutoHyphens/>
        <w:spacing w:before="120" w:after="12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6348" w:rsidRPr="00F01A26" w:rsidRDefault="00006348" w:rsidP="00D20C8F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F01A26">
        <w:rPr>
          <w:rFonts w:ascii="Arial" w:hAnsi="Arial" w:cs="Arial"/>
          <w:b/>
          <w:noProof/>
          <w:sz w:val="24"/>
          <w:szCs w:val="24"/>
        </w:rPr>
        <w:t>ANEXO I</w:t>
      </w:r>
    </w:p>
    <w:p w:rsidR="00F01A26" w:rsidRDefault="00F01A26" w:rsidP="00D20C8F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8"/>
        <w:gridCol w:w="5009"/>
        <w:gridCol w:w="1842"/>
        <w:gridCol w:w="1701"/>
      </w:tblGrid>
      <w:tr w:rsidR="00F01A26" w:rsidRPr="00483A6D" w:rsidTr="00F01A26">
        <w:trPr>
          <w:tblHeader/>
        </w:trPr>
        <w:tc>
          <w:tcPr>
            <w:tcW w:w="628" w:type="dxa"/>
            <w:shd w:val="clear" w:color="auto" w:fill="D9D9D9" w:themeFill="background1" w:themeFillShade="D9"/>
          </w:tcPr>
          <w:p w:rsidR="00F01A26" w:rsidRPr="00483A6D" w:rsidRDefault="00F01A26" w:rsidP="00F01A2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A6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009" w:type="dxa"/>
            <w:shd w:val="clear" w:color="auto" w:fill="D9D9D9" w:themeFill="background1" w:themeFillShade="D9"/>
          </w:tcPr>
          <w:p w:rsidR="00F01A26" w:rsidRPr="00483A6D" w:rsidRDefault="00F01A26" w:rsidP="00C9663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A6D">
              <w:rPr>
                <w:rFonts w:ascii="Arial" w:hAnsi="Arial" w:cs="Arial"/>
                <w:b/>
                <w:sz w:val="20"/>
                <w:szCs w:val="20"/>
              </w:rPr>
              <w:t>Escopo (Itens de Análise)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F01A26" w:rsidRPr="00483A6D" w:rsidRDefault="00F01A26" w:rsidP="00C9663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A6D">
              <w:rPr>
                <w:rFonts w:ascii="Arial" w:hAnsi="Arial" w:cs="Arial"/>
                <w:b/>
                <w:sz w:val="20"/>
                <w:szCs w:val="20"/>
              </w:rPr>
              <w:t>Aspectos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01A26" w:rsidRPr="00483A6D" w:rsidRDefault="00F01A26" w:rsidP="00C9663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A6D">
              <w:rPr>
                <w:rFonts w:ascii="Arial" w:hAnsi="Arial" w:cs="Arial"/>
                <w:b/>
                <w:sz w:val="20"/>
                <w:szCs w:val="20"/>
              </w:rPr>
              <w:t>Efeitos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Remuneração dos Agentes Políticos.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Constitucionais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Falta de Aplicação do Índice Mínimo em Manutenção e Desenvolvimento da Educação Básica.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Constitucionais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Falta de Aplicação de 60% dos Recursos do FUNDEB para o Magistério.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Constitucionais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Aplicação em Saúde - Insuficiência frente o percentual mínimo.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Constitucionais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Despesas Com Pessoal - Retorno ao Limite.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Despesas Com Pessoal - Redução de 1/3.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Ausência da Declaração de realização da Audiência Pública para avaliação das Metas Fiscais.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Extrapolação do limite para a Dívida Consolidada.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Existência de obra paralisada no Município.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Omissão do Controle Interno em fiscalizar.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Fiscais (LC101/00)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Utilização de recursos da Previdência extinta em desvio de finalidade.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Não foi encaminhado o Relatório do Controle Interno.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Situação do Responsável pelo Controle Interno em desacordo com as normas.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 Relatório do Controle Interno possui indicação de irregularidade.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 Resolução e/ou Parecer do Conselho de Saúde apresenta conclusão por Ressalva.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Ressalva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 Resolução e/ou Parecer do Conselho de Saúde apresenta conclusão por Irregularidade.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Não foi encaminhada a Resolução e/ou Parecer do Conselho de Saúde.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Legais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Legalidade das Alterações Orçamentárias - Abertura de créditos adicionais acima do limite autorizado.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Orçamentários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Resultado Financeiro Deficitário das Fontes Não Vinculadas.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Orçamentários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Não Obtenção de Resultado Primário.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Orçamentários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Efetividade no cumprimento dos programas estabelecidos no PPA e LOA.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Orçamentários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Correlação entre o PPA e a LOA.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Orçamentários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tabs>
                <w:tab w:val="left" w:pos="1060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Falta de inscrição na Dívida Fundada dos Precatórios notificados entre 04/05/2000 e 01/07/2009.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Valores do Ativo/Passivo Permanente do Balanço Patrimonial do SIM-AM e Contabilidade não conferem. Divergências inferiores a 10 Salários Mínimos.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Valores do Ativo e/ou Passivo Permanente do Balanço Patrimonial do SIM-AM e Contabilidade não conferem. Divergências superiores a 10 Salários Mínimos.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Valores do Compensado do Balanço Patrimonial do SIM-AM e Contabilidade não conferem.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Recomendação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Não foi encaminhado o Balanço Patrimonial emitido pela Contabilidade com a respectiva publicação.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Ausência de pagamento da Dívida Fundada - Confissão de Dívida com o RPPS.</w:t>
            </w:r>
          </w:p>
        </w:tc>
        <w:tc>
          <w:tcPr>
            <w:tcW w:w="1842" w:type="dxa"/>
          </w:tcPr>
          <w:p w:rsidR="00F01A26" w:rsidRDefault="00F01A26" w:rsidP="00C9663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Patrimoniais/</w:t>
            </w:r>
          </w:p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Financeiros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Valores do Ativo ou Passivo Financeiro do Balanço Patrimonial do SIM-AM e Contabilidade não conferem.</w:t>
            </w:r>
          </w:p>
        </w:tc>
        <w:tc>
          <w:tcPr>
            <w:tcW w:w="1842" w:type="dxa"/>
          </w:tcPr>
          <w:p w:rsidR="00F01A26" w:rsidRDefault="00F01A26" w:rsidP="00C9663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Patrimoniais/</w:t>
            </w:r>
          </w:p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Financeiros 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Não comprovação da regularidade junto ao Ministério da Previdência Social.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Previdenciário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Entrega da Prestação de Contas eletrônica com atraso.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Regulamentares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Multa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Entrega dos documentos que compõem a Prestação de Contas com atraso.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Regulamentares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Multa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Ausência de encaminhamento do Sistema SIM - Atos de Pessoal.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Regulamentares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Remuneração dos vereadores excede limite constitucional (art. 29, VII).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Legal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  <w:tr w:rsidR="00F01A26" w:rsidRPr="00EC64BD" w:rsidTr="00F01A26">
        <w:tc>
          <w:tcPr>
            <w:tcW w:w="628" w:type="dxa"/>
          </w:tcPr>
          <w:p w:rsidR="00F01A26" w:rsidRPr="00EC64BD" w:rsidRDefault="00F01A26" w:rsidP="00F01A26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009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Limite das Despesas da Câmara - Extrapolação de limites.</w:t>
            </w:r>
          </w:p>
        </w:tc>
        <w:tc>
          <w:tcPr>
            <w:tcW w:w="1842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sz w:val="20"/>
                <w:szCs w:val="20"/>
              </w:rPr>
              <w:t>Legal</w:t>
            </w:r>
          </w:p>
        </w:tc>
        <w:tc>
          <w:tcPr>
            <w:tcW w:w="1701" w:type="dxa"/>
          </w:tcPr>
          <w:p w:rsidR="00F01A26" w:rsidRPr="00EC64BD" w:rsidRDefault="00F01A26" w:rsidP="00C9663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C64BD">
              <w:rPr>
                <w:rFonts w:ascii="Arial" w:hAnsi="Arial" w:cs="Arial"/>
                <w:color w:val="000000"/>
                <w:sz w:val="20"/>
                <w:szCs w:val="20"/>
              </w:rPr>
              <w:t>Restrição</w:t>
            </w:r>
          </w:p>
        </w:tc>
      </w:tr>
    </w:tbl>
    <w:p w:rsidR="00F01A26" w:rsidRPr="00D20C8F" w:rsidRDefault="00F01A26" w:rsidP="00D20C8F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01A26" w:rsidRPr="00D20C8F" w:rsidSect="00DC79AA">
      <w:headerReference w:type="default" r:id="rId7"/>
      <w:footerReference w:type="even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EB" w:rsidRDefault="00C97389">
      <w:pPr>
        <w:spacing w:after="0" w:line="240" w:lineRule="auto"/>
      </w:pPr>
      <w:r>
        <w:separator/>
      </w:r>
    </w:p>
  </w:endnote>
  <w:endnote w:type="continuationSeparator" w:id="0">
    <w:p w:rsidR="00380FEB" w:rsidRDefault="00C9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34" w:rsidRDefault="00491534" w:rsidP="0049153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1534" w:rsidRDefault="00491534" w:rsidP="0049153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34" w:rsidRDefault="00491534" w:rsidP="00491534">
    <w:pPr>
      <w:pStyle w:val="Rodap"/>
      <w:framePr w:wrap="around" w:vAnchor="text" w:hAnchor="margin" w:xAlign="right" w:y="1"/>
      <w:rPr>
        <w:rStyle w:val="Nmerodepgina"/>
      </w:rPr>
    </w:pPr>
  </w:p>
  <w:p w:rsidR="00491534" w:rsidRDefault="00491534" w:rsidP="0049153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EB" w:rsidRDefault="00C97389">
      <w:pPr>
        <w:spacing w:after="0" w:line="240" w:lineRule="auto"/>
      </w:pPr>
      <w:r>
        <w:separator/>
      </w:r>
    </w:p>
  </w:footnote>
  <w:footnote w:type="continuationSeparator" w:id="0">
    <w:p w:rsidR="00380FEB" w:rsidRDefault="00C97389">
      <w:pPr>
        <w:spacing w:after="0" w:line="240" w:lineRule="auto"/>
      </w:pPr>
      <w:r>
        <w:continuationSeparator/>
      </w:r>
    </w:p>
  </w:footnote>
  <w:footnote w:id="1">
    <w:p w:rsidR="00E81AB6" w:rsidRPr="00903F9E" w:rsidRDefault="00E81AB6" w:rsidP="00E81AB6">
      <w:pPr>
        <w:pStyle w:val="Textodenotaderodap"/>
        <w:rPr>
          <w:rFonts w:ascii="Arial" w:hAnsi="Arial" w:cs="Arial"/>
        </w:rPr>
      </w:pPr>
      <w:r w:rsidRPr="00E81AB6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:rsidR="00E81AB6" w:rsidRPr="00E81AB6" w:rsidRDefault="00E81AB6" w:rsidP="00E81AB6">
      <w:pPr>
        <w:pStyle w:val="Textodenotaderodap"/>
        <w:ind w:left="142" w:hanging="142"/>
        <w:rPr>
          <w:rFonts w:ascii="Arial" w:hAnsi="Arial" w:cs="Arial"/>
          <w:color w:val="0000FF"/>
          <w:u w:val="single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E81AB6">
          <w:rPr>
            <w:rStyle w:val="Hyperlink"/>
            <w:rFonts w:ascii="Arial" w:hAnsi="Arial" w:cs="Arial"/>
          </w:rPr>
          <w:t>Atos Oficiais do Tribunal de Contas do Estado do Paraná, Curitiba, PR, n. 315, 2 set. 2011, p. 150-151</w:t>
        </w:r>
      </w:hyperlink>
      <w:r w:rsidRPr="00E81AB6">
        <w:rPr>
          <w:rFonts w:ascii="Arial" w:hAnsi="Arial" w:cs="Arial"/>
          <w:color w:val="0000FF"/>
          <w:u w:val="single"/>
        </w:rPr>
        <w:t>.</w:t>
      </w:r>
    </w:p>
    <w:p w:rsidR="00E81AB6" w:rsidRDefault="00E81AB6">
      <w:pPr>
        <w:pStyle w:val="Textodenotaderodap"/>
      </w:pPr>
      <w:bookmarkStart w:id="1" w:name="_GoBack"/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534" w:rsidRDefault="00C97389" w:rsidP="00491534">
    <w:pPr>
      <w:pStyle w:val="Cabealho"/>
      <w:spacing w:before="48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0" locked="0" layoutInCell="1" allowOverlap="1" wp14:anchorId="299DAB22" wp14:editId="20BB1337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534">
      <w:rPr>
        <w:rFonts w:ascii="Arial" w:hAnsi="Arial" w:cs="Arial"/>
        <w:b/>
        <w:sz w:val="30"/>
        <w:szCs w:val="30"/>
      </w:rPr>
      <w:t xml:space="preserve">TRIBUNAL </w:t>
    </w:r>
    <w:r w:rsidR="00491534" w:rsidRPr="00E80C14">
      <w:rPr>
        <w:rFonts w:ascii="Arial" w:hAnsi="Arial" w:cs="Arial"/>
        <w:b/>
        <w:sz w:val="30"/>
        <w:szCs w:val="30"/>
      </w:rPr>
      <w:t>DE CONTAS DO ESTADO DO PARANÁ</w:t>
    </w:r>
  </w:p>
  <w:p w:rsidR="00D20C8F" w:rsidRPr="00E80C14" w:rsidRDefault="00D20C8F" w:rsidP="00491534">
    <w:pPr>
      <w:pStyle w:val="Cabealho"/>
      <w:spacing w:before="480"/>
      <w:ind w:left="1134"/>
      <w:jc w:val="center"/>
      <w:rPr>
        <w:rFonts w:ascii="Arial" w:hAnsi="Arial" w:cs="Arial"/>
        <w:b/>
        <w:sz w:val="30"/>
        <w:szCs w:val="3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283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348"/>
    <w:rsid w:val="00006348"/>
    <w:rsid w:val="00306301"/>
    <w:rsid w:val="00380FEB"/>
    <w:rsid w:val="00491534"/>
    <w:rsid w:val="00551B37"/>
    <w:rsid w:val="006B2895"/>
    <w:rsid w:val="00C97389"/>
    <w:rsid w:val="00D20C8F"/>
    <w:rsid w:val="00DC79AA"/>
    <w:rsid w:val="00E81AB6"/>
    <w:rsid w:val="00ED2228"/>
    <w:rsid w:val="00F0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4:docId w14:val="09785676"/>
  <w15:docId w15:val="{D0DAA850-A638-49EF-BE3A-26A6DE95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06348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paragraph" w:styleId="Rodap">
    <w:name w:val="footer"/>
    <w:basedOn w:val="Normal"/>
    <w:link w:val="RodapChar"/>
    <w:rsid w:val="000063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0063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rsid w:val="00006348"/>
  </w:style>
  <w:style w:type="paragraph" w:styleId="Cabealho">
    <w:name w:val="header"/>
    <w:basedOn w:val="Normal"/>
    <w:link w:val="CabealhoChar"/>
    <w:uiPriority w:val="99"/>
    <w:rsid w:val="000063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link w:val="Cabealho"/>
    <w:uiPriority w:val="99"/>
    <w:rsid w:val="000063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menta">
    <w:name w:val="Ementa"/>
    <w:basedOn w:val="Normal"/>
    <w:rsid w:val="0000634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rtigosOrdinais">
    <w:name w:val="ArtigosOrdinais"/>
    <w:basedOn w:val="Normal"/>
    <w:rsid w:val="0000634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F01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E81A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81AB6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81AB6"/>
    <w:rPr>
      <w:vertAlign w:val="superscript"/>
    </w:rPr>
  </w:style>
  <w:style w:type="character" w:styleId="Hyperlink">
    <w:name w:val="Hyperlink"/>
    <w:unhideWhenUsed/>
    <w:rsid w:val="00E81A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1AB6"/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81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1/9/pdf/0000025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F737-6239-4C79-94E6-8BFAF0CD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1240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Araujo</dc:creator>
  <cp:lastModifiedBy>Yarusya Fonseca</cp:lastModifiedBy>
  <cp:revision>4</cp:revision>
  <dcterms:created xsi:type="dcterms:W3CDTF">2019-06-17T14:58:00Z</dcterms:created>
  <dcterms:modified xsi:type="dcterms:W3CDTF">2019-06-17T16:03:00Z</dcterms:modified>
</cp:coreProperties>
</file>