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314E4" w14:textId="5C149A85" w:rsidR="006A4ED3" w:rsidRDefault="00FF6684" w:rsidP="006A4ED3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59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CC6C2E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13</w:t>
      </w:r>
      <w:r w:rsidR="00B2127B" w:rsidRPr="00B2127B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14:paraId="13F39A6C" w14:textId="77777777" w:rsidR="00C14F40" w:rsidRDefault="00C14F40" w:rsidP="00C14F40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>Dispõe sobre a emissão automática das certidões de publicação pelo sistema informatizado e dá outras providências.</w:t>
      </w:r>
    </w:p>
    <w:p w14:paraId="0377D90F" w14:textId="77777777" w:rsidR="00C14F40" w:rsidRDefault="00C14F40" w:rsidP="00C14F40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do Regimento Interno,</w:t>
      </w:r>
    </w:p>
    <w:p w14:paraId="27CED44A" w14:textId="77777777" w:rsidR="00C14F40" w:rsidRDefault="00C14F40" w:rsidP="00C14F40">
      <w:pPr>
        <w:pStyle w:val="Texto"/>
        <w:spacing w:before="360" w:after="24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14:paraId="44B2EB6E" w14:textId="77777777" w:rsidR="00C14F40" w:rsidRDefault="00C14F40" w:rsidP="00C14F40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Esta Instrução de Serviço disciplina a emissão automática das certidões de publicação, referentes aos atos disponibilizados no Diário Eletrônico do Tribunal de Contas do Estado do Paraná.</w:t>
      </w:r>
    </w:p>
    <w:p w14:paraId="1EFEBEEB" w14:textId="77777777" w:rsidR="00C14F40" w:rsidRDefault="00C14F40" w:rsidP="00C14F40">
      <w:pPr>
        <w:pStyle w:val="ArtigosOrdinais"/>
        <w:ind w:firstLine="1134"/>
        <w:rPr>
          <w:sz w:val="24"/>
        </w:rPr>
      </w:pPr>
      <w:r>
        <w:rPr>
          <w:b/>
          <w:sz w:val="24"/>
        </w:rPr>
        <w:t>Art. 2º</w:t>
      </w:r>
      <w:r w:rsidRPr="00C7314D">
        <w:rPr>
          <w:sz w:val="24"/>
        </w:rPr>
        <w:t xml:space="preserve"> A</w:t>
      </w:r>
      <w:r>
        <w:rPr>
          <w:sz w:val="24"/>
        </w:rPr>
        <w:t xml:space="preserve"> emissão automática da certidão pelo sistema informatizado ocorrerá na data da efetiva publicação do ato, conforme art. 386, § 3º, do Regimento Interno, ficando dispensada a certidão de envio de publicação.</w:t>
      </w:r>
    </w:p>
    <w:p w14:paraId="2DEEFCB0" w14:textId="77777777" w:rsidR="00C14F40" w:rsidRPr="00825A7B" w:rsidRDefault="00C14F40" w:rsidP="00C14F40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 xml:space="preserve">A certidão de que trata o </w:t>
      </w:r>
      <w:r>
        <w:rPr>
          <w:i/>
          <w:sz w:val="24"/>
        </w:rPr>
        <w:t xml:space="preserve">caput </w:t>
      </w:r>
      <w:r w:rsidRPr="00505A8C">
        <w:rPr>
          <w:sz w:val="24"/>
        </w:rPr>
        <w:t>ob</w:t>
      </w:r>
      <w:r>
        <w:rPr>
          <w:sz w:val="24"/>
        </w:rPr>
        <w:t>servará o modelo abaixo.</w:t>
      </w:r>
    </w:p>
    <w:p w14:paraId="4460B212" w14:textId="77777777" w:rsidR="00C14F40" w:rsidRDefault="00C14F40" w:rsidP="00C14F40">
      <w:pPr>
        <w:shd w:val="clear" w:color="auto" w:fill="FFFFFF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CERTIDÃO DE PUBLICAÇÃO</w:t>
      </w:r>
    </w:p>
    <w:p w14:paraId="4C9C36FA" w14:textId="77777777" w:rsidR="00C14F40" w:rsidRDefault="00C14F40" w:rsidP="00C14F40">
      <w:pPr>
        <w:shd w:val="clear" w:color="auto" w:fill="FFFFFF"/>
        <w:spacing w:before="120"/>
        <w:ind w:left="567" w:right="566"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Certifica-se que o(a) </w:t>
      </w:r>
      <w:r w:rsidRPr="00026897">
        <w:rPr>
          <w:rFonts w:ascii="Arial" w:hAnsi="Arial" w:cs="Arial"/>
          <w:bCs/>
          <w:i/>
        </w:rPr>
        <w:t>(nome do ato)</w:t>
      </w:r>
      <w:r>
        <w:rPr>
          <w:rFonts w:ascii="Arial" w:hAnsi="Arial" w:cs="Arial"/>
          <w:bCs/>
        </w:rPr>
        <w:t xml:space="preserve"> nº ... – </w:t>
      </w:r>
      <w:r w:rsidRPr="00026897">
        <w:rPr>
          <w:rFonts w:ascii="Arial" w:hAnsi="Arial" w:cs="Arial"/>
          <w:bCs/>
          <w:i/>
        </w:rPr>
        <w:t>(nome da unidade emissora)</w:t>
      </w:r>
      <w:r>
        <w:rPr>
          <w:rFonts w:ascii="Arial" w:hAnsi="Arial" w:cs="Arial"/>
          <w:bCs/>
        </w:rPr>
        <w:t>, proferido(a) no processo acima citado, foi disponibilizado(a) no Diário Eletrônico do Tribunal de Contas do Estado do Paraná nº ... , do dia ... , considerando-se como data de publicação o primeiro dia útil seguinte ao da disponibilização no Diário, conforme o disposto nos §§ 3º e 4º, do art. 386, do Regimento Interno.</w:t>
      </w:r>
    </w:p>
    <w:p w14:paraId="1FF5F7E1" w14:textId="77777777" w:rsidR="00C14F40" w:rsidRDefault="00C14F40" w:rsidP="00C14F40">
      <w:pPr>
        <w:spacing w:before="360" w:after="12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Curitiba, ...</w:t>
      </w:r>
    </w:p>
    <w:p w14:paraId="580B951E" w14:textId="77777777" w:rsidR="00C14F40" w:rsidRDefault="00C14F40" w:rsidP="00C14F40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Eventual alteração do modelo de certidão poderá ser feita mediante autorização da Diretoria Geral.</w:t>
      </w:r>
    </w:p>
    <w:p w14:paraId="67F17DE5" w14:textId="4F6475D7" w:rsidR="00FF6684" w:rsidRDefault="00C14F40" w:rsidP="00C14F4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Esta Instrução de Serviço entra em vigor na data de sua publicação.</w:t>
      </w:r>
    </w:p>
    <w:p w14:paraId="1A5E79AB" w14:textId="77777777" w:rsidR="00C14F40" w:rsidRDefault="00C14F40" w:rsidP="00C14F4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</w:p>
    <w:p w14:paraId="320FB9CA" w14:textId="43A7F949" w:rsidR="00C14F40" w:rsidRDefault="00C14F40" w:rsidP="00C14F4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3 de Dezembro de 2013</w:t>
      </w:r>
      <w:r w:rsidR="004019DD">
        <w:rPr>
          <w:rFonts w:cs="Arial"/>
          <w:color w:val="000000"/>
          <w:sz w:val="24"/>
        </w:rPr>
        <w:t>.</w:t>
      </w:r>
    </w:p>
    <w:p w14:paraId="205752F3" w14:textId="77777777" w:rsidR="00C14F40" w:rsidRDefault="00C14F40" w:rsidP="00C14F4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 w:rsidRPr="009E44B6">
        <w:rPr>
          <w:rFonts w:cs="Arial"/>
          <w:b/>
          <w:color w:val="000000"/>
          <w:sz w:val="24"/>
        </w:rPr>
        <w:t>ARTAGÃO DE MATTOS LEÃO</w:t>
      </w:r>
    </w:p>
    <w:p w14:paraId="51160294" w14:textId="0E92AB41" w:rsidR="00C14F40" w:rsidRPr="006A4ED3" w:rsidRDefault="00C14F40" w:rsidP="00C14F4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lastRenderedPageBreak/>
        <w:t>Presidente</w:t>
      </w:r>
    </w:p>
    <w:p w14:paraId="703FA24C" w14:textId="380DEAE8" w:rsidR="000A0386" w:rsidRPr="006A4ED3" w:rsidRDefault="000A0386" w:rsidP="00C14F4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</w:rPr>
      </w:pPr>
    </w:p>
    <w:sectPr w:rsidR="000A0386" w:rsidRPr="006A4ED3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D7CB" w14:textId="77777777" w:rsidR="00F73D2F" w:rsidRDefault="00F73D2F">
      <w:r>
        <w:separator/>
      </w:r>
    </w:p>
  </w:endnote>
  <w:endnote w:type="continuationSeparator" w:id="0">
    <w:p w14:paraId="1A2A77C0" w14:textId="77777777" w:rsidR="00F73D2F" w:rsidRDefault="00F73D2F">
      <w:r>
        <w:continuationSeparator/>
      </w:r>
    </w:p>
  </w:endnote>
  <w:endnote w:type="continuationNotice" w:id="1">
    <w:p w14:paraId="5065BA32" w14:textId="77777777" w:rsidR="00F73D2F" w:rsidRDefault="00F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A254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661A" w14:textId="77777777" w:rsidR="00F73D2F" w:rsidRDefault="00F73D2F">
      <w:r>
        <w:separator/>
      </w:r>
    </w:p>
  </w:footnote>
  <w:footnote w:type="continuationSeparator" w:id="0">
    <w:p w14:paraId="5259B89B" w14:textId="77777777" w:rsidR="00F73D2F" w:rsidRDefault="00F73D2F">
      <w:r>
        <w:continuationSeparator/>
      </w:r>
    </w:p>
  </w:footnote>
  <w:footnote w:type="continuationNotice" w:id="1">
    <w:p w14:paraId="7E838A14" w14:textId="77777777" w:rsidR="00F73D2F" w:rsidRDefault="00F73D2F"/>
  </w:footnote>
  <w:footnote w:id="2">
    <w:p w14:paraId="4FD3EDC1" w14:textId="77777777" w:rsidR="00B2127B" w:rsidRPr="00903F9E" w:rsidRDefault="00B2127B" w:rsidP="00B2127B">
      <w:pPr>
        <w:pStyle w:val="Textodenotaderodap"/>
        <w:rPr>
          <w:rFonts w:ascii="Arial" w:hAnsi="Arial" w:cs="Arial"/>
        </w:rPr>
      </w:pPr>
      <w:r w:rsidRPr="00B2127B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14:paraId="1054F702" w14:textId="14869360" w:rsidR="00B2127B" w:rsidRPr="00903F9E" w:rsidRDefault="00B2127B" w:rsidP="00B2127B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r w:rsidRPr="00B2127B">
        <w:rPr>
          <w:rStyle w:val="Hyperlink"/>
          <w:rFonts w:ascii="Arial" w:hAnsi="Arial" w:cs="Arial"/>
        </w:rPr>
        <w:t>Diário Eletrônico do Tribunal de Contas do Estado do Paraná, Curitiba, PR, n. 786, 11 dez. 2013, p. 55-56.</w:t>
      </w:r>
      <w:bookmarkStart w:id="0" w:name="_GoBack"/>
      <w:bookmarkEnd w:id="0"/>
    </w:p>
    <w:p w14:paraId="1D78D522" w14:textId="59EB26EB" w:rsidR="00B2127B" w:rsidRDefault="00B2127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1" w14:textId="77777777" w:rsidR="0066249C" w:rsidRDefault="0066249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FA257" wp14:editId="703FA258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E2907"/>
    <w:rsid w:val="001F297B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4019DD"/>
    <w:rsid w:val="00423C8F"/>
    <w:rsid w:val="004416A7"/>
    <w:rsid w:val="004505CE"/>
    <w:rsid w:val="004604F8"/>
    <w:rsid w:val="00460C5E"/>
    <w:rsid w:val="004B5683"/>
    <w:rsid w:val="004C7958"/>
    <w:rsid w:val="00506D3A"/>
    <w:rsid w:val="005955A5"/>
    <w:rsid w:val="005B1DB9"/>
    <w:rsid w:val="005D42B6"/>
    <w:rsid w:val="005E595E"/>
    <w:rsid w:val="006509DA"/>
    <w:rsid w:val="0066249C"/>
    <w:rsid w:val="006817D5"/>
    <w:rsid w:val="006826EE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68E0"/>
    <w:rsid w:val="007F75CF"/>
    <w:rsid w:val="00814646"/>
    <w:rsid w:val="00871987"/>
    <w:rsid w:val="008719F5"/>
    <w:rsid w:val="00881F22"/>
    <w:rsid w:val="008A01F0"/>
    <w:rsid w:val="008C4F25"/>
    <w:rsid w:val="008D5003"/>
    <w:rsid w:val="00906E4D"/>
    <w:rsid w:val="00916D5F"/>
    <w:rsid w:val="00940DA6"/>
    <w:rsid w:val="00947334"/>
    <w:rsid w:val="00971BA7"/>
    <w:rsid w:val="009A1923"/>
    <w:rsid w:val="009B718E"/>
    <w:rsid w:val="009E44B6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127B"/>
    <w:rsid w:val="00B22DDC"/>
    <w:rsid w:val="00B33609"/>
    <w:rsid w:val="00B52B88"/>
    <w:rsid w:val="00B71E34"/>
    <w:rsid w:val="00B96EE0"/>
    <w:rsid w:val="00C14F40"/>
    <w:rsid w:val="00C17F9B"/>
    <w:rsid w:val="00C407CD"/>
    <w:rsid w:val="00C474AE"/>
    <w:rsid w:val="00C84F53"/>
    <w:rsid w:val="00C87498"/>
    <w:rsid w:val="00CC6C2E"/>
    <w:rsid w:val="00CD0DAD"/>
    <w:rsid w:val="00CE0A9A"/>
    <w:rsid w:val="00CE1E30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B38B6"/>
    <w:rsid w:val="00EC2AA7"/>
    <w:rsid w:val="00EC4961"/>
    <w:rsid w:val="00EF5FF1"/>
    <w:rsid w:val="00F40F61"/>
    <w:rsid w:val="00F50259"/>
    <w:rsid w:val="00F73D2F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3FA222"/>
  <w15:docId w15:val="{42B1AF9F-B04B-4197-A289-0217698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B2127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2127B"/>
  </w:style>
  <w:style w:type="character" w:styleId="Refdenotaderodap">
    <w:name w:val="footnote reference"/>
    <w:basedOn w:val="Fontepargpadro"/>
    <w:semiHidden/>
    <w:unhideWhenUsed/>
    <w:rsid w:val="00B2127B"/>
    <w:rPr>
      <w:vertAlign w:val="superscript"/>
    </w:rPr>
  </w:style>
  <w:style w:type="character" w:styleId="Hyperlink">
    <w:name w:val="Hyperlink"/>
    <w:unhideWhenUsed/>
    <w:rsid w:val="00B21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5938-8728-4057-9BD7-98EF887D3AA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11A87-2DEF-449B-838E-23AA2F48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Yarusya Rohrich da Fonseca</cp:lastModifiedBy>
  <cp:revision>3</cp:revision>
  <cp:lastPrinted>2013-12-09T19:23:00Z</cp:lastPrinted>
  <dcterms:created xsi:type="dcterms:W3CDTF">2019-05-31T14:04:00Z</dcterms:created>
  <dcterms:modified xsi:type="dcterms:W3CDTF">2019-05-31T14:05:00Z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