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544" w:rsidRPr="006B53BD" w:rsidRDefault="00180544" w:rsidP="00FE5290">
      <w:pPr>
        <w:pStyle w:val="Ttulo1"/>
        <w:rPr>
          <w:rFonts w:ascii="Arial" w:hAnsi="Arial" w:cs="Arial"/>
          <w:b/>
          <w:shadow/>
        </w:rPr>
      </w:pPr>
    </w:p>
    <w:p w:rsidR="00FE5290" w:rsidRPr="006B53BD" w:rsidRDefault="00003A61" w:rsidP="00FE5290">
      <w:pPr>
        <w:pStyle w:val="Ttulo1"/>
        <w:rPr>
          <w:rFonts w:ascii="Arial" w:hAnsi="Arial" w:cs="Arial"/>
          <w:b/>
        </w:rPr>
      </w:pPr>
      <w:r w:rsidRPr="006B53BD">
        <w:rPr>
          <w:rFonts w:ascii="Arial" w:hAnsi="Arial" w:cs="Arial"/>
          <w:b/>
          <w:sz w:val="28"/>
          <w:szCs w:val="28"/>
        </w:rPr>
        <w:t>INSTRUÇÃO</w:t>
      </w:r>
      <w:r w:rsidRPr="006B53BD">
        <w:rPr>
          <w:rFonts w:ascii="Arial" w:hAnsi="Arial" w:cs="Arial"/>
          <w:b/>
        </w:rPr>
        <w:t xml:space="preserve"> </w:t>
      </w:r>
      <w:r w:rsidR="009A7BE7" w:rsidRPr="006B53BD">
        <w:rPr>
          <w:rFonts w:ascii="Arial" w:hAnsi="Arial" w:cs="Arial"/>
          <w:b/>
        </w:rPr>
        <w:t>DE SERVIÇO</w:t>
      </w:r>
      <w:r w:rsidR="00FE5290" w:rsidRPr="006B53BD">
        <w:rPr>
          <w:rFonts w:ascii="Arial" w:hAnsi="Arial" w:cs="Arial"/>
          <w:b/>
        </w:rPr>
        <w:t xml:space="preserve"> Nº</w:t>
      </w:r>
      <w:r w:rsidRPr="006B53BD">
        <w:rPr>
          <w:rFonts w:ascii="Arial" w:hAnsi="Arial" w:cs="Arial"/>
          <w:b/>
        </w:rPr>
        <w:t xml:space="preserve"> </w:t>
      </w:r>
      <w:r w:rsidR="007C69F7" w:rsidRPr="006B53BD">
        <w:rPr>
          <w:rFonts w:ascii="Arial" w:hAnsi="Arial" w:cs="Arial"/>
          <w:b/>
        </w:rPr>
        <w:t>5</w:t>
      </w:r>
      <w:r w:rsidR="00FE5290" w:rsidRPr="006B53BD">
        <w:rPr>
          <w:rFonts w:ascii="Arial" w:hAnsi="Arial" w:cs="Arial"/>
          <w:b/>
        </w:rPr>
        <w:t>/200</w:t>
      </w:r>
      <w:r w:rsidR="00B76DBE" w:rsidRPr="006B53BD">
        <w:rPr>
          <w:rFonts w:ascii="Arial" w:hAnsi="Arial" w:cs="Arial"/>
          <w:b/>
        </w:rPr>
        <w:t>6</w:t>
      </w:r>
      <w:r w:rsidR="006B53BD" w:rsidRPr="006B53BD">
        <w:rPr>
          <w:rStyle w:val="Refdenotaderodap"/>
          <w:rFonts w:ascii="Arial" w:hAnsi="Arial" w:cs="Arial"/>
          <w:b/>
        </w:rPr>
        <w:footnoteReference w:customMarkFollows="1" w:id="1"/>
        <w:sym w:font="Symbol" w:char="F02A"/>
      </w:r>
    </w:p>
    <w:p w:rsidR="007C69F7" w:rsidRPr="006B53BD" w:rsidRDefault="007C69F7" w:rsidP="007C69F7">
      <w:pPr>
        <w:rPr>
          <w:rFonts w:ascii="Arial" w:hAnsi="Arial" w:cs="Arial"/>
        </w:rPr>
      </w:pPr>
    </w:p>
    <w:p w:rsidR="00FE5290" w:rsidRPr="006B53BD" w:rsidRDefault="007C69F7" w:rsidP="007C69F7">
      <w:pPr>
        <w:pStyle w:val="Ttulo1"/>
        <w:rPr>
          <w:rFonts w:ascii="Arial" w:hAnsi="Arial" w:cs="Arial"/>
          <w:sz w:val="28"/>
          <w:szCs w:val="28"/>
        </w:rPr>
      </w:pPr>
      <w:r w:rsidRPr="006B53BD">
        <w:rPr>
          <w:rFonts w:ascii="Arial" w:hAnsi="Arial" w:cs="Arial"/>
          <w:sz w:val="28"/>
          <w:szCs w:val="28"/>
        </w:rPr>
        <w:t>Antiga Instrução de Serviço nº 7/2006</w:t>
      </w:r>
    </w:p>
    <w:p w:rsidR="00FE5290" w:rsidRPr="006B53BD" w:rsidRDefault="00FE5290" w:rsidP="00FE5290">
      <w:pPr>
        <w:jc w:val="center"/>
        <w:rPr>
          <w:rFonts w:ascii="Arial" w:hAnsi="Arial" w:cs="Arial"/>
        </w:rPr>
      </w:pPr>
    </w:p>
    <w:p w:rsidR="00F12161" w:rsidRPr="006B53BD" w:rsidRDefault="00F12161" w:rsidP="006B53BD">
      <w:pPr>
        <w:pStyle w:val="Lista"/>
        <w:ind w:left="4536" w:firstLine="0"/>
        <w:jc w:val="both"/>
        <w:rPr>
          <w:rFonts w:ascii="Arial" w:hAnsi="Arial" w:cs="Arial"/>
          <w:i/>
        </w:rPr>
      </w:pPr>
      <w:r w:rsidRPr="006B53BD">
        <w:rPr>
          <w:rFonts w:ascii="Arial" w:hAnsi="Arial" w:cs="Arial"/>
          <w:i/>
        </w:rPr>
        <w:t>Dispõe sobre a padronização dos cálculos pela Diretoria de Execuções e dá outras providências.</w:t>
      </w:r>
    </w:p>
    <w:p w:rsidR="00C26F56" w:rsidRPr="006B53BD" w:rsidRDefault="00C26F56" w:rsidP="009A7F9B">
      <w:pPr>
        <w:autoSpaceDE w:val="0"/>
        <w:autoSpaceDN w:val="0"/>
        <w:adjustRightInd w:val="0"/>
        <w:ind w:left="4320"/>
        <w:rPr>
          <w:rFonts w:ascii="Arial" w:hAnsi="Arial" w:cs="Arial"/>
        </w:rPr>
      </w:pPr>
    </w:p>
    <w:p w:rsidR="00001AAD" w:rsidRPr="006B53BD" w:rsidRDefault="00001AAD" w:rsidP="00001AAD">
      <w:pPr>
        <w:divId w:val="1809393144"/>
        <w:rPr>
          <w:rFonts w:ascii="Arial" w:hAnsi="Arial" w:cs="Arial"/>
        </w:rPr>
      </w:pPr>
    </w:p>
    <w:p w:rsidR="00C26F56" w:rsidRPr="006B53BD" w:rsidRDefault="00C26F56" w:rsidP="00F12161">
      <w:pPr>
        <w:pStyle w:val="Corpodetexto"/>
        <w:jc w:val="center"/>
        <w:divId w:val="1809393144"/>
        <w:rPr>
          <w:rFonts w:ascii="Arial" w:hAnsi="Arial" w:cs="Arial"/>
        </w:rPr>
      </w:pPr>
      <w:r w:rsidRPr="006B53BD">
        <w:rPr>
          <w:rFonts w:ascii="Arial" w:hAnsi="Arial" w:cs="Arial"/>
        </w:rPr>
        <w:t xml:space="preserve">O </w:t>
      </w:r>
      <w:r w:rsidR="009A7F9B" w:rsidRPr="006B53BD">
        <w:rPr>
          <w:rFonts w:ascii="Arial" w:hAnsi="Arial" w:cs="Arial"/>
          <w:b/>
          <w:i/>
          <w:caps/>
        </w:rPr>
        <w:t>Presidente do Tribunal de Contas do Estado do Paraná</w:t>
      </w:r>
      <w:r w:rsidRPr="006B53BD">
        <w:rPr>
          <w:rFonts w:ascii="Arial" w:hAnsi="Arial" w:cs="Arial"/>
        </w:rPr>
        <w:t xml:space="preserve">, </w:t>
      </w:r>
      <w:r w:rsidR="009A7F9B" w:rsidRPr="006B53BD">
        <w:rPr>
          <w:rFonts w:ascii="Arial" w:hAnsi="Arial" w:cs="Arial"/>
        </w:rPr>
        <w:t>no uso das atribuições que lhe são conferidas no art. 16, e na forma do disposto no inc.  XXXIII, do artigo citado, c/c o art. 197, todos do Regimento Interno,</w:t>
      </w:r>
    </w:p>
    <w:p w:rsidR="00F12161" w:rsidRPr="006B53BD" w:rsidRDefault="00F12161" w:rsidP="009A7F9B">
      <w:pPr>
        <w:pStyle w:val="Corpodetexto"/>
        <w:divId w:val="1809393144"/>
        <w:rPr>
          <w:rFonts w:ascii="Arial" w:hAnsi="Arial" w:cs="Arial"/>
        </w:rPr>
      </w:pPr>
    </w:p>
    <w:p w:rsidR="00F12161" w:rsidRPr="006B53BD" w:rsidRDefault="00F12161" w:rsidP="00F12161">
      <w:pPr>
        <w:pStyle w:val="Corpodetexto"/>
        <w:jc w:val="left"/>
        <w:divId w:val="1809393144"/>
        <w:rPr>
          <w:rFonts w:ascii="Arial" w:hAnsi="Arial" w:cs="Arial"/>
          <w:b/>
        </w:rPr>
      </w:pPr>
      <w:r w:rsidRPr="006B53BD">
        <w:rPr>
          <w:rFonts w:ascii="Arial" w:hAnsi="Arial" w:cs="Arial"/>
          <w:b/>
        </w:rPr>
        <w:t>RESOLVE:</w:t>
      </w:r>
    </w:p>
    <w:p w:rsidR="00F12161" w:rsidRPr="006B53BD" w:rsidRDefault="00F12161" w:rsidP="006B53BD">
      <w:pPr>
        <w:pStyle w:val="Corpodetexto"/>
        <w:spacing w:before="120"/>
        <w:divId w:val="1809393144"/>
        <w:rPr>
          <w:rFonts w:ascii="Arial" w:hAnsi="Arial" w:cs="Arial"/>
        </w:rPr>
      </w:pPr>
    </w:p>
    <w:p w:rsidR="00F12161" w:rsidRPr="006B53BD" w:rsidRDefault="00F12161" w:rsidP="006B53BD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6B53BD">
        <w:rPr>
          <w:rFonts w:ascii="Arial" w:hAnsi="Arial" w:cs="Arial"/>
          <w:b/>
          <w:bCs/>
        </w:rPr>
        <w:t xml:space="preserve">Art. 1º </w:t>
      </w:r>
      <w:r w:rsidRPr="006B53BD">
        <w:rPr>
          <w:rFonts w:ascii="Arial" w:hAnsi="Arial" w:cs="Arial"/>
        </w:rPr>
        <w:t xml:space="preserve">A Diretoria de Execuções – DEX nas decisões que impliquem em restituição ou ressarcimento de valores, </w:t>
      </w:r>
      <w:r w:rsidRPr="006B53BD">
        <w:rPr>
          <w:rFonts w:ascii="Arial" w:hAnsi="Arial" w:cs="Arial"/>
          <w:b/>
          <w:bCs/>
        </w:rPr>
        <w:t xml:space="preserve">independentemente </w:t>
      </w:r>
      <w:r w:rsidRPr="006B53BD">
        <w:rPr>
          <w:rFonts w:ascii="Arial" w:hAnsi="Arial" w:cs="Arial"/>
        </w:rPr>
        <w:t xml:space="preserve">da data do trânsito em julgado da decisão, utilizará </w:t>
      </w:r>
      <w:r w:rsidRPr="006B53BD">
        <w:rPr>
          <w:rFonts w:ascii="Arial" w:hAnsi="Arial" w:cs="Arial"/>
          <w:b/>
          <w:bCs/>
        </w:rPr>
        <w:t>a partir desta data</w:t>
      </w:r>
      <w:r w:rsidRPr="006B53BD">
        <w:rPr>
          <w:rFonts w:ascii="Arial" w:hAnsi="Arial" w:cs="Arial"/>
        </w:rPr>
        <w:t>, para fins de aplicação de juros e incidência de correção monetária, o disposto no art. 420, § 1º, do Regimento Interno, da seguinte forma:</w:t>
      </w:r>
    </w:p>
    <w:p w:rsidR="00F12161" w:rsidRPr="006B53BD" w:rsidRDefault="00F12161" w:rsidP="006B53BD">
      <w:pPr>
        <w:pStyle w:val="Corpodetexto"/>
        <w:spacing w:before="120"/>
        <w:ind w:firstLine="709"/>
        <w:divId w:val="1809393144"/>
        <w:rPr>
          <w:rFonts w:ascii="Arial" w:hAnsi="Arial" w:cs="Arial"/>
        </w:rPr>
      </w:pPr>
      <w:r w:rsidRPr="006B53BD">
        <w:rPr>
          <w:rFonts w:ascii="Arial" w:hAnsi="Arial" w:cs="Arial"/>
        </w:rPr>
        <w:t xml:space="preserve">I – </w:t>
      </w:r>
      <w:proofErr w:type="gramStart"/>
      <w:r w:rsidRPr="006B53BD">
        <w:rPr>
          <w:rFonts w:ascii="Arial" w:hAnsi="Arial" w:cs="Arial"/>
        </w:rPr>
        <w:t>para</w:t>
      </w:r>
      <w:proofErr w:type="gramEnd"/>
      <w:r w:rsidRPr="006B53BD">
        <w:rPr>
          <w:rFonts w:ascii="Arial" w:hAnsi="Arial" w:cs="Arial"/>
        </w:rPr>
        <w:t xml:space="preserve"> a correção monetária o termo inicial será a data do fato, e</w:t>
      </w:r>
    </w:p>
    <w:p w:rsidR="00F12161" w:rsidRPr="006B53BD" w:rsidRDefault="00F12161" w:rsidP="006B53BD">
      <w:pPr>
        <w:pStyle w:val="Corpodetexto"/>
        <w:spacing w:before="120"/>
        <w:ind w:firstLine="709"/>
        <w:divId w:val="1809393144"/>
        <w:rPr>
          <w:rFonts w:ascii="Arial" w:hAnsi="Arial" w:cs="Arial"/>
        </w:rPr>
      </w:pPr>
      <w:r w:rsidRPr="006B53BD">
        <w:rPr>
          <w:rFonts w:ascii="Arial" w:hAnsi="Arial" w:cs="Arial"/>
        </w:rPr>
        <w:t xml:space="preserve">II – para os juros a incidência dar-se-á da data da publicação da decisão irrecorrível.  </w:t>
      </w:r>
    </w:p>
    <w:p w:rsidR="00590376" w:rsidRPr="006B53BD" w:rsidRDefault="00F12161" w:rsidP="006B53BD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6B53BD">
        <w:rPr>
          <w:rFonts w:ascii="Arial" w:hAnsi="Arial" w:cs="Arial"/>
          <w:b/>
          <w:bCs/>
        </w:rPr>
        <w:t>Art. 2º</w:t>
      </w:r>
      <w:r w:rsidRPr="006B53BD">
        <w:rPr>
          <w:rFonts w:ascii="Arial" w:hAnsi="Arial" w:cs="Arial"/>
          <w:bCs/>
        </w:rPr>
        <w:t xml:space="preserve"> </w:t>
      </w:r>
      <w:r w:rsidRPr="006B53BD">
        <w:rPr>
          <w:rFonts w:ascii="Arial" w:hAnsi="Arial" w:cs="Arial"/>
        </w:rPr>
        <w:t xml:space="preserve">Para aplicação do contido no inc. I, do art. 1º, a DEX observará o termo inicial consignado expressamente no acórdão; sendo omissa a decisão o processo deverá ser encaminhado ao atual Relator, para os fins do disposto no inc. V, parágrafo único, do art. 457, do Regimento Interno, indicando a data da fluência da correção monetária.  </w:t>
      </w:r>
    </w:p>
    <w:p w:rsidR="00F12161" w:rsidRPr="006B53BD" w:rsidRDefault="00F12161" w:rsidP="006B53BD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6B53BD">
        <w:rPr>
          <w:rFonts w:ascii="Arial" w:hAnsi="Arial" w:cs="Arial"/>
        </w:rPr>
        <w:t xml:space="preserve">Parágrafo único. O processo retornará ao atual Relator, que dirigirá a fase de execução, sempre que necessário, visando suprir eventual omissão para a regular execução da decisão, observando-se, para tanto, as normas regimentais.  </w:t>
      </w:r>
    </w:p>
    <w:p w:rsidR="00F12161" w:rsidRPr="006B53BD" w:rsidRDefault="00F12161" w:rsidP="006B53BD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6B53BD">
        <w:rPr>
          <w:rFonts w:ascii="Arial" w:hAnsi="Arial" w:cs="Arial"/>
          <w:b/>
          <w:bCs/>
        </w:rPr>
        <w:lastRenderedPageBreak/>
        <w:t xml:space="preserve">Art. 3º </w:t>
      </w:r>
      <w:r w:rsidRPr="006B53BD">
        <w:rPr>
          <w:rFonts w:ascii="Arial" w:hAnsi="Arial" w:cs="Arial"/>
        </w:rPr>
        <w:t>Os índices utilizados para fins de correção monetária serão os praticados nos créditos tributários estaduais, na forma do art. 91, parágrafo único, da Lei Complementar nº 113/2005.</w:t>
      </w:r>
    </w:p>
    <w:p w:rsidR="00F12161" w:rsidRPr="006B53BD" w:rsidRDefault="00F12161" w:rsidP="006B53BD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6B53BD">
        <w:rPr>
          <w:rFonts w:ascii="Arial" w:hAnsi="Arial" w:cs="Arial"/>
          <w:b/>
          <w:bCs/>
        </w:rPr>
        <w:t xml:space="preserve">Art. 4º </w:t>
      </w:r>
      <w:r w:rsidRPr="006B53BD">
        <w:rPr>
          <w:rFonts w:ascii="Arial" w:hAnsi="Arial" w:cs="Arial"/>
        </w:rPr>
        <w:t>Esta Instrução de Serviço entra em vigência na data de sua publicação.</w:t>
      </w:r>
    </w:p>
    <w:p w:rsidR="00F12161" w:rsidRDefault="00F12161" w:rsidP="00F12161">
      <w:pPr>
        <w:pStyle w:val="Corpodetexto"/>
        <w:ind w:firstLine="708"/>
        <w:divId w:val="1809393144"/>
        <w:rPr>
          <w:rFonts w:ascii="Arial" w:hAnsi="Arial" w:cs="Arial"/>
        </w:rPr>
      </w:pPr>
    </w:p>
    <w:p w:rsidR="006B53BD" w:rsidRPr="006B53BD" w:rsidRDefault="006B53BD" w:rsidP="00F12161">
      <w:pPr>
        <w:pStyle w:val="Corpodetexto"/>
        <w:ind w:firstLine="708"/>
        <w:divId w:val="1809393144"/>
        <w:rPr>
          <w:rFonts w:ascii="Arial" w:hAnsi="Arial" w:cs="Arial"/>
        </w:rPr>
      </w:pPr>
    </w:p>
    <w:p w:rsidR="00F12161" w:rsidRDefault="00F12161" w:rsidP="00F12161">
      <w:pPr>
        <w:pStyle w:val="Corpodetexto"/>
        <w:divId w:val="1809393144"/>
        <w:rPr>
          <w:rFonts w:ascii="Arial" w:hAnsi="Arial" w:cs="Arial"/>
          <w:b/>
        </w:rPr>
      </w:pPr>
      <w:r w:rsidRPr="006B53BD">
        <w:rPr>
          <w:rFonts w:ascii="Arial" w:hAnsi="Arial" w:cs="Arial"/>
          <w:b/>
        </w:rPr>
        <w:t>Curitiba, 04 de dezembro de 2006.</w:t>
      </w:r>
    </w:p>
    <w:p w:rsidR="006B53BD" w:rsidRPr="006B53BD" w:rsidRDefault="006B53BD" w:rsidP="00F12161">
      <w:pPr>
        <w:pStyle w:val="Corpodetexto"/>
        <w:divId w:val="1809393144"/>
        <w:rPr>
          <w:rFonts w:ascii="Arial" w:hAnsi="Arial" w:cs="Arial"/>
          <w:b/>
        </w:rPr>
      </w:pPr>
      <w:bookmarkStart w:id="0" w:name="_GoBack"/>
      <w:bookmarkEnd w:id="0"/>
    </w:p>
    <w:p w:rsidR="009A7F9B" w:rsidRPr="006B53BD" w:rsidRDefault="00F12161" w:rsidP="006B53BD">
      <w:pPr>
        <w:autoSpaceDE w:val="0"/>
        <w:autoSpaceDN w:val="0"/>
        <w:adjustRightInd w:val="0"/>
        <w:spacing w:before="120" w:after="120"/>
        <w:jc w:val="right"/>
        <w:divId w:val="1809393144"/>
        <w:rPr>
          <w:rFonts w:ascii="Arial" w:hAnsi="Arial" w:cs="Arial"/>
          <w:b/>
          <w:i/>
        </w:rPr>
      </w:pPr>
      <w:r w:rsidRPr="006B53BD">
        <w:rPr>
          <w:rFonts w:ascii="Arial" w:hAnsi="Arial" w:cs="Arial"/>
          <w:b/>
          <w:i/>
        </w:rPr>
        <w:t xml:space="preserve">Heinz Georg </w:t>
      </w:r>
      <w:proofErr w:type="spellStart"/>
      <w:r w:rsidRPr="006B53BD">
        <w:rPr>
          <w:rFonts w:ascii="Arial" w:hAnsi="Arial" w:cs="Arial"/>
          <w:b/>
          <w:i/>
        </w:rPr>
        <w:t>Herwig</w:t>
      </w:r>
      <w:proofErr w:type="spellEnd"/>
    </w:p>
    <w:p w:rsidR="009A7F9B" w:rsidRPr="006B53BD" w:rsidRDefault="00F12161" w:rsidP="006B53BD">
      <w:pPr>
        <w:autoSpaceDE w:val="0"/>
        <w:autoSpaceDN w:val="0"/>
        <w:adjustRightInd w:val="0"/>
        <w:spacing w:before="120" w:after="120"/>
        <w:jc w:val="right"/>
        <w:divId w:val="1809393144"/>
        <w:rPr>
          <w:rFonts w:ascii="Arial" w:hAnsi="Arial" w:cs="Arial"/>
          <w:i/>
        </w:rPr>
      </w:pPr>
      <w:r w:rsidRPr="006B53BD">
        <w:rPr>
          <w:rFonts w:ascii="Arial" w:hAnsi="Arial" w:cs="Arial"/>
          <w:i/>
        </w:rPr>
        <w:t>Presidente</w:t>
      </w:r>
    </w:p>
    <w:p w:rsidR="009A7F9B" w:rsidRPr="006B53BD" w:rsidRDefault="00F12161" w:rsidP="006B53BD">
      <w:pPr>
        <w:autoSpaceDE w:val="0"/>
        <w:autoSpaceDN w:val="0"/>
        <w:adjustRightInd w:val="0"/>
        <w:spacing w:before="120" w:after="120"/>
        <w:jc w:val="right"/>
        <w:divId w:val="1809393144"/>
        <w:rPr>
          <w:rFonts w:ascii="Arial" w:hAnsi="Arial" w:cs="Arial"/>
          <w:b/>
          <w:i/>
        </w:rPr>
      </w:pPr>
      <w:proofErr w:type="spellStart"/>
      <w:r w:rsidRPr="006B53BD">
        <w:rPr>
          <w:rFonts w:ascii="Arial" w:hAnsi="Arial" w:cs="Arial"/>
          <w:b/>
          <w:i/>
        </w:rPr>
        <w:t>Desirée</w:t>
      </w:r>
      <w:proofErr w:type="spellEnd"/>
      <w:r w:rsidRPr="006B53BD">
        <w:rPr>
          <w:rFonts w:ascii="Arial" w:hAnsi="Arial" w:cs="Arial"/>
          <w:b/>
          <w:i/>
        </w:rPr>
        <w:t xml:space="preserve"> do Rocio Vidal</w:t>
      </w:r>
    </w:p>
    <w:p w:rsidR="009A7F9B" w:rsidRPr="006B53BD" w:rsidRDefault="00F12161" w:rsidP="006B53BD">
      <w:pPr>
        <w:autoSpaceDE w:val="0"/>
        <w:autoSpaceDN w:val="0"/>
        <w:adjustRightInd w:val="0"/>
        <w:spacing w:before="120" w:after="120"/>
        <w:jc w:val="right"/>
        <w:divId w:val="1809393144"/>
        <w:rPr>
          <w:rFonts w:ascii="Arial" w:hAnsi="Arial" w:cs="Arial"/>
          <w:i/>
          <w:sz w:val="20"/>
          <w:szCs w:val="20"/>
        </w:rPr>
      </w:pPr>
      <w:r w:rsidRPr="006B53BD">
        <w:rPr>
          <w:rFonts w:ascii="Arial" w:hAnsi="Arial" w:cs="Arial"/>
          <w:i/>
        </w:rPr>
        <w:t>Diretora Geral</w:t>
      </w:r>
    </w:p>
    <w:sectPr w:rsidR="009A7F9B" w:rsidRPr="006B53BD" w:rsidSect="006D037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5CD" w:rsidRDefault="001815CD">
      <w:r>
        <w:separator/>
      </w:r>
    </w:p>
  </w:endnote>
  <w:endnote w:type="continuationSeparator" w:id="0">
    <w:p w:rsidR="001815CD" w:rsidRDefault="0018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9F7" w:rsidRDefault="007C69F7" w:rsidP="007C69F7">
    <w:pPr>
      <w:pStyle w:val="Rodap"/>
    </w:pPr>
  </w:p>
  <w:p w:rsidR="007C69F7" w:rsidRDefault="007C69F7">
    <w:pPr>
      <w:pStyle w:val="Rodap"/>
    </w:pPr>
  </w:p>
  <w:p w:rsidR="007C69F7" w:rsidRDefault="007C69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5CD" w:rsidRDefault="001815CD">
      <w:r>
        <w:separator/>
      </w:r>
    </w:p>
  </w:footnote>
  <w:footnote w:type="continuationSeparator" w:id="0">
    <w:p w:rsidR="001815CD" w:rsidRDefault="001815CD">
      <w:r>
        <w:continuationSeparator/>
      </w:r>
    </w:p>
  </w:footnote>
  <w:footnote w:id="1">
    <w:p w:rsidR="006B53BD" w:rsidRPr="00A22833" w:rsidRDefault="006B53BD" w:rsidP="006B53BD">
      <w:pPr>
        <w:pStyle w:val="Textodenotaderodap"/>
        <w:rPr>
          <w:rFonts w:ascii="Arial" w:hAnsi="Arial" w:cs="Arial"/>
        </w:rPr>
      </w:pPr>
      <w:r w:rsidRPr="006B53BD">
        <w:rPr>
          <w:rStyle w:val="Refdenotaderodap"/>
        </w:rPr>
        <w:sym w:font="Symbol" w:char="F02A"/>
      </w:r>
      <w:r>
        <w:t xml:space="preserve"> </w:t>
      </w:r>
      <w:r w:rsidRPr="00A22833">
        <w:rPr>
          <w:rFonts w:ascii="Arial" w:hAnsi="Arial" w:cs="Arial"/>
          <w:b/>
        </w:rPr>
        <w:t>Notas da Biblioteca:</w:t>
      </w:r>
    </w:p>
    <w:p w:rsidR="006B53BD" w:rsidRPr="00811C63" w:rsidRDefault="006B53BD" w:rsidP="006B53BD">
      <w:pPr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11C63">
        <w:rPr>
          <w:rFonts w:ascii="Arial" w:hAnsi="Arial" w:cs="Arial"/>
          <w:sz w:val="20"/>
          <w:szCs w:val="20"/>
        </w:rPr>
        <w:t xml:space="preserve">Renumerada de acordo com a </w:t>
      </w:r>
      <w:hyperlink r:id="rId1" w:history="1">
        <w:r w:rsidRPr="00811C63">
          <w:rPr>
            <w:rFonts w:ascii="Arial" w:hAnsi="Arial" w:cs="Arial"/>
            <w:color w:val="0000FF"/>
            <w:sz w:val="20"/>
            <w:szCs w:val="20"/>
            <w:u w:val="single"/>
          </w:rPr>
          <w:t>Instrução de Serviço n. 16, de 14 de abril de 2011</w:t>
        </w:r>
      </w:hyperlink>
      <w:r w:rsidRPr="00811C63">
        <w:rPr>
          <w:rFonts w:ascii="Arial" w:hAnsi="Arial" w:cs="Arial"/>
          <w:sz w:val="20"/>
          <w:szCs w:val="20"/>
        </w:rPr>
        <w:t>.</w:t>
      </w:r>
    </w:p>
    <w:p w:rsidR="006B53BD" w:rsidRDefault="006B53BD" w:rsidP="006B53BD">
      <w:pPr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11C63">
        <w:rPr>
          <w:rFonts w:ascii="Arial" w:hAnsi="Arial" w:cs="Arial"/>
          <w:sz w:val="20"/>
          <w:szCs w:val="20"/>
        </w:rPr>
        <w:t xml:space="preserve">Este texto não substitui o publicado no periódico: </w:t>
      </w:r>
      <w:hyperlink r:id="rId2" w:history="1">
        <w:r w:rsidRPr="006B53BD">
          <w:rPr>
            <w:rStyle w:val="Hyperlink"/>
            <w:rFonts w:ascii="Arial" w:hAnsi="Arial" w:cs="Arial"/>
            <w:sz w:val="20"/>
            <w:szCs w:val="20"/>
          </w:rPr>
          <w:t>Atos Oficiais do Tribunal de Contas do Estado do Paraná, Curitiba, PR, n. 78, 8 dez. 2006, p. 119</w:t>
        </w:r>
      </w:hyperlink>
      <w:r w:rsidRPr="006B53BD">
        <w:rPr>
          <w:rFonts w:ascii="Arial" w:hAnsi="Arial" w:cs="Arial"/>
          <w:sz w:val="20"/>
          <w:szCs w:val="20"/>
        </w:rPr>
        <w:t>.</w:t>
      </w:r>
    </w:p>
    <w:p w:rsidR="006B53BD" w:rsidRDefault="006B53B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3BD" w:rsidRDefault="006B53BD" w:rsidP="006B53BD">
    <w:pPr>
      <w:pStyle w:val="Cabealho"/>
      <w:spacing w:before="360" w:after="120"/>
      <w:ind w:left="1134"/>
      <w:jc w:val="center"/>
      <w:rPr>
        <w:rFonts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4FF182" wp14:editId="00F0FDB8">
          <wp:simplePos x="0" y="0"/>
          <wp:positionH relativeFrom="column">
            <wp:posOffset>35560</wp:posOffset>
          </wp:positionH>
          <wp:positionV relativeFrom="paragraph">
            <wp:posOffset>12700</wp:posOffset>
          </wp:positionV>
          <wp:extent cx="605790" cy="712470"/>
          <wp:effectExtent l="0" t="0" r="0" b="0"/>
          <wp:wrapSquare wrapText="bothSides"/>
          <wp:docPr id="2" name="Imagem 2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cs="Arial"/>
        <w:b/>
        <w:sz w:val="28"/>
        <w:szCs w:val="28"/>
      </w:rPr>
      <w:t>TRIBUNAL DE CONTAS DO ESTADO DO PARANÁ</w:t>
    </w:r>
  </w:p>
  <w:p w:rsidR="006B53BD" w:rsidRDefault="006B53BD" w:rsidP="006B53BD">
    <w:pPr>
      <w:pStyle w:val="Cabealho"/>
      <w:spacing w:before="360" w:after="120"/>
      <w:ind w:left="1134"/>
      <w:jc w:val="center"/>
      <w:rPr>
        <w:rFonts w:cs="Arial"/>
        <w:b/>
        <w:sz w:val="28"/>
        <w:szCs w:val="28"/>
      </w:rPr>
    </w:pPr>
  </w:p>
  <w:p w:rsidR="00F12161" w:rsidRPr="006B53BD" w:rsidRDefault="00F12161" w:rsidP="006B53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31F0"/>
    <w:multiLevelType w:val="hybridMultilevel"/>
    <w:tmpl w:val="4C9086BA"/>
    <w:lvl w:ilvl="0" w:tplc="5B88C2C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90CDC"/>
    <w:multiLevelType w:val="hybridMultilevel"/>
    <w:tmpl w:val="1ADA659A"/>
    <w:lvl w:ilvl="0" w:tplc="D5CECC2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290"/>
    <w:rsid w:val="00001AAD"/>
    <w:rsid w:val="00003A61"/>
    <w:rsid w:val="0008423B"/>
    <w:rsid w:val="000974D8"/>
    <w:rsid w:val="001013EA"/>
    <w:rsid w:val="00121591"/>
    <w:rsid w:val="00180544"/>
    <w:rsid w:val="001815CD"/>
    <w:rsid w:val="0024358B"/>
    <w:rsid w:val="00273653"/>
    <w:rsid w:val="00277715"/>
    <w:rsid w:val="00383C35"/>
    <w:rsid w:val="003D0D35"/>
    <w:rsid w:val="003E042C"/>
    <w:rsid w:val="00590376"/>
    <w:rsid w:val="00593E4A"/>
    <w:rsid w:val="005C0F4E"/>
    <w:rsid w:val="00631C39"/>
    <w:rsid w:val="006B53BD"/>
    <w:rsid w:val="006D0373"/>
    <w:rsid w:val="00791D32"/>
    <w:rsid w:val="007A6C02"/>
    <w:rsid w:val="007C69F7"/>
    <w:rsid w:val="00811173"/>
    <w:rsid w:val="0093201F"/>
    <w:rsid w:val="00946075"/>
    <w:rsid w:val="009A7BE7"/>
    <w:rsid w:val="009A7F9B"/>
    <w:rsid w:val="00A65804"/>
    <w:rsid w:val="00AA2C73"/>
    <w:rsid w:val="00B423C1"/>
    <w:rsid w:val="00B67C9F"/>
    <w:rsid w:val="00B76DBE"/>
    <w:rsid w:val="00C26F56"/>
    <w:rsid w:val="00C35EC0"/>
    <w:rsid w:val="00E04351"/>
    <w:rsid w:val="00E25D97"/>
    <w:rsid w:val="00E51D53"/>
    <w:rsid w:val="00E7323A"/>
    <w:rsid w:val="00F12161"/>
    <w:rsid w:val="00F25C33"/>
    <w:rsid w:val="00F55D84"/>
    <w:rsid w:val="00FD4A7D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84507"/>
  <w15:docId w15:val="{579337C7-34C3-4E2E-8D47-74BFC621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E5290"/>
    <w:rPr>
      <w:sz w:val="24"/>
      <w:szCs w:val="24"/>
    </w:rPr>
  </w:style>
  <w:style w:type="paragraph" w:styleId="Ttulo1">
    <w:name w:val="heading 1"/>
    <w:basedOn w:val="Normal"/>
    <w:next w:val="Normal"/>
    <w:qFormat/>
    <w:rsid w:val="00FE5290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121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E5290"/>
    <w:pPr>
      <w:ind w:left="4320"/>
      <w:jc w:val="both"/>
    </w:pPr>
  </w:style>
  <w:style w:type="paragraph" w:styleId="Corpodetexto">
    <w:name w:val="Body Text"/>
    <w:basedOn w:val="Normal"/>
    <w:rsid w:val="00FE5290"/>
    <w:pPr>
      <w:jc w:val="both"/>
    </w:pPr>
  </w:style>
  <w:style w:type="paragraph" w:styleId="Cabealho">
    <w:name w:val="header"/>
    <w:basedOn w:val="Normal"/>
    <w:link w:val="CabealhoChar"/>
    <w:rsid w:val="003E04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3E042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B42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383C35"/>
    <w:pPr>
      <w:ind w:left="283" w:hanging="283"/>
    </w:pPr>
  </w:style>
  <w:style w:type="paragraph" w:styleId="Lista2">
    <w:name w:val="List 2"/>
    <w:basedOn w:val="Normal"/>
    <w:rsid w:val="00383C35"/>
    <w:pPr>
      <w:ind w:left="566" w:hanging="283"/>
    </w:pPr>
  </w:style>
  <w:style w:type="paragraph" w:styleId="Lista3">
    <w:name w:val="List 3"/>
    <w:basedOn w:val="Normal"/>
    <w:rsid w:val="00383C35"/>
    <w:pPr>
      <w:ind w:left="849" w:hanging="283"/>
    </w:pPr>
  </w:style>
  <w:style w:type="character" w:customStyle="1" w:styleId="RodapChar">
    <w:name w:val="Rodapé Char"/>
    <w:basedOn w:val="Fontepargpadro"/>
    <w:link w:val="Rodap"/>
    <w:uiPriority w:val="99"/>
    <w:rsid w:val="007C69F7"/>
    <w:rPr>
      <w:sz w:val="24"/>
      <w:szCs w:val="24"/>
    </w:rPr>
  </w:style>
  <w:style w:type="paragraph" w:styleId="Textodebalo">
    <w:name w:val="Balloon Text"/>
    <w:basedOn w:val="Normal"/>
    <w:link w:val="TextodebaloChar"/>
    <w:rsid w:val="007C69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69F7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nhideWhenUsed/>
    <w:rsid w:val="006B53B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B53BD"/>
  </w:style>
  <w:style w:type="character" w:styleId="Refdenotaderodap">
    <w:name w:val="footnote reference"/>
    <w:basedOn w:val="Fontepargpadro"/>
    <w:semiHidden/>
    <w:unhideWhenUsed/>
    <w:rsid w:val="006B53BD"/>
    <w:rPr>
      <w:vertAlign w:val="superscript"/>
    </w:rPr>
  </w:style>
  <w:style w:type="character" w:styleId="Hyperlink">
    <w:name w:val="Hyperlink"/>
    <w:basedOn w:val="Fontepargpadro"/>
    <w:unhideWhenUsed/>
    <w:rsid w:val="006B53B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B53BD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rsid w:val="006B53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multimidia/2006/12/pdf/00000529.pdf" TargetMode="External"/><Relationship Id="rId1" Type="http://schemas.openxmlformats.org/officeDocument/2006/relationships/hyperlink" Target="http://www1.tce.pr.gov.br/conteudo/instrucao-de-servico-n-16-de-8-de-abril-de-2011/1302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7AA16-CD15-4060-86D5-E6ED9407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PROVIMENTO Nº</vt:lpstr>
    </vt:vector>
  </TitlesOfParts>
  <Company>TCE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PROVIMENTO Nº</dc:title>
  <dc:subject/>
  <dc:creator>Alice Soria Garcia</dc:creator>
  <cp:keywords/>
  <dc:description/>
  <cp:lastModifiedBy>Yarusya Fonseca</cp:lastModifiedBy>
  <cp:revision>3</cp:revision>
  <dcterms:created xsi:type="dcterms:W3CDTF">2011-04-25T13:16:00Z</dcterms:created>
  <dcterms:modified xsi:type="dcterms:W3CDTF">2019-07-12T17:46:00Z</dcterms:modified>
</cp:coreProperties>
</file>