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44" w:rsidRDefault="00180544" w:rsidP="00FE5290">
      <w:pPr>
        <w:pStyle w:val="Ttulo1"/>
        <w:rPr>
          <w:b/>
          <w:shadow/>
        </w:rPr>
      </w:pPr>
    </w:p>
    <w:p w:rsidR="00FE5290" w:rsidRPr="009C4E43" w:rsidRDefault="00003A61" w:rsidP="00793884">
      <w:pPr>
        <w:pStyle w:val="Ttulo1"/>
        <w:rPr>
          <w:rFonts w:ascii="Arial" w:hAnsi="Arial" w:cs="Arial"/>
          <w:b/>
          <w:sz w:val="28"/>
          <w:szCs w:val="28"/>
        </w:rPr>
      </w:pPr>
      <w:r w:rsidRPr="009C4E43">
        <w:rPr>
          <w:rFonts w:ascii="Arial" w:hAnsi="Arial" w:cs="Arial"/>
          <w:b/>
          <w:sz w:val="28"/>
          <w:szCs w:val="28"/>
        </w:rPr>
        <w:t xml:space="preserve">INSTRUÇÃO </w:t>
      </w:r>
      <w:r w:rsidR="009A7BE7" w:rsidRPr="009C4E43">
        <w:rPr>
          <w:rFonts w:ascii="Arial" w:hAnsi="Arial" w:cs="Arial"/>
          <w:b/>
          <w:sz w:val="28"/>
          <w:szCs w:val="28"/>
        </w:rPr>
        <w:t>DE SERVIÇO</w:t>
      </w:r>
      <w:r w:rsidR="00FE5290" w:rsidRPr="009C4E43">
        <w:rPr>
          <w:rFonts w:ascii="Arial" w:hAnsi="Arial" w:cs="Arial"/>
          <w:b/>
          <w:sz w:val="28"/>
          <w:szCs w:val="28"/>
        </w:rPr>
        <w:t xml:space="preserve"> Nº</w:t>
      </w:r>
      <w:r w:rsidRPr="009C4E43">
        <w:rPr>
          <w:rFonts w:ascii="Arial" w:hAnsi="Arial" w:cs="Arial"/>
          <w:b/>
          <w:sz w:val="28"/>
          <w:szCs w:val="28"/>
        </w:rPr>
        <w:t xml:space="preserve"> </w:t>
      </w:r>
      <w:r w:rsidR="00F3471D" w:rsidRPr="009C4E43">
        <w:rPr>
          <w:rFonts w:ascii="Arial" w:hAnsi="Arial" w:cs="Arial"/>
          <w:b/>
          <w:sz w:val="28"/>
          <w:szCs w:val="28"/>
        </w:rPr>
        <w:t>8</w:t>
      </w:r>
      <w:r w:rsidR="00FE5290" w:rsidRPr="009C4E43">
        <w:rPr>
          <w:rFonts w:ascii="Arial" w:hAnsi="Arial" w:cs="Arial"/>
          <w:b/>
          <w:sz w:val="28"/>
          <w:szCs w:val="28"/>
        </w:rPr>
        <w:t>/200</w:t>
      </w:r>
      <w:r w:rsidR="00796FC7" w:rsidRPr="009C4E43">
        <w:rPr>
          <w:rFonts w:ascii="Arial" w:hAnsi="Arial" w:cs="Arial"/>
          <w:b/>
          <w:sz w:val="28"/>
          <w:szCs w:val="28"/>
        </w:rPr>
        <w:t>7</w:t>
      </w:r>
      <w:r w:rsidR="009C4E43" w:rsidRPr="009C4E43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F3471D" w:rsidRPr="009C4E43" w:rsidRDefault="00F3471D" w:rsidP="00F3471D">
      <w:pPr>
        <w:rPr>
          <w:rFonts w:ascii="Arial" w:hAnsi="Arial" w:cs="Arial"/>
          <w:sz w:val="28"/>
          <w:szCs w:val="28"/>
        </w:rPr>
      </w:pPr>
    </w:p>
    <w:p w:rsidR="00F3471D" w:rsidRPr="009C4E43" w:rsidRDefault="00F3471D" w:rsidP="00F3471D">
      <w:pPr>
        <w:pStyle w:val="Ttulo1"/>
        <w:rPr>
          <w:rFonts w:ascii="Arial" w:hAnsi="Arial" w:cs="Arial"/>
          <w:sz w:val="28"/>
          <w:szCs w:val="28"/>
        </w:rPr>
      </w:pPr>
      <w:r w:rsidRPr="009C4E43">
        <w:rPr>
          <w:rFonts w:ascii="Arial" w:hAnsi="Arial" w:cs="Arial"/>
          <w:sz w:val="28"/>
          <w:szCs w:val="28"/>
        </w:rPr>
        <w:t>Antiga Instrução de Serviço nº 10/2007</w:t>
      </w:r>
    </w:p>
    <w:p w:rsidR="00FE5290" w:rsidRPr="009C4E43" w:rsidRDefault="00FE5290" w:rsidP="00FE5290">
      <w:pPr>
        <w:jc w:val="center"/>
        <w:rPr>
          <w:rFonts w:ascii="Arial" w:hAnsi="Arial" w:cs="Arial"/>
        </w:rPr>
      </w:pPr>
    </w:p>
    <w:p w:rsidR="00796FC7" w:rsidRPr="009C4E43" w:rsidRDefault="00796FC7" w:rsidP="009C4E43">
      <w:pPr>
        <w:pStyle w:val="Corpodetexto"/>
        <w:ind w:left="4536"/>
        <w:divId w:val="1809393144"/>
        <w:rPr>
          <w:rFonts w:ascii="Arial" w:hAnsi="Arial" w:cs="Arial"/>
          <w:i/>
        </w:rPr>
      </w:pPr>
      <w:r w:rsidRPr="009C4E43">
        <w:rPr>
          <w:rFonts w:ascii="Arial" w:hAnsi="Arial" w:cs="Arial"/>
          <w:i/>
        </w:rPr>
        <w:t>Dispõe sobre a retirada dos processos do Tribunal, mediante pedido de vista, por advogado regularmente constituído, nos termos dos arts. 360, § 5º, e 362, do Regimento Interno, c/c o art. 60, da Lei Complementar nº 113/2005.</w:t>
      </w:r>
    </w:p>
    <w:p w:rsidR="00796FC7" w:rsidRPr="009C4E43" w:rsidRDefault="00796FC7" w:rsidP="00796FC7">
      <w:pPr>
        <w:pStyle w:val="Corpodetexto"/>
        <w:ind w:left="3960"/>
        <w:divId w:val="1809393144"/>
        <w:rPr>
          <w:rFonts w:ascii="Arial" w:hAnsi="Arial" w:cs="Arial"/>
        </w:rPr>
      </w:pPr>
    </w:p>
    <w:p w:rsidR="00796FC7" w:rsidRPr="009C4E43" w:rsidRDefault="00796FC7" w:rsidP="00796FC7">
      <w:pPr>
        <w:pStyle w:val="Corpodetexto"/>
        <w:ind w:left="3960"/>
        <w:divId w:val="1809393144"/>
        <w:rPr>
          <w:rFonts w:ascii="Arial" w:hAnsi="Arial" w:cs="Arial"/>
        </w:rPr>
      </w:pPr>
    </w:p>
    <w:p w:rsidR="00796FC7" w:rsidRPr="009C4E43" w:rsidRDefault="00796FC7" w:rsidP="009C4E43">
      <w:pPr>
        <w:ind w:firstLine="709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</w:rPr>
        <w:t xml:space="preserve">O </w:t>
      </w:r>
      <w:r w:rsidRPr="009C4E43">
        <w:rPr>
          <w:rFonts w:ascii="Arial" w:hAnsi="Arial" w:cs="Arial"/>
          <w:b/>
          <w:i/>
          <w:caps/>
        </w:rPr>
        <w:t>Presidente do Tribunal de Contas do Estado do Paraná</w:t>
      </w:r>
      <w:r w:rsidRPr="009C4E43">
        <w:rPr>
          <w:rFonts w:ascii="Arial" w:hAnsi="Arial" w:cs="Arial"/>
        </w:rPr>
        <w:t>, no uso das atribuições que lhe são conferidas no art. 16, e na forma do disposto no inc. XXXIII, do artigo citado, c/c o</w:t>
      </w:r>
      <w:r w:rsidR="001C0871" w:rsidRPr="009C4E43">
        <w:rPr>
          <w:rFonts w:ascii="Arial" w:hAnsi="Arial" w:cs="Arial"/>
        </w:rPr>
        <w:t>s</w:t>
      </w:r>
      <w:r w:rsidRPr="009C4E43">
        <w:rPr>
          <w:rFonts w:ascii="Arial" w:hAnsi="Arial" w:cs="Arial"/>
        </w:rPr>
        <w:t xml:space="preserve"> art</w:t>
      </w:r>
      <w:r w:rsidR="001C0871" w:rsidRPr="009C4E43">
        <w:rPr>
          <w:rFonts w:ascii="Arial" w:hAnsi="Arial" w:cs="Arial"/>
        </w:rPr>
        <w:t>s</w:t>
      </w:r>
      <w:r w:rsidRPr="009C4E43">
        <w:rPr>
          <w:rFonts w:ascii="Arial" w:hAnsi="Arial" w:cs="Arial"/>
        </w:rPr>
        <w:t xml:space="preserve">. 150, VIII, e 197, do Regimento Interno, em conjunto com o Diretor Geral, </w:t>
      </w:r>
      <w:r w:rsidRPr="009C4E43">
        <w:rPr>
          <w:rFonts w:ascii="Arial" w:hAnsi="Arial" w:cs="Arial"/>
          <w:b/>
        </w:rPr>
        <w:t>considerando</w:t>
      </w:r>
      <w:r w:rsidRPr="009C4E43">
        <w:rPr>
          <w:rFonts w:ascii="Arial" w:hAnsi="Arial" w:cs="Arial"/>
        </w:rPr>
        <w:t>:</w:t>
      </w:r>
    </w:p>
    <w:p w:rsidR="00001AAD" w:rsidRPr="009C4E43" w:rsidRDefault="00001AAD" w:rsidP="00001AAD">
      <w:pPr>
        <w:divId w:val="1809393144"/>
        <w:rPr>
          <w:rFonts w:ascii="Arial" w:hAnsi="Arial" w:cs="Arial"/>
        </w:rPr>
      </w:pPr>
    </w:p>
    <w:p w:rsidR="00796FC7" w:rsidRPr="009C4E43" w:rsidRDefault="00796FC7" w:rsidP="00796FC7">
      <w:pPr>
        <w:pStyle w:val="Lista"/>
        <w:ind w:left="0" w:firstLine="708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</w:rPr>
        <w:t>(i) a ausência de previsão específica no Regimento Interno sobre retirada de processos do Tribunal por procuradores legalmente constituídos, dentro dos prazos para o exercício do contraditório e da interposição de recurso;</w:t>
      </w:r>
    </w:p>
    <w:p w:rsidR="00796FC7" w:rsidRPr="009C4E43" w:rsidRDefault="00796FC7" w:rsidP="00796FC7">
      <w:pPr>
        <w:pStyle w:val="Lista"/>
        <w:ind w:left="0" w:firstLine="708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</w:rPr>
        <w:t xml:space="preserve">(ii) a necessidade de </w:t>
      </w:r>
      <w:r w:rsidRPr="009C4E43">
        <w:rPr>
          <w:rFonts w:ascii="Arial" w:hAnsi="Arial" w:cs="Arial"/>
          <w:b/>
          <w:bCs/>
        </w:rPr>
        <w:t xml:space="preserve">adequação </w:t>
      </w:r>
      <w:r w:rsidRPr="009C4E43">
        <w:rPr>
          <w:rFonts w:ascii="Arial" w:hAnsi="Arial" w:cs="Arial"/>
        </w:rPr>
        <w:t>do disposto no art. 362, do Regimento Interno com a prerrogativa prevista no art. 40, do Código de Processo Civil;</w:t>
      </w:r>
    </w:p>
    <w:p w:rsidR="00796FC7" w:rsidRPr="009C4E43" w:rsidRDefault="00796FC7" w:rsidP="00796FC7">
      <w:pPr>
        <w:pStyle w:val="Lista"/>
        <w:ind w:left="0" w:firstLine="708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</w:rPr>
        <w:t>(iii) a necessidade de uniformização dos procedimentos, em razão da delegação contida no § 3º, do art. 352, do Regimento Interno,</w:t>
      </w:r>
    </w:p>
    <w:p w:rsidR="00796FC7" w:rsidRPr="009C4E43" w:rsidRDefault="00796FC7" w:rsidP="00796FC7">
      <w:pPr>
        <w:pStyle w:val="Corpodetexto"/>
        <w:ind w:firstLine="708"/>
        <w:divId w:val="1809393144"/>
        <w:rPr>
          <w:rFonts w:ascii="Arial" w:hAnsi="Arial" w:cs="Arial"/>
          <w:b/>
        </w:rPr>
      </w:pPr>
    </w:p>
    <w:p w:rsidR="00796FC7" w:rsidRPr="009C4E43" w:rsidRDefault="00796FC7" w:rsidP="00796FC7">
      <w:pPr>
        <w:pStyle w:val="Corpodetexto"/>
        <w:ind w:firstLine="708"/>
        <w:divId w:val="1809393144"/>
        <w:rPr>
          <w:rFonts w:ascii="Arial" w:hAnsi="Arial" w:cs="Arial"/>
          <w:b/>
        </w:rPr>
      </w:pPr>
    </w:p>
    <w:p w:rsidR="00796FC7" w:rsidRPr="009C4E43" w:rsidRDefault="00796FC7" w:rsidP="00796FC7">
      <w:pPr>
        <w:pStyle w:val="Corpodetexto"/>
        <w:ind w:firstLine="708"/>
        <w:divId w:val="1809393144"/>
        <w:rPr>
          <w:rFonts w:ascii="Arial" w:hAnsi="Arial" w:cs="Arial"/>
          <w:b/>
        </w:rPr>
      </w:pPr>
      <w:r w:rsidRPr="009C4E43">
        <w:rPr>
          <w:rFonts w:ascii="Arial" w:hAnsi="Arial" w:cs="Arial"/>
          <w:b/>
        </w:rPr>
        <w:t>RESOLVE:</w:t>
      </w:r>
    </w:p>
    <w:p w:rsidR="00796FC7" w:rsidRPr="009C4E43" w:rsidRDefault="00796FC7" w:rsidP="00281B2C">
      <w:pPr>
        <w:pStyle w:val="Corpodetexto"/>
        <w:ind w:firstLine="708"/>
        <w:divId w:val="1809393144"/>
        <w:rPr>
          <w:rFonts w:ascii="Arial" w:hAnsi="Arial" w:cs="Arial"/>
          <w:b/>
          <w:bCs/>
        </w:rPr>
      </w:pPr>
    </w:p>
    <w:p w:rsidR="00281B2C" w:rsidRPr="009C4E43" w:rsidRDefault="00281B2C" w:rsidP="006D520B">
      <w:pPr>
        <w:pStyle w:val="Corpodetexto"/>
        <w:spacing w:line="360" w:lineRule="auto"/>
        <w:ind w:firstLine="708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  <w:b/>
          <w:bCs/>
        </w:rPr>
        <w:t xml:space="preserve">Art. 1º </w:t>
      </w:r>
      <w:r w:rsidR="00796FC7" w:rsidRPr="009C4E43">
        <w:rPr>
          <w:rFonts w:ascii="Arial" w:hAnsi="Arial" w:cs="Arial"/>
        </w:rPr>
        <w:t>A retirada dos processos do Tribunal, mediante solicitação escrita dirigida ao relator, por advogado regularmente constituído, prevista no art. 360, do Regimento Interno, quando requerida dentro do prazo concedido para o exercício do contraditório e interposição de recurso, poderá ser deferida até o encerramento desse mesmo prazo</w:t>
      </w:r>
      <w:r w:rsidRPr="009C4E43">
        <w:rPr>
          <w:rFonts w:ascii="Arial" w:hAnsi="Arial" w:cs="Arial"/>
        </w:rPr>
        <w:t>.</w:t>
      </w:r>
    </w:p>
    <w:p w:rsidR="00281B2C" w:rsidRPr="009C4E43" w:rsidRDefault="00281B2C" w:rsidP="006D520B">
      <w:pPr>
        <w:pStyle w:val="Corpodetexto"/>
        <w:spacing w:line="360" w:lineRule="auto"/>
        <w:ind w:firstLine="708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</w:rPr>
        <w:lastRenderedPageBreak/>
        <w:t xml:space="preserve">§ 1º </w:t>
      </w:r>
      <w:r w:rsidR="00796FC7" w:rsidRPr="009C4E43">
        <w:rPr>
          <w:rFonts w:ascii="Arial" w:hAnsi="Arial" w:cs="Arial"/>
        </w:rPr>
        <w:t xml:space="preserve">A concessão do prazo de que trata o </w:t>
      </w:r>
      <w:r w:rsidR="00796FC7" w:rsidRPr="009C4E43">
        <w:rPr>
          <w:rFonts w:ascii="Arial" w:hAnsi="Arial" w:cs="Arial"/>
          <w:i/>
          <w:iCs/>
        </w:rPr>
        <w:t xml:space="preserve">caput </w:t>
      </w:r>
      <w:r w:rsidR="00796FC7" w:rsidRPr="009C4E43">
        <w:rPr>
          <w:rFonts w:ascii="Arial" w:hAnsi="Arial" w:cs="Arial"/>
        </w:rPr>
        <w:t>poderá ser apreciada pelos dirigentes das unidades administrativas, nos termos do art. 360, § 5º, do Regimento Interno.</w:t>
      </w:r>
    </w:p>
    <w:p w:rsidR="00281B2C" w:rsidRPr="009C4E43" w:rsidRDefault="00281B2C" w:rsidP="006D520B">
      <w:pPr>
        <w:spacing w:line="360" w:lineRule="auto"/>
        <w:ind w:firstLine="708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</w:rPr>
        <w:t xml:space="preserve">§ 2º </w:t>
      </w:r>
      <w:r w:rsidR="00796FC7" w:rsidRPr="009C4E43">
        <w:rPr>
          <w:rFonts w:ascii="Arial" w:hAnsi="Arial" w:cs="Arial"/>
        </w:rPr>
        <w:t xml:space="preserve">Contar-se-á o prazo de que trata o </w:t>
      </w:r>
      <w:r w:rsidR="00796FC7" w:rsidRPr="009C4E43">
        <w:rPr>
          <w:rFonts w:ascii="Arial" w:hAnsi="Arial" w:cs="Arial"/>
          <w:i/>
          <w:iCs/>
        </w:rPr>
        <w:t xml:space="preserve">caput </w:t>
      </w:r>
      <w:r w:rsidR="00796FC7" w:rsidRPr="009C4E43">
        <w:rPr>
          <w:rFonts w:ascii="Arial" w:hAnsi="Arial" w:cs="Arial"/>
        </w:rPr>
        <w:t>na forma dos arts. 386, 387 e 389, do Regimento Interno, não podendo o prazo de retirada dos autos exceder ao do exercício do contraditório e ao da interposição de recurso, ressalvada a hipótese de prorrogação a que se refere o art. 389 e parágrafo único, do Regimento Interno</w:t>
      </w:r>
      <w:r w:rsidRPr="009C4E43">
        <w:rPr>
          <w:rFonts w:ascii="Arial" w:hAnsi="Arial" w:cs="Arial"/>
        </w:rPr>
        <w:t>.</w:t>
      </w:r>
    </w:p>
    <w:p w:rsidR="00796FC7" w:rsidRPr="009C4E43" w:rsidRDefault="00796FC7" w:rsidP="006D520B">
      <w:pPr>
        <w:pStyle w:val="Corpodetexto"/>
        <w:spacing w:line="360" w:lineRule="auto"/>
        <w:ind w:firstLine="708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  <w:b/>
          <w:bCs/>
        </w:rPr>
        <w:t xml:space="preserve">Art. 2º </w:t>
      </w:r>
      <w:r w:rsidRPr="009C4E43">
        <w:rPr>
          <w:rFonts w:ascii="Arial" w:hAnsi="Arial" w:cs="Arial"/>
        </w:rPr>
        <w:t>Havendo mais de uma parte no processo e sendo comum o prazo, só em conjunto ou mediante prévio ajuste por petição nos autos, poderão os seus procuradores retirar os autos, desde que expressamente autorizado pelo próprio Relator, vedada, nesse caso, a delegação de que trata o art. 352, § 3º, do Regimento Interno.</w:t>
      </w:r>
    </w:p>
    <w:p w:rsidR="00281B2C" w:rsidRPr="009C4E43" w:rsidRDefault="00281B2C" w:rsidP="006D520B">
      <w:pPr>
        <w:spacing w:line="360" w:lineRule="auto"/>
        <w:ind w:firstLine="708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  <w:b/>
          <w:bCs/>
        </w:rPr>
        <w:t xml:space="preserve">Art. 3º </w:t>
      </w:r>
      <w:r w:rsidR="00796FC7" w:rsidRPr="009C4E43">
        <w:rPr>
          <w:rFonts w:ascii="Arial" w:hAnsi="Arial" w:cs="Arial"/>
        </w:rPr>
        <w:t>Excetuada a hipótese do art. 1º, os demais pedidos de retirada de autos do Tribunal somente poderão ser deferidos no prazo de 5 (cinco) dias, na forma do art. 362, do Regimento Interno, mediante despacho do relator.</w:t>
      </w:r>
    </w:p>
    <w:p w:rsidR="00796FC7" w:rsidRPr="009C4E43" w:rsidRDefault="00796FC7" w:rsidP="006D520B">
      <w:pPr>
        <w:spacing w:line="360" w:lineRule="auto"/>
        <w:ind w:firstLine="708"/>
        <w:jc w:val="both"/>
        <w:divId w:val="1809393144"/>
        <w:rPr>
          <w:rFonts w:ascii="Arial" w:hAnsi="Arial" w:cs="Arial"/>
        </w:rPr>
      </w:pPr>
      <w:r w:rsidRPr="009C4E43">
        <w:rPr>
          <w:rFonts w:ascii="Arial" w:hAnsi="Arial" w:cs="Arial"/>
          <w:b/>
          <w:bCs/>
        </w:rPr>
        <w:t>Art. 4º</w:t>
      </w:r>
      <w:r w:rsidRPr="009C4E43">
        <w:rPr>
          <w:rFonts w:ascii="Arial" w:hAnsi="Arial" w:cs="Arial"/>
          <w:bCs/>
        </w:rPr>
        <w:t xml:space="preserve"> Esta Instrução de Serviço entrará em vigência na data de sua publicação nos Atos Oficiais do Tribunal. </w:t>
      </w:r>
    </w:p>
    <w:p w:rsidR="00796FC7" w:rsidRPr="009C4E43" w:rsidRDefault="00796FC7" w:rsidP="006D520B">
      <w:pPr>
        <w:pStyle w:val="Corpodetexto"/>
        <w:spacing w:line="360" w:lineRule="auto"/>
        <w:divId w:val="1809393144"/>
        <w:rPr>
          <w:rFonts w:ascii="Arial" w:hAnsi="Arial" w:cs="Arial"/>
          <w:b/>
        </w:rPr>
      </w:pPr>
    </w:p>
    <w:p w:rsidR="00281B2C" w:rsidRPr="009C4E43" w:rsidRDefault="00281B2C" w:rsidP="00281B2C">
      <w:pPr>
        <w:pStyle w:val="Corpodetexto"/>
        <w:divId w:val="1809393144"/>
        <w:rPr>
          <w:rFonts w:ascii="Arial" w:hAnsi="Arial" w:cs="Arial"/>
          <w:b/>
        </w:rPr>
      </w:pPr>
      <w:r w:rsidRPr="009C4E43">
        <w:rPr>
          <w:rFonts w:ascii="Arial" w:hAnsi="Arial" w:cs="Arial"/>
          <w:b/>
        </w:rPr>
        <w:t xml:space="preserve">Curitiba, </w:t>
      </w:r>
      <w:r w:rsidR="00796FC7" w:rsidRPr="009C4E43">
        <w:rPr>
          <w:rFonts w:ascii="Arial" w:hAnsi="Arial" w:cs="Arial"/>
          <w:b/>
        </w:rPr>
        <w:t>19</w:t>
      </w:r>
      <w:r w:rsidRPr="009C4E43">
        <w:rPr>
          <w:rFonts w:ascii="Arial" w:hAnsi="Arial" w:cs="Arial"/>
          <w:b/>
        </w:rPr>
        <w:t xml:space="preserve"> de </w:t>
      </w:r>
      <w:r w:rsidR="00796FC7" w:rsidRPr="009C4E43">
        <w:rPr>
          <w:rFonts w:ascii="Arial" w:hAnsi="Arial" w:cs="Arial"/>
          <w:b/>
        </w:rPr>
        <w:t>setembro</w:t>
      </w:r>
      <w:r w:rsidRPr="009C4E43">
        <w:rPr>
          <w:rFonts w:ascii="Arial" w:hAnsi="Arial" w:cs="Arial"/>
          <w:b/>
        </w:rPr>
        <w:t xml:space="preserve"> de 200</w:t>
      </w:r>
      <w:r w:rsidR="00796FC7" w:rsidRPr="009C4E43">
        <w:rPr>
          <w:rFonts w:ascii="Arial" w:hAnsi="Arial" w:cs="Arial"/>
          <w:b/>
        </w:rPr>
        <w:t>7</w:t>
      </w:r>
      <w:r w:rsidRPr="009C4E43">
        <w:rPr>
          <w:rFonts w:ascii="Arial" w:hAnsi="Arial" w:cs="Arial"/>
          <w:b/>
        </w:rPr>
        <w:t>.</w:t>
      </w:r>
    </w:p>
    <w:p w:rsidR="00796FC7" w:rsidRPr="009C4E43" w:rsidRDefault="00796FC7" w:rsidP="00281B2C">
      <w:pPr>
        <w:pStyle w:val="Corpodetexto"/>
        <w:divId w:val="1809393144"/>
        <w:rPr>
          <w:rFonts w:ascii="Arial" w:hAnsi="Arial" w:cs="Arial"/>
          <w:b/>
        </w:rPr>
      </w:pPr>
    </w:p>
    <w:p w:rsidR="00796FC7" w:rsidRPr="009C4E43" w:rsidRDefault="00796FC7" w:rsidP="00796FC7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  <w:r w:rsidRPr="009C4E43">
        <w:rPr>
          <w:rFonts w:ascii="Arial" w:hAnsi="Arial" w:cs="Arial"/>
          <w:b/>
          <w:bCs/>
          <w:i/>
          <w:sz w:val="24"/>
        </w:rPr>
        <w:t>NESTOR BAPTISTA</w:t>
      </w:r>
    </w:p>
    <w:p w:rsidR="00796FC7" w:rsidRPr="009C4E43" w:rsidRDefault="00796FC7" w:rsidP="00796FC7">
      <w:pPr>
        <w:autoSpaceDE w:val="0"/>
        <w:autoSpaceDN w:val="0"/>
        <w:adjustRightInd w:val="0"/>
        <w:jc w:val="right"/>
        <w:divId w:val="1809393144"/>
        <w:rPr>
          <w:rFonts w:ascii="Arial" w:hAnsi="Arial" w:cs="Arial"/>
          <w:i/>
        </w:rPr>
      </w:pPr>
      <w:r w:rsidRPr="009C4E43">
        <w:rPr>
          <w:rFonts w:ascii="Arial" w:hAnsi="Arial" w:cs="Arial"/>
          <w:bCs/>
          <w:i/>
        </w:rPr>
        <w:t>Presidente</w:t>
      </w:r>
    </w:p>
    <w:p w:rsidR="00796FC7" w:rsidRPr="009C4E43" w:rsidRDefault="00796FC7" w:rsidP="00281B2C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</w:p>
    <w:p w:rsidR="00281B2C" w:rsidRPr="009C4E43" w:rsidRDefault="00796FC7" w:rsidP="00281B2C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  <w:r w:rsidRPr="009C4E43">
        <w:rPr>
          <w:rFonts w:ascii="Arial" w:hAnsi="Arial" w:cs="Arial"/>
          <w:b/>
          <w:bCs/>
          <w:i/>
          <w:sz w:val="24"/>
        </w:rPr>
        <w:t>AGILEU CARLOS BITTENCOURT</w:t>
      </w:r>
    </w:p>
    <w:p w:rsidR="00281B2C" w:rsidRPr="00281B2C" w:rsidRDefault="00281B2C" w:rsidP="00281B2C">
      <w:pPr>
        <w:pStyle w:val="Corpodetexto"/>
        <w:jc w:val="right"/>
        <w:divId w:val="1809393144"/>
        <w:rPr>
          <w:i/>
        </w:rPr>
      </w:pPr>
      <w:r w:rsidRPr="009C4E43">
        <w:rPr>
          <w:rFonts w:ascii="Arial" w:hAnsi="Arial" w:cs="Arial"/>
          <w:i/>
        </w:rPr>
        <w:t>Diretor Geral</w:t>
      </w:r>
    </w:p>
    <w:sectPr w:rsidR="00281B2C" w:rsidRPr="00281B2C" w:rsidSect="006D03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8C" w:rsidRDefault="00364D8C">
      <w:r>
        <w:separator/>
      </w:r>
    </w:p>
  </w:endnote>
  <w:endnote w:type="continuationSeparator" w:id="0">
    <w:p w:rsidR="00364D8C" w:rsidRDefault="0036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1D" w:rsidRDefault="00F3471D" w:rsidP="00F3471D">
    <w:pPr>
      <w:pStyle w:val="Rodap"/>
    </w:pPr>
  </w:p>
  <w:p w:rsidR="00F3471D" w:rsidRDefault="00F3471D">
    <w:pPr>
      <w:pStyle w:val="Rodap"/>
    </w:pPr>
  </w:p>
  <w:p w:rsidR="00F3471D" w:rsidRDefault="00F347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8C" w:rsidRDefault="00364D8C">
      <w:r>
        <w:separator/>
      </w:r>
    </w:p>
  </w:footnote>
  <w:footnote w:type="continuationSeparator" w:id="0">
    <w:p w:rsidR="00364D8C" w:rsidRDefault="00364D8C">
      <w:r>
        <w:continuationSeparator/>
      </w:r>
    </w:p>
  </w:footnote>
  <w:footnote w:id="1">
    <w:p w:rsidR="009C4E43" w:rsidRPr="00A22833" w:rsidRDefault="009C4E43" w:rsidP="009C4E43">
      <w:pPr>
        <w:pStyle w:val="Textodenotaderodap"/>
        <w:rPr>
          <w:rFonts w:ascii="Arial" w:hAnsi="Arial" w:cs="Arial"/>
        </w:rPr>
      </w:pPr>
      <w:r w:rsidRPr="009C4E43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9C4E43" w:rsidRPr="00811C63" w:rsidRDefault="009C4E43" w:rsidP="009C4E4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C4E43" w:rsidRDefault="009C4E43" w:rsidP="009C4E43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9C4E43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117, 21 set. 2007, p. 100</w:t>
        </w:r>
      </w:hyperlink>
      <w:r w:rsidRPr="009C4E43">
        <w:rPr>
          <w:rFonts w:ascii="Arial" w:hAnsi="Arial" w:cs="Arial"/>
          <w:sz w:val="20"/>
          <w:szCs w:val="20"/>
        </w:rPr>
        <w:t>.</w:t>
      </w:r>
    </w:p>
    <w:p w:rsidR="009C4E43" w:rsidRDefault="009C4E4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3" w:rsidRDefault="009C4E43" w:rsidP="009C4E43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D2F722" wp14:editId="0C5FB403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6D520B" w:rsidRDefault="006D520B" w:rsidP="009C4E43">
    <w:pPr>
      <w:pStyle w:val="Cabealho"/>
    </w:pPr>
  </w:p>
  <w:p w:rsidR="009C4E43" w:rsidRPr="009C4E43" w:rsidRDefault="009C4E43" w:rsidP="009C4E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F29787C"/>
    <w:multiLevelType w:val="multilevel"/>
    <w:tmpl w:val="3BCEC89E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69C75661"/>
    <w:multiLevelType w:val="hybridMultilevel"/>
    <w:tmpl w:val="3BCEC89E"/>
    <w:lvl w:ilvl="0" w:tplc="0416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90"/>
    <w:rsid w:val="00001AAD"/>
    <w:rsid w:val="00003A61"/>
    <w:rsid w:val="0008423B"/>
    <w:rsid w:val="000974D8"/>
    <w:rsid w:val="001013EA"/>
    <w:rsid w:val="00121591"/>
    <w:rsid w:val="00180544"/>
    <w:rsid w:val="001C0871"/>
    <w:rsid w:val="00273653"/>
    <w:rsid w:val="00277715"/>
    <w:rsid w:val="00281B2C"/>
    <w:rsid w:val="00364D8C"/>
    <w:rsid w:val="00383C35"/>
    <w:rsid w:val="003D0D35"/>
    <w:rsid w:val="003E042C"/>
    <w:rsid w:val="00593E4A"/>
    <w:rsid w:val="006D0373"/>
    <w:rsid w:val="006D520B"/>
    <w:rsid w:val="00766C74"/>
    <w:rsid w:val="00773D32"/>
    <w:rsid w:val="00791D32"/>
    <w:rsid w:val="00793884"/>
    <w:rsid w:val="00796FC7"/>
    <w:rsid w:val="007A6C02"/>
    <w:rsid w:val="007B5635"/>
    <w:rsid w:val="00811173"/>
    <w:rsid w:val="008E3730"/>
    <w:rsid w:val="0093201F"/>
    <w:rsid w:val="009A1190"/>
    <w:rsid w:val="009A7BE7"/>
    <w:rsid w:val="009C4E43"/>
    <w:rsid w:val="00A65804"/>
    <w:rsid w:val="00AA2C73"/>
    <w:rsid w:val="00B423C1"/>
    <w:rsid w:val="00B67C9F"/>
    <w:rsid w:val="00B76DBE"/>
    <w:rsid w:val="00C26F56"/>
    <w:rsid w:val="00C53A5F"/>
    <w:rsid w:val="00C75582"/>
    <w:rsid w:val="00D1176F"/>
    <w:rsid w:val="00D20C02"/>
    <w:rsid w:val="00E04351"/>
    <w:rsid w:val="00E25D97"/>
    <w:rsid w:val="00E30CED"/>
    <w:rsid w:val="00E51D53"/>
    <w:rsid w:val="00E7323A"/>
    <w:rsid w:val="00E76905"/>
    <w:rsid w:val="00F25C33"/>
    <w:rsid w:val="00F3471D"/>
    <w:rsid w:val="00FA2B81"/>
    <w:rsid w:val="00FD4A7D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996B4"/>
  <w15:docId w15:val="{579337C7-34C3-4E2E-8D47-74BFC621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E0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4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383C35"/>
    <w:pPr>
      <w:ind w:left="283" w:hanging="283"/>
    </w:pPr>
  </w:style>
  <w:style w:type="paragraph" w:styleId="Lista2">
    <w:name w:val="List 2"/>
    <w:basedOn w:val="Normal"/>
    <w:rsid w:val="00383C35"/>
    <w:pPr>
      <w:ind w:left="566" w:hanging="283"/>
    </w:pPr>
  </w:style>
  <w:style w:type="paragraph" w:styleId="Lista3">
    <w:name w:val="List 3"/>
    <w:basedOn w:val="Normal"/>
    <w:rsid w:val="00383C35"/>
    <w:pPr>
      <w:ind w:left="849" w:hanging="283"/>
    </w:pPr>
  </w:style>
  <w:style w:type="paragraph" w:styleId="Textodebalo">
    <w:name w:val="Balloon Text"/>
    <w:basedOn w:val="Normal"/>
    <w:semiHidden/>
    <w:rsid w:val="006D520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F3471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C4E43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9C4E4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4E43"/>
  </w:style>
  <w:style w:type="character" w:styleId="Refdenotaderodap">
    <w:name w:val="footnote reference"/>
    <w:basedOn w:val="Fontepargpadro"/>
    <w:semiHidden/>
    <w:unhideWhenUsed/>
    <w:rsid w:val="009C4E43"/>
    <w:rPr>
      <w:vertAlign w:val="superscript"/>
    </w:rPr>
  </w:style>
  <w:style w:type="character" w:styleId="Hyperlink">
    <w:name w:val="Hyperlink"/>
    <w:basedOn w:val="Fontepargpadro"/>
    <w:unhideWhenUsed/>
    <w:rsid w:val="009C4E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07/9/pdf/00000489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</vt:lpstr>
    </vt:vector>
  </TitlesOfParts>
  <Company>TCE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 Fonseca</cp:lastModifiedBy>
  <cp:revision>3</cp:revision>
  <cp:lastPrinted>2008-01-29T12:00:00Z</cp:lastPrinted>
  <dcterms:created xsi:type="dcterms:W3CDTF">2011-04-25T13:25:00Z</dcterms:created>
  <dcterms:modified xsi:type="dcterms:W3CDTF">2019-07-12T18:01:00Z</dcterms:modified>
</cp:coreProperties>
</file>