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59" w:rsidRPr="006A4ED3" w:rsidRDefault="00405359" w:rsidP="0040535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A4ED3">
        <w:rPr>
          <w:rFonts w:cs="Arial"/>
          <w:b/>
          <w:bCs/>
          <w:sz w:val="28"/>
          <w:szCs w:val="28"/>
        </w:rPr>
        <w:t>INSTRUÇÃO DE SERVIÇO</w:t>
      </w:r>
      <w:r>
        <w:rPr>
          <w:rFonts w:cs="Arial"/>
          <w:b/>
          <w:bCs/>
          <w:sz w:val="28"/>
          <w:szCs w:val="28"/>
        </w:rPr>
        <w:t xml:space="preserve"> Nº </w:t>
      </w:r>
      <w:r>
        <w:rPr>
          <w:rFonts w:cs="Arial"/>
          <w:b/>
          <w:color w:val="000000"/>
          <w:sz w:val="28"/>
          <w:szCs w:val="28"/>
        </w:rPr>
        <w:t>100</w:t>
      </w:r>
      <w:r w:rsidRPr="000A1B86">
        <w:rPr>
          <w:rFonts w:cs="Arial"/>
          <w:b/>
          <w:sz w:val="28"/>
          <w:szCs w:val="28"/>
        </w:rPr>
        <w:t>/</w:t>
      </w:r>
      <w:r>
        <w:rPr>
          <w:rFonts w:cs="Arial"/>
          <w:b/>
          <w:sz w:val="28"/>
          <w:szCs w:val="28"/>
        </w:rPr>
        <w:t>2015</w:t>
      </w:r>
      <w:r w:rsidR="000609C9" w:rsidRPr="000609C9">
        <w:rPr>
          <w:rStyle w:val="Refdenotaderodap"/>
          <w:rFonts w:cs="Arial"/>
          <w:b/>
          <w:sz w:val="28"/>
          <w:szCs w:val="28"/>
        </w:rPr>
        <w:footnoteReference w:customMarkFollows="1" w:id="1"/>
        <w:sym w:font="Symbol" w:char="F02A"/>
      </w:r>
    </w:p>
    <w:p w:rsidR="002B607B" w:rsidRPr="002B607B" w:rsidRDefault="002B607B" w:rsidP="00405359">
      <w:pPr>
        <w:autoSpaceDE w:val="0"/>
        <w:autoSpaceDN w:val="0"/>
        <w:adjustRightInd w:val="0"/>
        <w:spacing w:before="360" w:after="360" w:line="240" w:lineRule="auto"/>
        <w:ind w:left="4536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Dispõe sobre a delegação de competência para elaboração e assinatura de despachos de mero expediente sem caráter decisório.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D14B7A">
        <w:rPr>
          <w:rFonts w:ascii="Arial" w:eastAsia="Times New Roman" w:hAnsi="Arial" w:cs="Arial"/>
          <w:b/>
          <w:sz w:val="24"/>
          <w:szCs w:val="24"/>
          <w:lang w:eastAsia="pt-BR"/>
        </w:rPr>
        <w:t>AUDITOR CLÁUDIO AUGUSTO CANHA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, no uso das atribuições que lhe são conferidas pelo art. 197 do Regimento Interno, e em razão da </w:t>
      </w:r>
      <w:r w:rsidRPr="003F59E4">
        <w:rPr>
          <w:rFonts w:ascii="Arial" w:eastAsia="Times New Roman" w:hAnsi="Arial" w:cs="Arial"/>
          <w:sz w:val="24"/>
          <w:szCs w:val="24"/>
          <w:lang w:eastAsia="pt-BR"/>
        </w:rPr>
        <w:t xml:space="preserve">Portaria nº 620/15-GP, </w:t>
      </w:r>
      <w:r w:rsidR="005A7FB4" w:rsidRPr="003F59E4">
        <w:rPr>
          <w:rFonts w:ascii="Arial" w:eastAsia="Times New Roman" w:hAnsi="Arial" w:cs="Arial"/>
          <w:sz w:val="24"/>
          <w:szCs w:val="24"/>
          <w:lang w:eastAsia="pt-BR"/>
        </w:rPr>
        <w:t>disponibilizada</w:t>
      </w:r>
      <w:r w:rsidRPr="003F59E4">
        <w:rPr>
          <w:rFonts w:ascii="Arial" w:eastAsia="Times New Roman" w:hAnsi="Arial" w:cs="Arial"/>
          <w:sz w:val="24"/>
          <w:szCs w:val="24"/>
          <w:lang w:eastAsia="pt-BR"/>
        </w:rPr>
        <w:t xml:space="preserve"> no D</w:t>
      </w:r>
      <w:r w:rsidR="005A7FB4" w:rsidRPr="003F59E4">
        <w:rPr>
          <w:rFonts w:ascii="Arial" w:eastAsia="Times New Roman" w:hAnsi="Arial" w:cs="Arial"/>
          <w:sz w:val="24"/>
          <w:szCs w:val="24"/>
          <w:lang w:eastAsia="pt-BR"/>
        </w:rPr>
        <w:t>iário Eletrônico do Tribunal de Contas nº 1.142, de</w:t>
      </w:r>
      <w:r w:rsidRPr="003F59E4">
        <w:rPr>
          <w:rFonts w:ascii="Arial" w:eastAsia="Times New Roman" w:hAnsi="Arial" w:cs="Arial"/>
          <w:sz w:val="24"/>
          <w:szCs w:val="24"/>
          <w:lang w:eastAsia="pt-BR"/>
        </w:rPr>
        <w:t xml:space="preserve"> 18/06/2015, e considerando o previsto no art. 93, inciso XIV, c/c o art. 73, § 4º, da Constituição Federal, e o disposto no art. 32, § 1º, c/c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o art. 52-A, </w:t>
      </w:r>
      <w:r w:rsidRPr="002B607B">
        <w:rPr>
          <w:rFonts w:ascii="Arial" w:eastAsia="Times New Roman" w:hAnsi="Arial" w:cs="Arial"/>
          <w:i/>
          <w:sz w:val="24"/>
          <w:szCs w:val="24"/>
          <w:lang w:eastAsia="pt-BR"/>
        </w:rPr>
        <w:t>caput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>, do Regimento Interno,</w:t>
      </w:r>
    </w:p>
    <w:p w:rsidR="002B607B" w:rsidRPr="00405359" w:rsidRDefault="002B607B" w:rsidP="00405359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5359">
        <w:rPr>
          <w:rFonts w:ascii="Arial" w:eastAsia="Times New Roman" w:hAnsi="Arial" w:cs="Arial"/>
          <w:b/>
          <w:sz w:val="24"/>
          <w:szCs w:val="24"/>
          <w:lang w:eastAsia="pt-BR"/>
        </w:rPr>
        <w:t>RESOLVE</w:t>
      </w:r>
    </w:p>
    <w:p w:rsidR="002B607B" w:rsidRPr="003F59E4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5359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Ficam delegados ao servidor LÚCIO FLÁVIO LUTTEMBARCK BATALHA, Analista de Controle Externo – Assessor Técnico de Conselheiro, matrícula nº 51.325-3, lotado no Gabinete do Conselheiro Fabio de Souza Camargo, os despachos de mero expediente, sem caráter decisório, em processos de competência deste Auditor, decorrentes da </w:t>
      </w:r>
      <w:r w:rsidRPr="003F59E4">
        <w:rPr>
          <w:rFonts w:ascii="Arial" w:eastAsia="Times New Roman" w:hAnsi="Arial" w:cs="Arial"/>
          <w:sz w:val="24"/>
          <w:szCs w:val="24"/>
          <w:lang w:eastAsia="pt-BR"/>
        </w:rPr>
        <w:t xml:space="preserve">convocação constante da Portaria nº </w:t>
      </w:r>
      <w:r w:rsidR="009F4B4C" w:rsidRPr="003F59E4">
        <w:rPr>
          <w:rFonts w:ascii="Arial" w:eastAsia="Times New Roman" w:hAnsi="Arial" w:cs="Arial"/>
          <w:sz w:val="24"/>
          <w:szCs w:val="24"/>
          <w:lang w:eastAsia="pt-BR"/>
        </w:rPr>
        <w:t>620/15-GP, disponibilizada no Diário Eletrônico do Tribunal de Contas nº 1.142, de 18/06/2015</w:t>
      </w:r>
      <w:r w:rsidRPr="003F59E4">
        <w:rPr>
          <w:rFonts w:ascii="Arial" w:eastAsia="Times New Roman" w:hAnsi="Arial" w:cs="Arial"/>
          <w:sz w:val="24"/>
          <w:szCs w:val="24"/>
          <w:lang w:eastAsia="pt-BR"/>
        </w:rPr>
        <w:t>, nas seguintes hipóteses: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autorização e determinação</w:t>
      </w:r>
      <w:proofErr w:type="gram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citações e intimações, acolhendo integralmente proposta da unidade técnica, nas modalidades previstas no Capítulo XIV do Regimento Interno, exceto quando se tratar das autoridades mencionadas no art. 32, § 2º, </w:t>
      </w:r>
      <w:r w:rsidRPr="002B607B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 fine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>, do Regimento Interno;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II – </w:t>
      </w:r>
      <w:proofErr w:type="gram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autorização e determinação</w:t>
      </w:r>
      <w:proofErr w:type="gram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diligências, acolhendo integralmente proposta da unidade técnica, bem como o encaminhamento de processos para a regular manifestação do Ministério Público junto ao Tribunal de Contas;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>III – autorização e determinação de providências atinentes à correção da autuação de processos, acolhendo integralmente proposta da unidade técnica, nos casos de redistribuição de feitos, correção de nomes de partes, interessados e advogados, inclusão e exclusão de nomes de advogados, com exceção da inclusão de partes e interessados, conforme vedação contida no art. 347, § 5º, do Regimento Interno;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IV – </w:t>
      </w:r>
      <w:proofErr w:type="gram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deferimento</w:t>
      </w:r>
      <w:proofErr w:type="gram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requerimentos de prorrogação de prazo para exercício do contraditório e da ampla defesa e para cumprimento de diligências, nos termos regimentais, e observado o disposto no art. 40 do Código de Processo Civil;</w:t>
      </w:r>
    </w:p>
    <w:p w:rsidR="002B607B" w:rsidRPr="002B607B" w:rsidRDefault="002B607B" w:rsidP="00405359">
      <w:pPr>
        <w:autoSpaceDE w:val="0"/>
        <w:autoSpaceDN w:val="0"/>
        <w:adjustRightInd w:val="0"/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V – </w:t>
      </w:r>
      <w:proofErr w:type="gram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autorização</w:t>
      </w:r>
      <w:proofErr w:type="gram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juntada de alegações de defesa, de documentos novos e de provas apresentadas nos termos previstos no Capítulo VII do Regimento Interno, bem como encaminhamento à unidade técnica para nova instrução, incluindo a análise dos novos elementos juntados;</w:t>
      </w:r>
    </w:p>
    <w:p w:rsidR="002B607B" w:rsidRPr="002B607B" w:rsidRDefault="002B607B" w:rsidP="00405359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VI – </w:t>
      </w:r>
      <w:proofErr w:type="gram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autorização e determinação</w:t>
      </w:r>
      <w:proofErr w:type="gram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apensamento e </w:t>
      </w:r>
      <w:proofErr w:type="spellStart"/>
      <w:r w:rsidRPr="002B607B">
        <w:rPr>
          <w:rFonts w:ascii="Arial" w:eastAsia="Times New Roman" w:hAnsi="Arial" w:cs="Arial"/>
          <w:sz w:val="24"/>
          <w:szCs w:val="24"/>
          <w:lang w:eastAsia="pt-BR"/>
        </w:rPr>
        <w:t>desapensamento</w:t>
      </w:r>
      <w:proofErr w:type="spellEnd"/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processos, acolhendo integralmente proposta da unidade técnica;</w:t>
      </w:r>
    </w:p>
    <w:p w:rsidR="002B607B" w:rsidRPr="002B607B" w:rsidRDefault="002B607B" w:rsidP="00405359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>VII – deferimento de pedidos de vistas e de cópias, nos termos regimentais; e</w:t>
      </w:r>
    </w:p>
    <w:p w:rsidR="002B607B" w:rsidRPr="002B607B" w:rsidRDefault="008913F3" w:rsidP="00405359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VIII – au</w:t>
      </w:r>
      <w:r w:rsidR="002B607B"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torização e determinação de encerramento e arquivamento de processos, acolhendo pareceres uniformes da unidade técnica e do representante do Ministério Público junto ao Tribunal de Contas. </w:t>
      </w:r>
    </w:p>
    <w:p w:rsidR="002B607B" w:rsidRPr="002B607B" w:rsidRDefault="002B607B" w:rsidP="00405359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13F3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O servidor delegado fará constar expressa referência do cumprimento desta Instrução de Serviço, nos atos que formalizarem na sua observância.</w:t>
      </w:r>
    </w:p>
    <w:p w:rsidR="002B607B" w:rsidRPr="002B607B" w:rsidRDefault="002B607B" w:rsidP="00405359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13F3"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Esta Instrução de Serviço entra em vigor na data de sua publicação.</w:t>
      </w:r>
    </w:p>
    <w:p w:rsidR="008913F3" w:rsidRDefault="002B607B" w:rsidP="008913F3">
      <w:pPr>
        <w:spacing w:before="36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Curitiba, </w:t>
      </w:r>
      <w:r w:rsidR="003F59E4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3F59E4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2B607B">
        <w:rPr>
          <w:rFonts w:ascii="Arial" w:eastAsia="Times New Roman" w:hAnsi="Arial" w:cs="Arial"/>
          <w:sz w:val="24"/>
          <w:szCs w:val="24"/>
          <w:lang w:eastAsia="pt-BR"/>
        </w:rPr>
        <w:t xml:space="preserve"> de 2015.</w:t>
      </w:r>
    </w:p>
    <w:p w:rsidR="002B607B" w:rsidRPr="00D14B7A" w:rsidRDefault="002B607B" w:rsidP="008913F3">
      <w:pPr>
        <w:spacing w:before="360"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pt-BR"/>
        </w:rPr>
      </w:pPr>
      <w:r w:rsidRPr="00D14B7A"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t>CLÁUDIO AUGUSTO CANHA</w:t>
      </w:r>
    </w:p>
    <w:p w:rsidR="007057A7" w:rsidRPr="002B607B" w:rsidRDefault="002B607B" w:rsidP="008913F3">
      <w:pPr>
        <w:spacing w:after="0" w:line="240" w:lineRule="auto"/>
        <w:jc w:val="center"/>
        <w:rPr>
          <w:sz w:val="24"/>
          <w:szCs w:val="24"/>
        </w:rPr>
      </w:pPr>
      <w:r w:rsidRPr="002B607B">
        <w:rPr>
          <w:rFonts w:ascii="Arial" w:eastAsia="Times New Roman" w:hAnsi="Arial" w:cs="Arial"/>
          <w:noProof/>
          <w:sz w:val="24"/>
          <w:szCs w:val="24"/>
          <w:lang w:eastAsia="pt-BR"/>
        </w:rPr>
        <w:t>Auditor</w:t>
      </w:r>
    </w:p>
    <w:sectPr w:rsidR="007057A7" w:rsidRPr="002B6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C6D" w:rsidRDefault="00AD7C6D" w:rsidP="00405359">
      <w:pPr>
        <w:spacing w:after="0" w:line="240" w:lineRule="auto"/>
      </w:pPr>
      <w:r>
        <w:separator/>
      </w:r>
    </w:p>
  </w:endnote>
  <w:endnote w:type="continuationSeparator" w:id="0">
    <w:p w:rsidR="00AD7C6D" w:rsidRDefault="00AD7C6D" w:rsidP="0040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9C9" w:rsidRDefault="000609C9" w:rsidP="000609C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C6D" w:rsidRDefault="00AD7C6D" w:rsidP="00405359">
      <w:pPr>
        <w:spacing w:after="0" w:line="240" w:lineRule="auto"/>
      </w:pPr>
      <w:r>
        <w:separator/>
      </w:r>
    </w:p>
  </w:footnote>
  <w:footnote w:type="continuationSeparator" w:id="0">
    <w:p w:rsidR="00AD7C6D" w:rsidRDefault="00AD7C6D" w:rsidP="00405359">
      <w:pPr>
        <w:spacing w:after="0" w:line="240" w:lineRule="auto"/>
      </w:pPr>
      <w:r>
        <w:continuationSeparator/>
      </w:r>
    </w:p>
  </w:footnote>
  <w:footnote w:id="1">
    <w:p w:rsidR="000609C9" w:rsidRPr="00903F9E" w:rsidRDefault="000609C9" w:rsidP="000609C9">
      <w:pPr>
        <w:pStyle w:val="Textodenotaderodap"/>
        <w:spacing w:after="0" w:line="240" w:lineRule="auto"/>
        <w:rPr>
          <w:rFonts w:ascii="Arial" w:hAnsi="Arial" w:cs="Arial"/>
        </w:rPr>
      </w:pPr>
      <w:r w:rsidRPr="000609C9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0609C9" w:rsidRPr="00903F9E" w:rsidRDefault="000609C9" w:rsidP="000609C9">
      <w:pPr>
        <w:pStyle w:val="Textodenotaderodap"/>
        <w:spacing w:after="0" w:line="240" w:lineRule="auto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0609C9">
          <w:rPr>
            <w:rStyle w:val="Hyperlink"/>
            <w:rFonts w:ascii="Arial" w:hAnsi="Arial" w:cs="Arial"/>
          </w:rPr>
          <w:t>Diário Eletrônico do Tribunal de Contas do Estado do Paraná, Curitiba, PR, n. 1158, 10 jul. 2015, p. 59</w:t>
        </w:r>
      </w:hyperlink>
      <w:r w:rsidRPr="000609C9">
        <w:rPr>
          <w:rFonts w:ascii="Arial" w:hAnsi="Arial" w:cs="Arial"/>
          <w:color w:val="0000FF"/>
          <w:u w:val="single"/>
        </w:rPr>
        <w:t>.</w:t>
      </w:r>
      <w:bookmarkStart w:id="0" w:name="_GoBack"/>
      <w:bookmarkEnd w:id="0"/>
    </w:p>
    <w:p w:rsidR="000609C9" w:rsidRDefault="000609C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DE" w:rsidRDefault="004B42DE" w:rsidP="00405359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0609C9" w:rsidRDefault="000609C9" w:rsidP="00405359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07B"/>
    <w:rsid w:val="000609C9"/>
    <w:rsid w:val="002B607B"/>
    <w:rsid w:val="003F59E4"/>
    <w:rsid w:val="00405359"/>
    <w:rsid w:val="004B42DE"/>
    <w:rsid w:val="005A7FB4"/>
    <w:rsid w:val="005C0257"/>
    <w:rsid w:val="006E74AD"/>
    <w:rsid w:val="007057A7"/>
    <w:rsid w:val="00757820"/>
    <w:rsid w:val="00772C4D"/>
    <w:rsid w:val="008913F3"/>
    <w:rsid w:val="008D7E24"/>
    <w:rsid w:val="009F4B4C"/>
    <w:rsid w:val="00AD7C6D"/>
    <w:rsid w:val="00D1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5050FD7"/>
  <w15:chartTrackingRefBased/>
  <w15:docId w15:val="{F709206C-9D19-4E13-A8B0-39F3365D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53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0535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0535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5359"/>
    <w:rPr>
      <w:sz w:val="22"/>
      <w:szCs w:val="22"/>
      <w:lang w:eastAsia="en-US"/>
    </w:rPr>
  </w:style>
  <w:style w:type="paragraph" w:customStyle="1" w:styleId="Texto">
    <w:name w:val="Texto"/>
    <w:basedOn w:val="Normal"/>
    <w:rsid w:val="0040535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0609C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609C9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0609C9"/>
    <w:rPr>
      <w:vertAlign w:val="superscript"/>
    </w:rPr>
  </w:style>
  <w:style w:type="character" w:styleId="Hyperlink">
    <w:name w:val="Hyperlink"/>
    <w:unhideWhenUsed/>
    <w:rsid w:val="000609C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conteudo/diario-eletronico-11582015-de-10072015/272723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B7016-BECF-4919-A2C7-94DF0819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Antonio dos Santos</dc:creator>
  <cp:keywords/>
  <cp:lastModifiedBy>Yarusya Fonseca</cp:lastModifiedBy>
  <cp:revision>3</cp:revision>
  <dcterms:created xsi:type="dcterms:W3CDTF">2019-05-21T11:53:00Z</dcterms:created>
  <dcterms:modified xsi:type="dcterms:W3CDTF">2019-05-21T11:57:00Z</dcterms:modified>
</cp:coreProperties>
</file>