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01C" w:rsidRDefault="0005001C" w:rsidP="00867E48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</w:pPr>
    </w:p>
    <w:p w:rsidR="00867E48" w:rsidRDefault="00867E48" w:rsidP="00867E48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</w:pPr>
      <w:r w:rsidRPr="00867E48"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  <w:t>INSTRUÇÃO DE SERVIÇO Nº 80/2014</w:t>
      </w:r>
      <w:r w:rsidR="00A96DEC" w:rsidRPr="00A96DEC">
        <w:rPr>
          <w:rStyle w:val="Refdenotaderodap"/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  <w:footnoteReference w:customMarkFollows="1" w:id="2"/>
        <w:sym w:font="Symbol" w:char="F02A"/>
      </w:r>
    </w:p>
    <w:p w:rsidR="006B5306" w:rsidRDefault="006B5306" w:rsidP="00867E48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</w:pPr>
    </w:p>
    <w:p w:rsidR="006B5306" w:rsidRPr="006B5306" w:rsidRDefault="006B5306" w:rsidP="006B5306">
      <w:pPr>
        <w:pStyle w:val="NormalWeb"/>
        <w:spacing w:before="0" w:beforeAutospacing="0" w:after="0" w:line="240" w:lineRule="auto"/>
        <w:jc w:val="center"/>
        <w:textAlignment w:val="top"/>
        <w:rPr>
          <w:rFonts w:ascii="Arial" w:hAnsi="Arial" w:cs="Arial"/>
        </w:rPr>
      </w:pPr>
      <w:r w:rsidRPr="006B5306">
        <w:rPr>
          <w:rStyle w:val="Forte"/>
          <w:rFonts w:ascii="Arial" w:hAnsi="Arial" w:cs="Arial"/>
          <w:color w:val="FF0000"/>
        </w:rPr>
        <w:t>Revogada</w:t>
      </w:r>
      <w:r w:rsidRPr="006B5306">
        <w:rPr>
          <w:rFonts w:ascii="Arial" w:hAnsi="Arial" w:cs="Arial"/>
        </w:rPr>
        <w:t xml:space="preserve"> por: </w:t>
      </w:r>
      <w:hyperlink r:id="rId11" w:history="1">
        <w:r w:rsidRPr="006B5306">
          <w:rPr>
            <w:rStyle w:val="Hyperlink"/>
            <w:rFonts w:ascii="Arial" w:hAnsi="Arial" w:cs="Arial"/>
          </w:rPr>
          <w:t>Instrução de Serviço n. 98, de 19 de março de 2015</w:t>
        </w:r>
      </w:hyperlink>
      <w:r w:rsidRPr="006B5306">
        <w:rPr>
          <w:rFonts w:ascii="Arial" w:hAnsi="Arial" w:cs="Arial"/>
        </w:rPr>
        <w:t>.</w:t>
      </w:r>
    </w:p>
    <w:p w:rsidR="006B5306" w:rsidRPr="00867E48" w:rsidRDefault="006B5306" w:rsidP="00867E48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rPr>
          <w:rFonts w:ascii="Arial,Italic" w:eastAsia="Calibri" w:hAnsi="Arial,Italic" w:cs="Arial,Italic"/>
          <w:i/>
          <w:iCs/>
          <w:color w:val="000000"/>
          <w:lang w:eastAsia="en-US"/>
        </w:rPr>
      </w:pPr>
    </w:p>
    <w:p w:rsidR="00867E48" w:rsidRPr="00A96DEC" w:rsidRDefault="00867E48" w:rsidP="00A96DEC">
      <w:pPr>
        <w:autoSpaceDE w:val="0"/>
        <w:autoSpaceDN w:val="0"/>
        <w:adjustRightInd w:val="0"/>
        <w:ind w:left="4536"/>
        <w:jc w:val="both"/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</w:pPr>
      <w:r w:rsidRPr="00A96DEC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Dispõe sobre a delegação de despachos de mero expediente de que trata o art. 32, § 1º, do Regimento Interno deste Tribunal.</w:t>
      </w:r>
      <w:r w:rsidRPr="00A96DEC">
        <w:rPr>
          <w:rFonts w:ascii="Arial" w:eastAsia="Calibri" w:hAnsi="Arial" w:cs="Arial"/>
          <w:i/>
          <w:iCs/>
          <w:color w:val="000000"/>
          <w:sz w:val="22"/>
          <w:szCs w:val="22"/>
          <w:vertAlign w:val="superscript"/>
          <w:lang w:eastAsia="en-US"/>
        </w:rPr>
        <w:footnoteReference w:id="3"/>
      </w:r>
    </w:p>
    <w:p w:rsidR="00867E48" w:rsidRPr="00867E48" w:rsidRDefault="00867E48" w:rsidP="00867E48">
      <w:pPr>
        <w:autoSpaceDE w:val="0"/>
        <w:autoSpaceDN w:val="0"/>
        <w:adjustRightInd w:val="0"/>
        <w:ind w:left="5245"/>
        <w:jc w:val="both"/>
        <w:rPr>
          <w:rFonts w:ascii="Times New Roman,Italic" w:eastAsia="Calibri" w:hAnsi="Times New Roman,Italic" w:cs="Times New Roman,Italic"/>
          <w:i/>
          <w:iCs/>
          <w:color w:val="000000"/>
          <w:sz w:val="20"/>
          <w:szCs w:val="20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rPr>
          <w:rFonts w:ascii="Times New Roman,Italic" w:eastAsia="Calibri" w:hAnsi="Times New Roman,Italic" w:cs="Times New Roman,Italic"/>
          <w:i/>
          <w:iCs/>
          <w:color w:val="000000"/>
          <w:sz w:val="16"/>
          <w:szCs w:val="16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rPr>
          <w:rFonts w:ascii="Times New Roman,Italic" w:eastAsia="Calibri" w:hAnsi="Times New Roman,Italic" w:cs="Times New Roman,Italic"/>
          <w:i/>
          <w:iCs/>
          <w:color w:val="000000"/>
          <w:sz w:val="16"/>
          <w:szCs w:val="16"/>
          <w:lang w:eastAsia="en-US"/>
        </w:rPr>
      </w:pP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O AUDITOR </w:t>
      </w:r>
      <w:r w:rsidRPr="006B5306">
        <w:rPr>
          <w:rFonts w:ascii="Arial" w:eastAsia="Calibri" w:hAnsi="Arial" w:cs="Arial"/>
          <w:b/>
          <w:bCs/>
          <w:strike/>
          <w:color w:val="000000"/>
          <w:lang w:eastAsia="en-US"/>
        </w:rPr>
        <w:t>THIAGO BARBOSA CORDEIRO</w:t>
      </w:r>
      <w:r w:rsidRPr="006B5306">
        <w:rPr>
          <w:rFonts w:ascii="Arial" w:eastAsia="Calibri" w:hAnsi="Arial" w:cs="Arial"/>
          <w:strike/>
          <w:color w:val="000000"/>
          <w:lang w:eastAsia="en-US"/>
        </w:rPr>
        <w:t>, no uso das atribuições que lhe são conferidas pelo artigo 32, § 1º, e pelo artigo 197 do Regimento Interno deste Tribunal de Contas, considerando o previsto no artigo 93, inciso XIV, c/c o artigo 73, § 4º da Constituição Federal,</w:t>
      </w:r>
    </w:p>
    <w:p w:rsidR="00867E48" w:rsidRPr="006B5306" w:rsidRDefault="00867E48" w:rsidP="00867E48">
      <w:pPr>
        <w:autoSpaceDE w:val="0"/>
        <w:autoSpaceDN w:val="0"/>
        <w:adjustRightInd w:val="0"/>
        <w:spacing w:before="360" w:after="240" w:line="360" w:lineRule="auto"/>
        <w:ind w:firstLine="1134"/>
        <w:rPr>
          <w:rFonts w:ascii="Arial,Bold" w:eastAsia="Calibri" w:hAnsi="Arial,Bold" w:cs="Arial,Bold"/>
          <w:b/>
          <w:bCs/>
          <w:strike/>
          <w:color w:val="000000"/>
          <w:lang w:eastAsia="en-US"/>
        </w:rPr>
      </w:pPr>
      <w:r w:rsidRPr="006B5306">
        <w:rPr>
          <w:rFonts w:ascii="Arial,Bold" w:eastAsia="Calibri" w:hAnsi="Arial,Bold" w:cs="Arial,Bold"/>
          <w:b/>
          <w:bCs/>
          <w:strike/>
          <w:color w:val="000000"/>
          <w:lang w:eastAsia="en-US"/>
        </w:rPr>
        <w:t>RESOLVE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b/>
          <w:bCs/>
          <w:strike/>
          <w:color w:val="000000"/>
          <w:lang w:eastAsia="en-US"/>
        </w:rPr>
        <w:t xml:space="preserve">Art. 1º </w:t>
      </w:r>
      <w:r w:rsidRPr="006B5306">
        <w:rPr>
          <w:rFonts w:ascii="Arial" w:eastAsia="Calibri" w:hAnsi="Arial" w:cs="Arial"/>
          <w:strike/>
          <w:color w:val="000000"/>
          <w:lang w:eastAsia="en-US"/>
        </w:rPr>
        <w:t>Ficam delegados às servidoras deste Gabinete ALCIONE APARECIDA SAVARIANI BERTOL, matrícula nº 51.845-0, MARCIA GALEAZZI CAXAMBU, matrícula nº 51.321-0, e MARÍLIA ZAMONER, matrícula nº 51.459-4, os despachos de mero expediente, em processos de minha relatoria, nas seguintes hipóteses: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I – </w:t>
      </w:r>
      <w:proofErr w:type="gramStart"/>
      <w:r w:rsidRPr="006B5306">
        <w:rPr>
          <w:rFonts w:ascii="Arial" w:eastAsia="Calibri" w:hAnsi="Arial" w:cs="Arial"/>
          <w:strike/>
          <w:color w:val="000000"/>
          <w:lang w:eastAsia="en-US"/>
        </w:rPr>
        <w:t>autorização e determinação</w:t>
      </w:r>
      <w:proofErr w:type="gramEnd"/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 de citações e intimações, nas modalidades previstas no Capítulo XIV do Regimento Interno deste Tribunal, compreendendo as medidas complementares necessárias para tanto, salientando-se que os ofícios e editais dirigidos aos chefes de Poder Estadual, Secretários de Estado e Procurador Geral de Justiça deverão ser assinados pelo relator, conforme previsto no § 2º do artigo 32 do referido normativo;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II – </w:t>
      </w:r>
      <w:proofErr w:type="gramStart"/>
      <w:r w:rsidRPr="006B5306">
        <w:rPr>
          <w:rFonts w:ascii="Arial" w:eastAsia="Calibri" w:hAnsi="Arial" w:cs="Arial"/>
          <w:strike/>
          <w:color w:val="000000"/>
          <w:lang w:eastAsia="en-US"/>
        </w:rPr>
        <w:t>autorização e determinação</w:t>
      </w:r>
      <w:proofErr w:type="gramEnd"/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 de diligências internas e externas, bem como o encaminhamento de processos para a manifestação do Ministério Público de Contas prevista no artigo 149 da Lei Complementar n.º 113/2005;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III – autorização e determinação de providências atinentes à autuação de processos, quanto à correção de nomes de partes, interessados e procuradores, e à </w:t>
      </w:r>
      <w:r w:rsidRPr="006B5306">
        <w:rPr>
          <w:rFonts w:ascii="Arial" w:eastAsia="Calibri" w:hAnsi="Arial" w:cs="Arial"/>
          <w:strike/>
          <w:color w:val="000000"/>
          <w:lang w:eastAsia="en-US"/>
        </w:rPr>
        <w:lastRenderedPageBreak/>
        <w:t>inclusão e exclusão de nomes de procuradores, bem como à inclusão de partes e interessados que seja obrigatória em decorrência de normativos deste Tribunal;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IV – </w:t>
      </w:r>
      <w:proofErr w:type="gramStart"/>
      <w:r w:rsidRPr="006B5306">
        <w:rPr>
          <w:rFonts w:ascii="Arial" w:eastAsia="Calibri" w:hAnsi="Arial" w:cs="Arial"/>
          <w:strike/>
          <w:color w:val="000000"/>
          <w:lang w:eastAsia="en-US"/>
        </w:rPr>
        <w:t>deferimento</w:t>
      </w:r>
      <w:proofErr w:type="gramEnd"/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 de requerimentos de prorrogação de prazo para exercício do contraditório e da ampla defesa e para cumprimento de diligências, nos termos do que prevê o parágrafo único do artigo 389 do Regimento Interno, além de concessão de novos prazos para os mesmos fins;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V – </w:t>
      </w:r>
      <w:proofErr w:type="gramStart"/>
      <w:r w:rsidRPr="006B5306">
        <w:rPr>
          <w:rFonts w:ascii="Arial" w:eastAsia="Calibri" w:hAnsi="Arial" w:cs="Arial"/>
          <w:strike/>
          <w:color w:val="000000"/>
          <w:lang w:eastAsia="en-US"/>
        </w:rPr>
        <w:t>conhecimento</w:t>
      </w:r>
      <w:proofErr w:type="gramEnd"/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 de alegações de defesa, documentos e justificativas;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VI – </w:t>
      </w:r>
      <w:proofErr w:type="gramStart"/>
      <w:r w:rsidRPr="006B5306">
        <w:rPr>
          <w:rFonts w:ascii="Arial" w:eastAsia="Calibri" w:hAnsi="Arial" w:cs="Arial"/>
          <w:strike/>
          <w:color w:val="000000"/>
          <w:lang w:eastAsia="en-US"/>
        </w:rPr>
        <w:t>deferimento</w:t>
      </w:r>
      <w:proofErr w:type="gramEnd"/>
      <w:r w:rsidRPr="006B5306">
        <w:rPr>
          <w:rFonts w:ascii="Arial" w:eastAsia="Calibri" w:hAnsi="Arial" w:cs="Arial"/>
          <w:strike/>
          <w:color w:val="000000"/>
          <w:lang w:eastAsia="en-US"/>
        </w:rPr>
        <w:t xml:space="preserve"> de pedidos de vistas e de cópias, nos termos regimentais;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>VII – deferimento de pedidos de desentranhamento de peças formulados pelas unidades e pelo Ministério Público de Contas concernentes a atos emitidos pelos mesmos;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>VIII – autorização e determinação de encerramento e arquivamento de processos apreciados por meio de Decisão Definitiva Monocrática e por Acórdãos com trânsito em julgado.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b/>
          <w:bCs/>
          <w:strike/>
          <w:color w:val="000000"/>
          <w:lang w:eastAsia="en-US"/>
        </w:rPr>
        <w:t xml:space="preserve">Art. 2º </w:t>
      </w:r>
      <w:r w:rsidRPr="006B5306">
        <w:rPr>
          <w:rFonts w:ascii="Arial" w:eastAsia="Calibri" w:hAnsi="Arial" w:cs="Arial"/>
          <w:strike/>
          <w:color w:val="000000"/>
          <w:lang w:eastAsia="en-US"/>
        </w:rPr>
        <w:t>Fica revogada a Instrução de Serviço n.º 61/2013 deste Gabinete.</w:t>
      </w:r>
    </w:p>
    <w:p w:rsidR="00867E48" w:rsidRPr="006B5306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b/>
          <w:bCs/>
          <w:strike/>
          <w:color w:val="000000"/>
          <w:lang w:eastAsia="en-US"/>
        </w:rPr>
        <w:t xml:space="preserve">Art. 3º </w:t>
      </w:r>
      <w:r w:rsidRPr="006B5306">
        <w:rPr>
          <w:rFonts w:ascii="Arial" w:eastAsia="Calibri" w:hAnsi="Arial" w:cs="Arial"/>
          <w:strike/>
          <w:color w:val="000000"/>
          <w:lang w:eastAsia="en-US"/>
        </w:rPr>
        <w:t>Esta Instrução de Serviço entra em vigor na data de sua publicação.</w:t>
      </w:r>
    </w:p>
    <w:p w:rsidR="00867E48" w:rsidRPr="006B5306" w:rsidRDefault="00867E48" w:rsidP="00867E48">
      <w:pPr>
        <w:autoSpaceDE w:val="0"/>
        <w:autoSpaceDN w:val="0"/>
        <w:adjustRightInd w:val="0"/>
        <w:jc w:val="both"/>
        <w:rPr>
          <w:rFonts w:ascii="Arial" w:eastAsia="Calibri" w:hAnsi="Arial" w:cs="Arial"/>
          <w:strike/>
          <w:color w:val="000000"/>
          <w:lang w:eastAsia="en-US"/>
        </w:rPr>
      </w:pPr>
    </w:p>
    <w:p w:rsidR="00867E48" w:rsidRPr="006B5306" w:rsidRDefault="00867E48" w:rsidP="00867E48">
      <w:pPr>
        <w:autoSpaceDE w:val="0"/>
        <w:autoSpaceDN w:val="0"/>
        <w:adjustRightInd w:val="0"/>
        <w:jc w:val="both"/>
        <w:rPr>
          <w:rFonts w:ascii="Arial" w:eastAsia="Calibri" w:hAnsi="Arial" w:cs="Arial"/>
          <w:strike/>
          <w:color w:val="000000"/>
          <w:lang w:eastAsia="en-US"/>
        </w:rPr>
      </w:pPr>
    </w:p>
    <w:p w:rsidR="00867E48" w:rsidRPr="006B5306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>Curitiba, 5 de setembro de 2014.</w:t>
      </w:r>
    </w:p>
    <w:p w:rsidR="00867E48" w:rsidRPr="006B5306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strike/>
          <w:color w:val="000000"/>
          <w:lang w:eastAsia="en-US"/>
        </w:rPr>
      </w:pPr>
    </w:p>
    <w:p w:rsidR="00867E48" w:rsidRPr="006B5306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strike/>
          <w:color w:val="000000"/>
          <w:lang w:eastAsia="en-US"/>
        </w:rPr>
      </w:pPr>
    </w:p>
    <w:p w:rsidR="00867E48" w:rsidRPr="006B5306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trike/>
          <w:color w:val="000000"/>
          <w:lang w:eastAsia="en-US"/>
        </w:rPr>
      </w:pPr>
      <w:r w:rsidRPr="006B5306">
        <w:rPr>
          <w:rFonts w:ascii="Arial" w:eastAsia="Calibri" w:hAnsi="Arial" w:cs="Arial"/>
          <w:b/>
          <w:bCs/>
          <w:strike/>
          <w:color w:val="000000"/>
          <w:lang w:eastAsia="en-US"/>
        </w:rPr>
        <w:t>THIAGO BARBOSA CORDEIRO</w:t>
      </w:r>
    </w:p>
    <w:p w:rsidR="000A0386" w:rsidRPr="006B5306" w:rsidRDefault="00867E48" w:rsidP="0005001C">
      <w:pPr>
        <w:autoSpaceDE w:val="0"/>
        <w:autoSpaceDN w:val="0"/>
        <w:adjustRightInd w:val="0"/>
        <w:jc w:val="center"/>
        <w:rPr>
          <w:rFonts w:ascii="Arial" w:hAnsi="Arial" w:cs="Arial"/>
          <w:strike/>
        </w:rPr>
      </w:pPr>
      <w:r w:rsidRPr="006B5306">
        <w:rPr>
          <w:rFonts w:ascii="Arial" w:eastAsia="Calibri" w:hAnsi="Arial" w:cs="Arial"/>
          <w:strike/>
          <w:color w:val="000000"/>
          <w:lang w:eastAsia="en-US"/>
        </w:rPr>
        <w:t>Audito</w:t>
      </w:r>
      <w:r w:rsidR="0005001C" w:rsidRPr="006B5306">
        <w:rPr>
          <w:rFonts w:ascii="Arial" w:eastAsia="Calibri" w:hAnsi="Arial" w:cs="Arial"/>
          <w:strike/>
          <w:color w:val="000000"/>
          <w:lang w:eastAsia="en-US"/>
        </w:rPr>
        <w:t>r</w:t>
      </w:r>
    </w:p>
    <w:sectPr w:rsidR="000A0386" w:rsidRPr="006B5306" w:rsidSect="00142ADD">
      <w:headerReference w:type="default" r:id="rId12"/>
      <w:footerReference w:type="even" r:id="rId13"/>
      <w:footerReference w:type="default" r:id="rId14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60A" w:rsidRDefault="0019660A">
      <w:r>
        <w:separator/>
      </w:r>
    </w:p>
  </w:endnote>
  <w:endnote w:type="continuationSeparator" w:id="0">
    <w:p w:rsidR="0019660A" w:rsidRDefault="0019660A">
      <w:r>
        <w:continuationSeparator/>
      </w:r>
    </w:p>
  </w:endnote>
  <w:endnote w:type="continuationNotice" w:id="1">
    <w:p w:rsidR="0019660A" w:rsidRDefault="001966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60A" w:rsidRDefault="0019660A">
      <w:r>
        <w:separator/>
      </w:r>
    </w:p>
  </w:footnote>
  <w:footnote w:type="continuationSeparator" w:id="0">
    <w:p w:rsidR="0019660A" w:rsidRDefault="0019660A">
      <w:r>
        <w:continuationSeparator/>
      </w:r>
    </w:p>
  </w:footnote>
  <w:footnote w:type="continuationNotice" w:id="1">
    <w:p w:rsidR="0019660A" w:rsidRDefault="0019660A"/>
  </w:footnote>
  <w:footnote w:id="2">
    <w:p w:rsidR="00A96DEC" w:rsidRPr="001F7238" w:rsidRDefault="00A96DEC" w:rsidP="00A96DEC">
      <w:pPr>
        <w:pStyle w:val="Textodenotaderodap"/>
        <w:rPr>
          <w:rFonts w:ascii="Arial" w:hAnsi="Arial" w:cs="Arial"/>
        </w:rPr>
      </w:pPr>
      <w:r w:rsidRPr="00A96DEC">
        <w:rPr>
          <w:rStyle w:val="Refdenotaderodap"/>
        </w:rPr>
        <w:sym w:font="Symbol" w:char="F02A"/>
      </w:r>
      <w:bookmarkStart w:id="0" w:name="_GoBack"/>
      <w:bookmarkEnd w:id="0"/>
      <w:r>
        <w:t xml:space="preserve"> </w:t>
      </w:r>
      <w:bookmarkStart w:id="1" w:name="_Hlk870416"/>
      <w:bookmarkStart w:id="2" w:name="_Hlk870966"/>
      <w:r w:rsidRPr="001F7238">
        <w:rPr>
          <w:rFonts w:ascii="Arial" w:hAnsi="Arial" w:cs="Arial"/>
          <w:b/>
        </w:rPr>
        <w:t>Notas da Biblioteca:</w:t>
      </w:r>
    </w:p>
    <w:p w:rsidR="00A96DEC" w:rsidRPr="00A96DEC" w:rsidRDefault="00A96DEC" w:rsidP="00A96DEC">
      <w:pPr>
        <w:pStyle w:val="NormalWeb"/>
        <w:numPr>
          <w:ilvl w:val="0"/>
          <w:numId w:val="4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  <w:sz w:val="20"/>
          <w:szCs w:val="20"/>
        </w:rPr>
      </w:pPr>
      <w:bookmarkStart w:id="3" w:name="_Hlk870405"/>
      <w:bookmarkEnd w:id="1"/>
      <w:r w:rsidRPr="00A96DEC">
        <w:rPr>
          <w:rFonts w:ascii="Arial" w:hAnsi="Arial" w:cs="Arial"/>
          <w:sz w:val="20"/>
          <w:szCs w:val="20"/>
        </w:rPr>
        <w:t>Este texto não substitui o publicado no periódico:</w:t>
      </w:r>
      <w:bookmarkEnd w:id="2"/>
      <w:bookmarkEnd w:id="3"/>
      <w:r w:rsidRPr="00A96DEC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A96DEC">
          <w:rPr>
            <w:rStyle w:val="Hyperlink"/>
            <w:rFonts w:ascii="Arial" w:hAnsi="Arial" w:cs="Arial"/>
            <w:sz w:val="20"/>
            <w:szCs w:val="20"/>
          </w:rPr>
          <w:t>Diário Eletrônico do Tribunal de Contas do Estado do Paraná, Curitiba, PR, n. 961, 10 set. 2014, p. 66</w:t>
        </w:r>
      </w:hyperlink>
      <w:r w:rsidRPr="00A96DEC">
        <w:rPr>
          <w:rFonts w:ascii="Arial" w:hAnsi="Arial" w:cs="Arial"/>
          <w:sz w:val="20"/>
          <w:szCs w:val="20"/>
        </w:rPr>
        <w:t>.</w:t>
      </w:r>
    </w:p>
    <w:p w:rsidR="00A96DEC" w:rsidRPr="00A96DEC" w:rsidRDefault="00A96DEC" w:rsidP="00A96DEC">
      <w:pPr>
        <w:pStyle w:val="NormalWeb"/>
        <w:numPr>
          <w:ilvl w:val="0"/>
          <w:numId w:val="4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A96DEC">
        <w:rPr>
          <w:rStyle w:val="Forte"/>
          <w:rFonts w:ascii="Arial" w:hAnsi="Arial" w:cs="Arial"/>
          <w:sz w:val="20"/>
          <w:szCs w:val="20"/>
        </w:rPr>
        <w:t>Revoga:</w:t>
      </w:r>
      <w:r w:rsidRPr="00A96DEC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Pr="00A96DEC">
          <w:rPr>
            <w:rStyle w:val="Hyperlink"/>
            <w:rFonts w:ascii="Arial" w:hAnsi="Arial" w:cs="Arial"/>
            <w:sz w:val="20"/>
            <w:szCs w:val="20"/>
          </w:rPr>
          <w:t>Instrução de Serviço n. 61, de 10 de dezembro de 2013</w:t>
        </w:r>
      </w:hyperlink>
      <w:r w:rsidRPr="00A96DEC">
        <w:rPr>
          <w:rFonts w:ascii="Arial" w:hAnsi="Arial" w:cs="Arial"/>
          <w:sz w:val="20"/>
          <w:szCs w:val="20"/>
        </w:rPr>
        <w:t>.</w:t>
      </w:r>
    </w:p>
    <w:p w:rsidR="00A96DEC" w:rsidRDefault="00A96DEC">
      <w:pPr>
        <w:pStyle w:val="Textodenotaderodap"/>
      </w:pPr>
    </w:p>
  </w:footnote>
  <w:footnote w:id="3">
    <w:p w:rsidR="00867E48" w:rsidRPr="00342259" w:rsidRDefault="00867E48" w:rsidP="00867E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42259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342259">
        <w:rPr>
          <w:rFonts w:ascii="Arial" w:hAnsi="Arial" w:cs="Arial"/>
          <w:sz w:val="20"/>
          <w:szCs w:val="20"/>
        </w:rPr>
        <w:t>Art. 32. Como Relator, compete ao Conselheiro:</w:t>
      </w:r>
    </w:p>
    <w:p w:rsidR="00867E48" w:rsidRPr="00342259" w:rsidRDefault="00867E48" w:rsidP="00867E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42259">
        <w:rPr>
          <w:rFonts w:ascii="Arial" w:hAnsi="Arial" w:cs="Arial"/>
          <w:sz w:val="20"/>
          <w:szCs w:val="20"/>
        </w:rPr>
        <w:t>(...)</w:t>
      </w:r>
    </w:p>
    <w:p w:rsidR="00867E48" w:rsidRPr="00342259" w:rsidRDefault="00867E48" w:rsidP="00867E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42259">
        <w:rPr>
          <w:rFonts w:ascii="Arial" w:hAnsi="Arial" w:cs="Arial"/>
          <w:sz w:val="20"/>
          <w:szCs w:val="20"/>
        </w:rPr>
        <w:t>§ 1º Os despachos de mero expediente poderão ser delegados, por</w:t>
      </w:r>
      <w:r>
        <w:rPr>
          <w:rFonts w:ascii="Arial" w:hAnsi="Arial" w:cs="Arial"/>
          <w:sz w:val="20"/>
          <w:szCs w:val="20"/>
        </w:rPr>
        <w:t xml:space="preserve"> ato do Relator, ao Gabinete do </w:t>
      </w:r>
      <w:r w:rsidRPr="00342259">
        <w:rPr>
          <w:rFonts w:ascii="Arial" w:hAnsi="Arial" w:cs="Arial"/>
          <w:sz w:val="20"/>
          <w:szCs w:val="20"/>
        </w:rPr>
        <w:t xml:space="preserve">Conselheiro ou do Auditor, por ato próprio, em que serão especificadas as </w:t>
      </w:r>
      <w:r>
        <w:rPr>
          <w:rFonts w:ascii="Arial" w:hAnsi="Arial" w:cs="Arial"/>
          <w:sz w:val="20"/>
          <w:szCs w:val="20"/>
        </w:rPr>
        <w:t xml:space="preserve">hipóteses de delegação e </w:t>
      </w:r>
      <w:r w:rsidRPr="00342259">
        <w:rPr>
          <w:rFonts w:ascii="Arial" w:hAnsi="Arial" w:cs="Arial"/>
          <w:sz w:val="20"/>
          <w:szCs w:val="20"/>
        </w:rPr>
        <w:t>o servidor autorizado a exará-los.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01C" w:rsidRPr="00323B15" w:rsidRDefault="0005001C" w:rsidP="0005001C">
    <w:pPr>
      <w:tabs>
        <w:tab w:val="center" w:pos="4252"/>
        <w:tab w:val="right" w:pos="8504"/>
      </w:tabs>
      <w:spacing w:before="480" w:after="120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rFonts w:ascii="Arial" w:hAnsi="Arial" w:cs="Arial"/>
        <w:sz w:val="28"/>
        <w:szCs w:val="28"/>
      </w:rPr>
      <w:tab/>
    </w:r>
    <w:r w:rsidR="009318F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5" o:spid="_x0000_s2049" type="#_x0000_t75" alt="logo TC colorido - medio" style="position:absolute;left:0;text-align:left;margin-left:-.25pt;margin-top:16.35pt;width:47.7pt;height:56.1pt;z-index:251657728;visibility:visible;mso-position-horizontal-relative:text;mso-position-vertical-relative:text">
          <v:imagedata r:id="rId1" o:title="logo TC colorido - medio"/>
          <w10:wrap type="square"/>
        </v:shape>
      </w:pict>
    </w:r>
    <w:r w:rsidRPr="00323B15">
      <w:rPr>
        <w:rFonts w:ascii="Arial" w:eastAsia="Calibri" w:hAnsi="Arial" w:cs="Arial"/>
        <w:b/>
        <w:sz w:val="30"/>
        <w:szCs w:val="30"/>
        <w:lang w:eastAsia="x-none"/>
      </w:rPr>
      <w:t xml:space="preserve">   </w:t>
    </w:r>
    <w:r w:rsidRPr="00867E48">
      <w:rPr>
        <w:rFonts w:ascii="Arial" w:eastAsia="Calibri" w:hAnsi="Arial" w:cs="Arial"/>
        <w:b/>
        <w:sz w:val="30"/>
        <w:szCs w:val="30"/>
        <w:lang w:eastAsia="x-none"/>
      </w:rPr>
      <w:t xml:space="preserve">     </w:t>
    </w:r>
    <w:r w:rsidRPr="00323B1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0A1B86" w:rsidRPr="0005001C" w:rsidRDefault="0005001C" w:rsidP="0005001C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  <w:rPr>
        <w:rFonts w:ascii="Arial" w:eastAsia="Calibri" w:hAnsi="Arial"/>
        <w:b/>
        <w:sz w:val="28"/>
        <w:szCs w:val="28"/>
        <w:lang w:eastAsia="en-US"/>
      </w:rPr>
    </w:pPr>
    <w:r w:rsidRPr="00867E48">
      <w:rPr>
        <w:rFonts w:ascii="Arial" w:eastAsia="Calibri" w:hAnsi="Arial"/>
        <w:sz w:val="28"/>
        <w:szCs w:val="28"/>
        <w:lang w:eastAsia="en-US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2CE7"/>
    <w:multiLevelType w:val="hybridMultilevel"/>
    <w:tmpl w:val="97066E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731BC"/>
    <w:multiLevelType w:val="hybridMultilevel"/>
    <w:tmpl w:val="645E07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001C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9660A"/>
    <w:rsid w:val="001B0DD2"/>
    <w:rsid w:val="001D07D2"/>
    <w:rsid w:val="001D0B09"/>
    <w:rsid w:val="001E2907"/>
    <w:rsid w:val="001F297B"/>
    <w:rsid w:val="00252933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423C8F"/>
    <w:rsid w:val="004416A7"/>
    <w:rsid w:val="004505CE"/>
    <w:rsid w:val="004604F8"/>
    <w:rsid w:val="00460C5E"/>
    <w:rsid w:val="004B5683"/>
    <w:rsid w:val="004C7958"/>
    <w:rsid w:val="00506D3A"/>
    <w:rsid w:val="005955A5"/>
    <w:rsid w:val="005D42B6"/>
    <w:rsid w:val="005E595E"/>
    <w:rsid w:val="0062095E"/>
    <w:rsid w:val="006509DA"/>
    <w:rsid w:val="0066249C"/>
    <w:rsid w:val="006817D5"/>
    <w:rsid w:val="006826EE"/>
    <w:rsid w:val="006A4ED3"/>
    <w:rsid w:val="006B3F7F"/>
    <w:rsid w:val="006B5306"/>
    <w:rsid w:val="00701946"/>
    <w:rsid w:val="007362B6"/>
    <w:rsid w:val="00754614"/>
    <w:rsid w:val="00773F6B"/>
    <w:rsid w:val="00787410"/>
    <w:rsid w:val="00790839"/>
    <w:rsid w:val="007B541D"/>
    <w:rsid w:val="007B6480"/>
    <w:rsid w:val="007F68E0"/>
    <w:rsid w:val="007F75CF"/>
    <w:rsid w:val="00867E48"/>
    <w:rsid w:val="00871987"/>
    <w:rsid w:val="008719F5"/>
    <w:rsid w:val="00881F22"/>
    <w:rsid w:val="008A01F0"/>
    <w:rsid w:val="008C4F25"/>
    <w:rsid w:val="008D5003"/>
    <w:rsid w:val="00906E4D"/>
    <w:rsid w:val="009153FD"/>
    <w:rsid w:val="00916D5F"/>
    <w:rsid w:val="009318F1"/>
    <w:rsid w:val="00940DA6"/>
    <w:rsid w:val="00941544"/>
    <w:rsid w:val="00947334"/>
    <w:rsid w:val="009A1923"/>
    <w:rsid w:val="009B718E"/>
    <w:rsid w:val="009E44B6"/>
    <w:rsid w:val="00A70B85"/>
    <w:rsid w:val="00A87661"/>
    <w:rsid w:val="00A953B5"/>
    <w:rsid w:val="00A96DEC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84F53"/>
    <w:rsid w:val="00C87498"/>
    <w:rsid w:val="00CD0DAD"/>
    <w:rsid w:val="00CE0A9A"/>
    <w:rsid w:val="00D361B6"/>
    <w:rsid w:val="00D50162"/>
    <w:rsid w:val="00D51F81"/>
    <w:rsid w:val="00D64123"/>
    <w:rsid w:val="00D73867"/>
    <w:rsid w:val="00D80342"/>
    <w:rsid w:val="00D85356"/>
    <w:rsid w:val="00D86ADD"/>
    <w:rsid w:val="00DA5E5A"/>
    <w:rsid w:val="00DE449D"/>
    <w:rsid w:val="00DF1050"/>
    <w:rsid w:val="00E0734C"/>
    <w:rsid w:val="00E43C43"/>
    <w:rsid w:val="00EB38B6"/>
    <w:rsid w:val="00EC2AA7"/>
    <w:rsid w:val="00EC4961"/>
    <w:rsid w:val="00EF5FF1"/>
    <w:rsid w:val="00F40F61"/>
    <w:rsid w:val="00F50259"/>
    <w:rsid w:val="00F73D2F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3EC247-CB2C-4BA6-9EF2-FCDFA4EC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styleId="Refdenotaderodap">
    <w:name w:val="footnote reference"/>
    <w:unhideWhenUsed/>
    <w:rsid w:val="00867E48"/>
    <w:rPr>
      <w:vertAlign w:val="superscript"/>
    </w:rPr>
  </w:style>
  <w:style w:type="paragraph" w:styleId="Textodenotaderodap">
    <w:name w:val="footnote text"/>
    <w:basedOn w:val="Normal"/>
    <w:link w:val="TextodenotaderodapChar"/>
    <w:rsid w:val="00A96DE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96DEC"/>
  </w:style>
  <w:style w:type="character" w:styleId="Hyperlink">
    <w:name w:val="Hyperlink"/>
    <w:uiPriority w:val="99"/>
    <w:unhideWhenUsed/>
    <w:rsid w:val="00A96DEC"/>
    <w:rPr>
      <w:color w:val="004C78"/>
      <w:u w:val="single"/>
    </w:rPr>
  </w:style>
  <w:style w:type="character" w:styleId="Forte">
    <w:name w:val="Strong"/>
    <w:uiPriority w:val="22"/>
    <w:qFormat/>
    <w:rsid w:val="00A96DEC"/>
    <w:rPr>
      <w:b/>
      <w:bCs/>
    </w:rPr>
  </w:style>
  <w:style w:type="paragraph" w:styleId="NormalWeb">
    <w:name w:val="Normal (Web)"/>
    <w:basedOn w:val="Normal"/>
    <w:uiPriority w:val="99"/>
    <w:unhideWhenUsed/>
    <w:rsid w:val="00A96DEC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1.tce.pr.gov.br/conteudo/instrucao-de-servico-n-98-de-19-de-marco-de-2015/269149/area/10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61-de-10-de-dezembro-de-2013/249365/area/10" TargetMode="External"/><Relationship Id="rId1" Type="http://schemas.openxmlformats.org/officeDocument/2006/relationships/hyperlink" Target="http://www1.tce.pr.gov.br/multimidia/2014/9/pdf/0026604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1B104-CF88-4394-9E61-3336673275B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27971F-87C3-47D0-9459-9C0C1D383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4</cp:revision>
  <dcterms:created xsi:type="dcterms:W3CDTF">2019-02-13T13:11:00Z</dcterms:created>
  <dcterms:modified xsi:type="dcterms:W3CDTF">2019-02-13T13:44:00Z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