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57B" w:rsidRDefault="002D557B" w:rsidP="002D557B">
      <w:pPr>
        <w:spacing w:after="120"/>
        <w:rPr>
          <w:sz w:val="24"/>
        </w:rPr>
      </w:pPr>
    </w:p>
    <w:p w:rsidR="002D557B" w:rsidRPr="003C2700" w:rsidRDefault="002D557B" w:rsidP="003C2700">
      <w:pPr>
        <w:spacing w:before="240" w:after="120"/>
        <w:jc w:val="center"/>
        <w:rPr>
          <w:b/>
          <w:bCs/>
          <w:sz w:val="28"/>
          <w:szCs w:val="28"/>
        </w:rPr>
      </w:pPr>
      <w:r w:rsidRPr="003C2700">
        <w:rPr>
          <w:b/>
          <w:bCs/>
          <w:sz w:val="28"/>
          <w:szCs w:val="28"/>
        </w:rPr>
        <w:t>INSTRUÇÃO DE SERVIÇO Nº</w:t>
      </w:r>
      <w:r w:rsidR="009B3DE2" w:rsidRPr="003C2700">
        <w:rPr>
          <w:b/>
          <w:bCs/>
          <w:sz w:val="28"/>
          <w:szCs w:val="28"/>
        </w:rPr>
        <w:t xml:space="preserve"> 56</w:t>
      </w:r>
      <w:r w:rsidRPr="003C2700">
        <w:rPr>
          <w:b/>
          <w:sz w:val="28"/>
          <w:szCs w:val="28"/>
        </w:rPr>
        <w:t>/</w:t>
      </w:r>
      <w:r w:rsidR="00D7270E">
        <w:rPr>
          <w:b/>
          <w:sz w:val="28"/>
          <w:szCs w:val="28"/>
        </w:rPr>
        <w:t>20</w:t>
      </w:r>
      <w:r w:rsidRPr="003C2700">
        <w:rPr>
          <w:b/>
          <w:sz w:val="28"/>
          <w:szCs w:val="28"/>
        </w:rPr>
        <w:t>13</w:t>
      </w:r>
      <w:r w:rsidR="00D7270E" w:rsidRPr="00D7270E">
        <w:rPr>
          <w:rStyle w:val="Refdenotaderodap"/>
          <w:b/>
          <w:sz w:val="28"/>
          <w:szCs w:val="28"/>
        </w:rPr>
        <w:footnoteReference w:customMarkFollows="1" w:id="1"/>
        <w:sym w:font="Symbol" w:char="F02A"/>
      </w:r>
    </w:p>
    <w:p w:rsidR="002D557B" w:rsidRPr="0030197B" w:rsidRDefault="003C2700" w:rsidP="003C2700">
      <w:pPr>
        <w:tabs>
          <w:tab w:val="left" w:pos="7690"/>
        </w:tabs>
        <w:spacing w:line="360" w:lineRule="auto"/>
        <w:rPr>
          <w:bCs/>
          <w:szCs w:val="22"/>
        </w:rPr>
      </w:pPr>
      <w:r>
        <w:rPr>
          <w:bCs/>
          <w:szCs w:val="22"/>
        </w:rPr>
        <w:tab/>
      </w:r>
    </w:p>
    <w:p w:rsidR="002D557B" w:rsidRPr="00D50DE1" w:rsidRDefault="002D557B" w:rsidP="00505215">
      <w:pPr>
        <w:spacing w:before="120"/>
        <w:ind w:left="3686"/>
        <w:jc w:val="both"/>
        <w:rPr>
          <w:i/>
          <w:szCs w:val="22"/>
        </w:rPr>
      </w:pPr>
      <w:r w:rsidRPr="00D50DE1">
        <w:rPr>
          <w:i/>
          <w:szCs w:val="22"/>
        </w:rPr>
        <w:t>Dispõe sobre a delegação de despachos</w:t>
      </w:r>
      <w:r w:rsidR="00D50DE1">
        <w:rPr>
          <w:i/>
          <w:szCs w:val="22"/>
        </w:rPr>
        <w:t xml:space="preserve"> </w:t>
      </w:r>
      <w:r w:rsidRPr="00D50DE1">
        <w:rPr>
          <w:i/>
          <w:szCs w:val="22"/>
        </w:rPr>
        <w:t>de mero expediente de que trata o art. 32, §1º, do Regimento Interno deste Tribunal.</w:t>
      </w:r>
      <w:r w:rsidRPr="00D50DE1">
        <w:rPr>
          <w:rStyle w:val="Refdenotaderodap"/>
          <w:i/>
          <w:szCs w:val="22"/>
        </w:rPr>
        <w:footnoteReference w:id="2"/>
      </w:r>
    </w:p>
    <w:p w:rsidR="002D557B" w:rsidRPr="0030197B" w:rsidRDefault="002D557B" w:rsidP="002D557B">
      <w:pPr>
        <w:spacing w:line="360" w:lineRule="auto"/>
        <w:ind w:right="57"/>
        <w:jc w:val="both"/>
        <w:rPr>
          <w:szCs w:val="22"/>
        </w:rPr>
      </w:pPr>
    </w:p>
    <w:p w:rsidR="002D557B" w:rsidRPr="000641BC" w:rsidRDefault="002D557B" w:rsidP="00D50DE1">
      <w:pPr>
        <w:spacing w:before="120" w:after="120"/>
        <w:ind w:right="57"/>
        <w:jc w:val="both"/>
        <w:rPr>
          <w:sz w:val="24"/>
          <w:szCs w:val="24"/>
        </w:rPr>
      </w:pPr>
      <w:r w:rsidRPr="000641BC">
        <w:rPr>
          <w:sz w:val="24"/>
          <w:szCs w:val="24"/>
        </w:rPr>
        <w:t xml:space="preserve">                     O </w:t>
      </w:r>
      <w:r w:rsidR="00D50DE1" w:rsidRPr="000641BC">
        <w:rPr>
          <w:sz w:val="24"/>
          <w:szCs w:val="24"/>
        </w:rPr>
        <w:t>AUDITOR</w:t>
      </w:r>
      <w:r w:rsidRPr="000641BC">
        <w:rPr>
          <w:b/>
          <w:smallCaps/>
          <w:sz w:val="24"/>
          <w:szCs w:val="24"/>
        </w:rPr>
        <w:t xml:space="preserve"> IVENS ZSCHOERPER LINHARES</w:t>
      </w:r>
      <w:r w:rsidRPr="000641BC">
        <w:rPr>
          <w:sz w:val="24"/>
          <w:szCs w:val="24"/>
        </w:rPr>
        <w:t>, no uso das atribuições que lhe são conferidas pelo art. 32, §1º, do Regimento Interno deste Tribunal, determina:</w:t>
      </w:r>
    </w:p>
    <w:p w:rsidR="00D50DE1" w:rsidRPr="000641BC" w:rsidRDefault="00D50DE1" w:rsidP="00D50DE1">
      <w:pPr>
        <w:spacing w:before="120" w:after="120"/>
        <w:ind w:right="57"/>
        <w:jc w:val="both"/>
        <w:rPr>
          <w:sz w:val="24"/>
          <w:szCs w:val="24"/>
        </w:rPr>
      </w:pPr>
    </w:p>
    <w:p w:rsidR="002D557B" w:rsidRDefault="002D557B" w:rsidP="006C490D">
      <w:pPr>
        <w:spacing w:before="120"/>
        <w:ind w:firstLine="1276"/>
        <w:jc w:val="both"/>
        <w:rPr>
          <w:sz w:val="24"/>
          <w:szCs w:val="24"/>
        </w:rPr>
      </w:pPr>
      <w:r w:rsidRPr="000641BC">
        <w:rPr>
          <w:b/>
          <w:sz w:val="24"/>
          <w:szCs w:val="24"/>
        </w:rPr>
        <w:t>Art. 1º</w:t>
      </w:r>
      <w:r w:rsidR="008F2EC7" w:rsidRPr="000641BC">
        <w:rPr>
          <w:sz w:val="24"/>
          <w:szCs w:val="24"/>
        </w:rPr>
        <w:t xml:space="preserve"> </w:t>
      </w:r>
      <w:r w:rsidRPr="000641BC">
        <w:rPr>
          <w:sz w:val="24"/>
          <w:szCs w:val="24"/>
        </w:rPr>
        <w:t xml:space="preserve">Ficam delegados ao Analista de Controle Externo, </w:t>
      </w:r>
      <w:r w:rsidRPr="000641BC">
        <w:rPr>
          <w:b/>
          <w:sz w:val="24"/>
          <w:szCs w:val="24"/>
        </w:rPr>
        <w:t>Dr. Rodrigo Martins de Oliveira Silva Pinto</w:t>
      </w:r>
      <w:r w:rsidRPr="000641BC">
        <w:rPr>
          <w:sz w:val="24"/>
          <w:szCs w:val="24"/>
        </w:rPr>
        <w:t>, matrícula nº 51.761-5, lotado neste Gabinete, os despachos de mero expediente, nas seguintes hipóteses:</w:t>
      </w:r>
    </w:p>
    <w:p w:rsidR="006C490D" w:rsidRPr="000641BC" w:rsidRDefault="006C490D" w:rsidP="006C490D">
      <w:pPr>
        <w:spacing w:before="120"/>
        <w:ind w:firstLine="1276"/>
        <w:jc w:val="both"/>
        <w:rPr>
          <w:sz w:val="24"/>
          <w:szCs w:val="24"/>
        </w:rPr>
      </w:pPr>
    </w:p>
    <w:p w:rsidR="002D557B" w:rsidRPr="000641BC" w:rsidRDefault="000641BC" w:rsidP="00234206">
      <w:pPr>
        <w:spacing w:before="120"/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– </w:t>
      </w:r>
      <w:proofErr w:type="gramStart"/>
      <w:r w:rsidR="002D557B" w:rsidRPr="000641BC">
        <w:rPr>
          <w:sz w:val="24"/>
          <w:szCs w:val="24"/>
        </w:rPr>
        <w:t>autorização e determinação</w:t>
      </w:r>
      <w:proofErr w:type="gramEnd"/>
      <w:r w:rsidR="002D557B" w:rsidRPr="000641BC">
        <w:rPr>
          <w:sz w:val="24"/>
          <w:szCs w:val="24"/>
        </w:rPr>
        <w:t xml:space="preserve"> de citações e intimações, nas modalidades previstas no Capítulo XIV do Regimento Interno deste Tribunal, ressalvada a assinatura dos atos indicados no §2º, do art. 32;</w:t>
      </w:r>
    </w:p>
    <w:p w:rsidR="002D557B" w:rsidRPr="000641BC" w:rsidRDefault="002D557B" w:rsidP="00234206">
      <w:pPr>
        <w:spacing w:before="120"/>
        <w:ind w:firstLine="1276"/>
        <w:jc w:val="both"/>
        <w:rPr>
          <w:sz w:val="24"/>
          <w:szCs w:val="24"/>
        </w:rPr>
      </w:pPr>
      <w:r w:rsidRPr="000641BC">
        <w:rPr>
          <w:sz w:val="24"/>
          <w:szCs w:val="24"/>
        </w:rPr>
        <w:t xml:space="preserve">II – </w:t>
      </w:r>
      <w:proofErr w:type="gramStart"/>
      <w:r w:rsidRPr="000641BC">
        <w:rPr>
          <w:sz w:val="24"/>
          <w:szCs w:val="24"/>
        </w:rPr>
        <w:t>autorização e determinação</w:t>
      </w:r>
      <w:proofErr w:type="gramEnd"/>
      <w:r w:rsidRPr="000641BC">
        <w:rPr>
          <w:sz w:val="24"/>
          <w:szCs w:val="24"/>
        </w:rPr>
        <w:t xml:space="preserve"> de diligências internas e externas, bem como o encaminhamento de processos para a manifestação do Ministério Público de Contas; </w:t>
      </w:r>
    </w:p>
    <w:p w:rsidR="002D557B" w:rsidRPr="000641BC" w:rsidRDefault="002D557B" w:rsidP="00234206">
      <w:pPr>
        <w:spacing w:before="120"/>
        <w:ind w:firstLine="1276"/>
        <w:jc w:val="both"/>
        <w:rPr>
          <w:sz w:val="24"/>
          <w:szCs w:val="24"/>
        </w:rPr>
      </w:pPr>
      <w:r w:rsidRPr="000641BC">
        <w:rPr>
          <w:sz w:val="24"/>
          <w:szCs w:val="24"/>
        </w:rPr>
        <w:t>III – autorização e determinação de providências atinentes à correção da autuação de processos, inclusive, quanto à distribuição de processos, correção de nomes de partes, interessados e advogados, inclusão e exclusão de nomes de advogados, ressalvada a inclusão de partes e interessados, face ao que dispõe o §5º do art. 347, §5º, do Regimento Interno;</w:t>
      </w:r>
    </w:p>
    <w:p w:rsidR="002D557B" w:rsidRPr="000641BC" w:rsidRDefault="002D557B" w:rsidP="00234206">
      <w:pPr>
        <w:spacing w:before="120"/>
        <w:ind w:firstLine="1276"/>
        <w:jc w:val="both"/>
        <w:rPr>
          <w:sz w:val="24"/>
          <w:szCs w:val="24"/>
        </w:rPr>
      </w:pPr>
      <w:r w:rsidRPr="000641BC">
        <w:rPr>
          <w:sz w:val="24"/>
          <w:szCs w:val="24"/>
        </w:rPr>
        <w:t xml:space="preserve">IV – </w:t>
      </w:r>
      <w:proofErr w:type="gramStart"/>
      <w:r w:rsidRPr="000641BC">
        <w:rPr>
          <w:sz w:val="24"/>
          <w:szCs w:val="24"/>
        </w:rPr>
        <w:t>deferimento</w:t>
      </w:r>
      <w:proofErr w:type="gramEnd"/>
      <w:r w:rsidRPr="000641BC">
        <w:rPr>
          <w:sz w:val="24"/>
          <w:szCs w:val="24"/>
        </w:rPr>
        <w:t xml:space="preserve"> de requerimentos de prorrogação de prazo para exercício do contraditório e da ampla defesa e para cumprimento de diligências, e concessão de novo prazo para os mesmos fins;</w:t>
      </w:r>
    </w:p>
    <w:p w:rsidR="002D557B" w:rsidRPr="000641BC" w:rsidRDefault="002D557B" w:rsidP="00234206">
      <w:pPr>
        <w:spacing w:before="120"/>
        <w:ind w:firstLine="1276"/>
        <w:jc w:val="both"/>
        <w:rPr>
          <w:sz w:val="24"/>
          <w:szCs w:val="24"/>
        </w:rPr>
      </w:pPr>
      <w:r w:rsidRPr="000641BC">
        <w:rPr>
          <w:sz w:val="24"/>
          <w:szCs w:val="24"/>
        </w:rPr>
        <w:t>V –</w:t>
      </w:r>
      <w:r w:rsidR="000641BC">
        <w:rPr>
          <w:sz w:val="24"/>
          <w:szCs w:val="24"/>
        </w:rPr>
        <w:t xml:space="preserve"> </w:t>
      </w:r>
      <w:r w:rsidRPr="000641BC">
        <w:rPr>
          <w:sz w:val="24"/>
          <w:szCs w:val="24"/>
        </w:rPr>
        <w:t xml:space="preserve">conhecimento de alegações de defesa, juntada e </w:t>
      </w:r>
      <w:proofErr w:type="gramStart"/>
      <w:r w:rsidRPr="000641BC">
        <w:rPr>
          <w:sz w:val="24"/>
          <w:szCs w:val="24"/>
        </w:rPr>
        <w:t>desentranhamento  de</w:t>
      </w:r>
      <w:proofErr w:type="gramEnd"/>
      <w:r w:rsidRPr="000641BC">
        <w:rPr>
          <w:sz w:val="24"/>
          <w:szCs w:val="24"/>
        </w:rPr>
        <w:t xml:space="preserve"> documentos novos e de provas apresentadas nos termos previstos no Capítulo VII, do Título IV, do Regimento Interno deste Tribunal;</w:t>
      </w:r>
    </w:p>
    <w:p w:rsidR="002D557B" w:rsidRPr="000641BC" w:rsidRDefault="000641BC" w:rsidP="00234206">
      <w:pPr>
        <w:spacing w:before="120"/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VI – </w:t>
      </w:r>
      <w:proofErr w:type="gramStart"/>
      <w:r>
        <w:rPr>
          <w:sz w:val="24"/>
          <w:szCs w:val="24"/>
        </w:rPr>
        <w:t>a</w:t>
      </w:r>
      <w:r w:rsidR="002D557B" w:rsidRPr="000641BC">
        <w:rPr>
          <w:sz w:val="24"/>
          <w:szCs w:val="24"/>
        </w:rPr>
        <w:t>utorização e determinação</w:t>
      </w:r>
      <w:proofErr w:type="gramEnd"/>
      <w:r w:rsidR="002D557B" w:rsidRPr="000641BC">
        <w:rPr>
          <w:sz w:val="24"/>
          <w:szCs w:val="24"/>
        </w:rPr>
        <w:t xml:space="preserve"> de sobrestamento, anexação, apensamento e </w:t>
      </w:r>
      <w:proofErr w:type="spellStart"/>
      <w:r w:rsidR="002D557B" w:rsidRPr="000641BC">
        <w:rPr>
          <w:sz w:val="24"/>
          <w:szCs w:val="24"/>
        </w:rPr>
        <w:t>desapensamento</w:t>
      </w:r>
      <w:proofErr w:type="spellEnd"/>
      <w:r w:rsidR="002D557B" w:rsidRPr="000641BC">
        <w:rPr>
          <w:sz w:val="24"/>
          <w:szCs w:val="24"/>
        </w:rPr>
        <w:t xml:space="preserve"> de processos;</w:t>
      </w:r>
    </w:p>
    <w:p w:rsidR="002D557B" w:rsidRPr="000641BC" w:rsidRDefault="002D557B" w:rsidP="00234206">
      <w:pPr>
        <w:spacing w:before="120"/>
        <w:ind w:firstLine="1276"/>
        <w:jc w:val="both"/>
        <w:rPr>
          <w:sz w:val="24"/>
          <w:szCs w:val="24"/>
        </w:rPr>
      </w:pPr>
      <w:r w:rsidRPr="000641BC">
        <w:rPr>
          <w:sz w:val="24"/>
          <w:szCs w:val="24"/>
        </w:rPr>
        <w:t>VII – deferimento de pedidos de vistas e de cópias, nos termos regimentais;</w:t>
      </w:r>
    </w:p>
    <w:p w:rsidR="002D557B" w:rsidRPr="000641BC" w:rsidRDefault="000641BC" w:rsidP="00234206">
      <w:pPr>
        <w:spacing w:before="120"/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>VIII – a</w:t>
      </w:r>
      <w:r w:rsidR="002D557B" w:rsidRPr="000641BC">
        <w:rPr>
          <w:sz w:val="24"/>
          <w:szCs w:val="24"/>
        </w:rPr>
        <w:t>utorização e determinação de encerramento e arquivamento de processos apreciados por meio de Decisão Definitiva Monocrática e Acórdãos;</w:t>
      </w:r>
    </w:p>
    <w:p w:rsidR="002D557B" w:rsidRPr="000641BC" w:rsidRDefault="002D557B" w:rsidP="00234206">
      <w:pPr>
        <w:spacing w:before="120"/>
        <w:ind w:firstLine="1276"/>
        <w:jc w:val="both"/>
        <w:rPr>
          <w:sz w:val="24"/>
          <w:szCs w:val="24"/>
        </w:rPr>
      </w:pPr>
      <w:r w:rsidRPr="000641BC">
        <w:rPr>
          <w:sz w:val="24"/>
          <w:szCs w:val="24"/>
        </w:rPr>
        <w:t xml:space="preserve">IX – </w:t>
      </w:r>
      <w:proofErr w:type="gramStart"/>
      <w:r w:rsidRPr="000641BC">
        <w:rPr>
          <w:sz w:val="24"/>
          <w:szCs w:val="24"/>
        </w:rPr>
        <w:t>deferimento</w:t>
      </w:r>
      <w:proofErr w:type="gramEnd"/>
      <w:r w:rsidRPr="000641BC">
        <w:rPr>
          <w:sz w:val="24"/>
          <w:szCs w:val="24"/>
        </w:rPr>
        <w:t xml:space="preserve"> de pedidos de acesso a informações, nos termos da Lei nº 12.527/1</w:t>
      </w:r>
      <w:r w:rsidR="001E1959" w:rsidRPr="000641BC">
        <w:rPr>
          <w:sz w:val="24"/>
          <w:szCs w:val="24"/>
        </w:rPr>
        <w:t>1</w:t>
      </w:r>
      <w:r w:rsidRPr="000641BC">
        <w:rPr>
          <w:sz w:val="24"/>
          <w:szCs w:val="24"/>
        </w:rPr>
        <w:t>.</w:t>
      </w:r>
    </w:p>
    <w:p w:rsidR="001E1959" w:rsidRPr="000641BC" w:rsidRDefault="001E1959" w:rsidP="001E1959">
      <w:pPr>
        <w:spacing w:before="120"/>
        <w:ind w:left="1276"/>
        <w:jc w:val="both"/>
        <w:rPr>
          <w:sz w:val="24"/>
          <w:szCs w:val="24"/>
        </w:rPr>
      </w:pPr>
    </w:p>
    <w:p w:rsidR="002D557B" w:rsidRPr="000641BC" w:rsidRDefault="002D557B" w:rsidP="001E1959">
      <w:pPr>
        <w:spacing w:before="120"/>
        <w:ind w:right="57" w:firstLine="1276"/>
        <w:jc w:val="both"/>
        <w:rPr>
          <w:sz w:val="24"/>
          <w:szCs w:val="24"/>
        </w:rPr>
      </w:pPr>
      <w:r w:rsidRPr="000641BC">
        <w:rPr>
          <w:b/>
          <w:sz w:val="24"/>
          <w:szCs w:val="24"/>
        </w:rPr>
        <w:t>Art. 2º</w:t>
      </w:r>
      <w:r w:rsidR="008F2EC7" w:rsidRPr="000641BC">
        <w:rPr>
          <w:sz w:val="24"/>
          <w:szCs w:val="24"/>
        </w:rPr>
        <w:t xml:space="preserve"> </w:t>
      </w:r>
      <w:r w:rsidRPr="000641BC">
        <w:rPr>
          <w:sz w:val="24"/>
          <w:szCs w:val="24"/>
        </w:rPr>
        <w:t>Esta Instrução de Serviço entrará em vigor na data de sua publicação.</w:t>
      </w:r>
    </w:p>
    <w:p w:rsidR="002D557B" w:rsidRPr="000641BC" w:rsidRDefault="002D557B" w:rsidP="002D557B">
      <w:pPr>
        <w:ind w:right="57"/>
        <w:jc w:val="center"/>
        <w:rPr>
          <w:sz w:val="24"/>
          <w:szCs w:val="24"/>
        </w:rPr>
      </w:pPr>
    </w:p>
    <w:p w:rsidR="002D557B" w:rsidRPr="000641BC" w:rsidRDefault="002D557B" w:rsidP="002D557B">
      <w:pPr>
        <w:ind w:right="57" w:firstLine="2268"/>
        <w:rPr>
          <w:sz w:val="24"/>
          <w:szCs w:val="24"/>
        </w:rPr>
      </w:pPr>
    </w:p>
    <w:p w:rsidR="002D557B" w:rsidRPr="000641BC" w:rsidRDefault="002D557B" w:rsidP="002D557B">
      <w:pPr>
        <w:ind w:right="57" w:firstLine="2268"/>
        <w:rPr>
          <w:sz w:val="24"/>
          <w:szCs w:val="24"/>
        </w:rPr>
      </w:pPr>
    </w:p>
    <w:p w:rsidR="002D557B" w:rsidRPr="000641BC" w:rsidRDefault="002D557B" w:rsidP="0072324E">
      <w:pPr>
        <w:ind w:right="57"/>
        <w:jc w:val="center"/>
        <w:rPr>
          <w:sz w:val="24"/>
          <w:szCs w:val="24"/>
        </w:rPr>
      </w:pPr>
      <w:r w:rsidRPr="000641BC">
        <w:rPr>
          <w:sz w:val="24"/>
          <w:szCs w:val="24"/>
        </w:rPr>
        <w:t xml:space="preserve">Curitiba, </w:t>
      </w:r>
      <w:r w:rsidR="001A6D1C" w:rsidRPr="000641BC">
        <w:rPr>
          <w:sz w:val="24"/>
          <w:szCs w:val="24"/>
        </w:rPr>
        <w:t>01</w:t>
      </w:r>
      <w:r w:rsidRPr="000641BC">
        <w:rPr>
          <w:sz w:val="24"/>
          <w:szCs w:val="24"/>
        </w:rPr>
        <w:t xml:space="preserve"> de ju</w:t>
      </w:r>
      <w:r w:rsidR="001A6D1C" w:rsidRPr="000641BC">
        <w:rPr>
          <w:sz w:val="24"/>
          <w:szCs w:val="24"/>
        </w:rPr>
        <w:t>lho</w:t>
      </w:r>
      <w:r w:rsidRPr="000641BC">
        <w:rPr>
          <w:sz w:val="24"/>
          <w:szCs w:val="24"/>
        </w:rPr>
        <w:t xml:space="preserve"> de 2013.</w:t>
      </w:r>
    </w:p>
    <w:p w:rsidR="002D557B" w:rsidRPr="000641BC" w:rsidRDefault="002D557B" w:rsidP="0072324E">
      <w:pPr>
        <w:ind w:right="57"/>
        <w:jc w:val="center"/>
        <w:rPr>
          <w:sz w:val="24"/>
          <w:szCs w:val="24"/>
        </w:rPr>
      </w:pPr>
    </w:p>
    <w:p w:rsidR="001A6D1C" w:rsidRPr="000641BC" w:rsidRDefault="001A6D1C" w:rsidP="000641BC">
      <w:pPr>
        <w:ind w:right="57"/>
        <w:rPr>
          <w:sz w:val="24"/>
          <w:szCs w:val="24"/>
        </w:rPr>
      </w:pPr>
    </w:p>
    <w:p w:rsidR="002D557B" w:rsidRPr="000641BC" w:rsidRDefault="002D557B" w:rsidP="0072324E">
      <w:pPr>
        <w:ind w:right="57"/>
        <w:jc w:val="center"/>
        <w:rPr>
          <w:sz w:val="24"/>
          <w:szCs w:val="24"/>
        </w:rPr>
      </w:pPr>
    </w:p>
    <w:p w:rsidR="002D557B" w:rsidRPr="000641BC" w:rsidRDefault="002D557B" w:rsidP="0072324E">
      <w:pPr>
        <w:ind w:right="57"/>
        <w:jc w:val="center"/>
        <w:rPr>
          <w:b/>
          <w:smallCaps/>
          <w:sz w:val="24"/>
          <w:szCs w:val="24"/>
        </w:rPr>
      </w:pPr>
      <w:r w:rsidRPr="000641BC">
        <w:rPr>
          <w:b/>
          <w:smallCaps/>
          <w:sz w:val="24"/>
          <w:szCs w:val="24"/>
        </w:rPr>
        <w:t>IVENS ZSCHOERPER LINHARES</w:t>
      </w:r>
    </w:p>
    <w:p w:rsidR="00594A97" w:rsidRPr="000641BC" w:rsidRDefault="001E1959" w:rsidP="001E1959">
      <w:pPr>
        <w:jc w:val="center"/>
        <w:rPr>
          <w:sz w:val="24"/>
          <w:szCs w:val="24"/>
        </w:rPr>
      </w:pPr>
      <w:r w:rsidRPr="000641BC">
        <w:rPr>
          <w:sz w:val="24"/>
          <w:szCs w:val="24"/>
        </w:rPr>
        <w:t>Auditor</w:t>
      </w:r>
    </w:p>
    <w:sectPr w:rsidR="00594A97" w:rsidRPr="000641BC">
      <w:headerReference w:type="default" r:id="rId7"/>
      <w:pgSz w:w="11907" w:h="16840" w:code="9"/>
      <w:pgMar w:top="1985" w:right="1134" w:bottom="1418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937" w:rsidRDefault="00A31937" w:rsidP="002D557B">
      <w:r>
        <w:separator/>
      </w:r>
    </w:p>
  </w:endnote>
  <w:endnote w:type="continuationSeparator" w:id="0">
    <w:p w:rsidR="00A31937" w:rsidRDefault="00A31937" w:rsidP="002D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937" w:rsidRDefault="00A31937" w:rsidP="002D557B">
      <w:r>
        <w:separator/>
      </w:r>
    </w:p>
  </w:footnote>
  <w:footnote w:type="continuationSeparator" w:id="0">
    <w:p w:rsidR="00A31937" w:rsidRDefault="00A31937" w:rsidP="002D557B">
      <w:r>
        <w:continuationSeparator/>
      </w:r>
    </w:p>
  </w:footnote>
  <w:footnote w:id="1">
    <w:p w:rsidR="00D7270E" w:rsidRPr="00903F9E" w:rsidRDefault="00D7270E" w:rsidP="00D7270E">
      <w:pPr>
        <w:pStyle w:val="Textodenotaderodap"/>
        <w:rPr>
          <w:rFonts w:cs="Arial"/>
        </w:rPr>
      </w:pPr>
      <w:r w:rsidRPr="00D7270E">
        <w:rPr>
          <w:rStyle w:val="Refdenotaderodap"/>
        </w:rPr>
        <w:sym w:font="Symbol" w:char="F02A"/>
      </w:r>
      <w:r>
        <w:t xml:space="preserve"> </w:t>
      </w:r>
      <w:r w:rsidRPr="00903F9E">
        <w:rPr>
          <w:rFonts w:cs="Arial"/>
          <w:b/>
        </w:rPr>
        <w:t>Nota da Biblioteca:</w:t>
      </w:r>
    </w:p>
    <w:p w:rsidR="00D7270E" w:rsidRPr="00903F9E" w:rsidRDefault="00D7270E" w:rsidP="00D7270E">
      <w:pPr>
        <w:pStyle w:val="Textodenotaderodap"/>
        <w:ind w:left="142" w:hanging="142"/>
        <w:rPr>
          <w:rFonts w:cs="Arial"/>
        </w:rPr>
      </w:pPr>
      <w:r w:rsidRPr="00903F9E">
        <w:rPr>
          <w:rFonts w:cs="Arial"/>
        </w:rPr>
        <w:t xml:space="preserve">  Este texto não substitui o publicado no periódico: </w:t>
      </w:r>
      <w:hyperlink r:id="rId1" w:history="1">
        <w:r>
          <w:rPr>
            <w:rStyle w:val="Hyperlink"/>
          </w:rPr>
          <w:t>Diário Eletrônico do Tribunal de Contas do Estado do Paraná, Curitiba, PR, n. 673, 3 jul. 2013, p. 50</w:t>
        </w:r>
      </w:hyperlink>
      <w:r>
        <w:t>.</w:t>
      </w:r>
    </w:p>
    <w:p w:rsidR="00D7270E" w:rsidRDefault="00D7270E">
      <w:pPr>
        <w:pStyle w:val="Textodenotaderodap"/>
      </w:pPr>
    </w:p>
  </w:footnote>
  <w:footnote w:id="2">
    <w:p w:rsidR="002D557B" w:rsidRPr="00AB243C" w:rsidRDefault="002D557B" w:rsidP="00D7270E">
      <w:pPr>
        <w:pStyle w:val="Numera10"/>
        <w:numPr>
          <w:ilvl w:val="0"/>
          <w:numId w:val="0"/>
        </w:numPr>
        <w:spacing w:before="0" w:after="0"/>
        <w:ind w:left="142"/>
        <w:rPr>
          <w:sz w:val="20"/>
          <w:szCs w:val="20"/>
        </w:rPr>
      </w:pPr>
      <w:r w:rsidRPr="00AB243C">
        <w:rPr>
          <w:rStyle w:val="Refdenotaderodap"/>
          <w:sz w:val="20"/>
          <w:szCs w:val="20"/>
        </w:rPr>
        <w:footnoteRef/>
      </w:r>
      <w:r w:rsidRPr="00AB243C">
        <w:rPr>
          <w:sz w:val="20"/>
          <w:szCs w:val="20"/>
        </w:rPr>
        <w:t xml:space="preserve"> Art. 32. Como Relator, compete ao Conselheiro:</w:t>
      </w:r>
    </w:p>
    <w:p w:rsidR="002D557B" w:rsidRPr="00AB243C" w:rsidRDefault="002D557B" w:rsidP="00D7270E">
      <w:pPr>
        <w:pStyle w:val="Numera10"/>
        <w:numPr>
          <w:ilvl w:val="0"/>
          <w:numId w:val="0"/>
        </w:numPr>
        <w:spacing w:before="0" w:after="0"/>
        <w:ind w:left="142"/>
        <w:rPr>
          <w:sz w:val="20"/>
          <w:szCs w:val="20"/>
        </w:rPr>
      </w:pPr>
      <w:r w:rsidRPr="00AB243C">
        <w:rPr>
          <w:sz w:val="20"/>
          <w:szCs w:val="20"/>
        </w:rPr>
        <w:t>(...)</w:t>
      </w:r>
    </w:p>
    <w:p w:rsidR="002D557B" w:rsidRPr="00AB243C" w:rsidRDefault="002D557B" w:rsidP="00D7270E">
      <w:pPr>
        <w:pStyle w:val="Numera10"/>
        <w:numPr>
          <w:ilvl w:val="0"/>
          <w:numId w:val="0"/>
        </w:numPr>
        <w:spacing w:before="0" w:after="0"/>
        <w:ind w:left="142"/>
        <w:rPr>
          <w:rFonts w:ascii="Times New Roman" w:hAnsi="Times New Roman" w:cs="Times New Roman"/>
          <w:sz w:val="20"/>
          <w:szCs w:val="20"/>
        </w:rPr>
      </w:pPr>
      <w:r w:rsidRPr="00AB243C">
        <w:rPr>
          <w:sz w:val="20"/>
          <w:szCs w:val="20"/>
        </w:rPr>
        <w:t>§ 1º Os despachos de mero expediente poderão ser delegados, por ato do Relator, ao Gabinete do Conselheiro ou do Auditor, por ato próprio, em que serão especificadas as hipóteses de delegação e o servidor autorizado a exará-los.</w:t>
      </w:r>
      <w:r w:rsidRPr="00AB243C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DE2" w:rsidRPr="009B3DE2" w:rsidRDefault="009B3DE2" w:rsidP="009B3DE2">
    <w:pPr>
      <w:tabs>
        <w:tab w:val="center" w:pos="4252"/>
        <w:tab w:val="right" w:pos="8504"/>
      </w:tabs>
      <w:overflowPunct/>
      <w:autoSpaceDE/>
      <w:autoSpaceDN/>
      <w:adjustRightInd/>
      <w:spacing w:before="480" w:after="120"/>
      <w:jc w:val="center"/>
      <w:textAlignment w:val="auto"/>
      <w:rPr>
        <w:rFonts w:cs="Arial"/>
        <w:b/>
        <w:sz w:val="30"/>
        <w:szCs w:val="30"/>
        <w:lang w:eastAsia="x-none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51" type="#_x0000_t75" alt="logo TC colorido - medio" style="position:absolute;left:0;text-align:left;margin-left:-.25pt;margin-top:4.55pt;width:47.7pt;height:56.1pt;z-index:251657728;visibility:visible">
          <v:imagedata r:id="rId1" o:title="logo TC colorido - medio"/>
          <w10:wrap type="square"/>
        </v:shape>
      </w:pict>
    </w:r>
    <w:r w:rsidRPr="009B3DE2">
      <w:rPr>
        <w:rFonts w:cs="Arial"/>
        <w:b/>
        <w:sz w:val="30"/>
        <w:szCs w:val="30"/>
        <w:lang w:val="x-none" w:eastAsia="x-none"/>
      </w:rPr>
      <w:t>TRIBUNAL DE CONTAS DO ESTADO DO PARANÁ</w:t>
    </w:r>
  </w:p>
  <w:p w:rsidR="009B3DE2" w:rsidRDefault="009B3DE2" w:rsidP="009B3DE2">
    <w:pPr>
      <w:pStyle w:val="Cabealho"/>
    </w:pPr>
  </w:p>
  <w:p w:rsidR="00D7270E" w:rsidRPr="009B3DE2" w:rsidRDefault="00D7270E" w:rsidP="009B3D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26CC90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316DB0"/>
    <w:multiLevelType w:val="multilevel"/>
    <w:tmpl w:val="069E4D66"/>
    <w:lvl w:ilvl="0">
      <w:start w:val="10"/>
      <w:numFmt w:val="decimal"/>
      <w:pStyle w:val="Numera10"/>
      <w:suff w:val="space"/>
      <w:lvlText w:val="Art. %1."/>
      <w:lvlJc w:val="left"/>
      <w:pPr>
        <w:ind w:left="1233" w:firstLine="567"/>
      </w:pPr>
      <w:rPr>
        <w:b/>
        <w:i w:val="0"/>
        <w:strike w:val="0"/>
        <w:dstrike w:val="0"/>
        <w:color w:val="auto"/>
        <w:sz w:val="20"/>
        <w:u w:val="none" w:color="000000"/>
        <w:effect w:val="none"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b w:val="0"/>
        <w:i w:val="0"/>
        <w:strike w:val="0"/>
        <w:dstrike w:val="0"/>
        <w:color w:val="000000"/>
        <w:u w:val="none"/>
        <w:effect w:val="none"/>
      </w:rPr>
    </w:lvl>
    <w:lvl w:ilvl="2">
      <w:start w:val="1"/>
      <w:numFmt w:val="ordinal"/>
      <w:lvlRestart w:val="1"/>
      <w:suff w:val="space"/>
      <w:lvlText w:val="§ %3"/>
      <w:lvlJc w:val="left"/>
      <w:pPr>
        <w:ind w:left="0" w:firstLine="567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0" w:firstLine="567"/>
      </w:pPr>
      <w:rPr>
        <w:b w:val="0"/>
        <w:i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</w:lvl>
  </w:abstractNum>
  <w:num w:numId="1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557B"/>
    <w:rsid w:val="000641BC"/>
    <w:rsid w:val="00122930"/>
    <w:rsid w:val="001A6D1C"/>
    <w:rsid w:val="001E1959"/>
    <w:rsid w:val="00234206"/>
    <w:rsid w:val="002D557B"/>
    <w:rsid w:val="003C2700"/>
    <w:rsid w:val="004468F6"/>
    <w:rsid w:val="00505215"/>
    <w:rsid w:val="00594A97"/>
    <w:rsid w:val="006C490D"/>
    <w:rsid w:val="0072324E"/>
    <w:rsid w:val="007B00BA"/>
    <w:rsid w:val="008708CB"/>
    <w:rsid w:val="008C6E5B"/>
    <w:rsid w:val="008F2EC7"/>
    <w:rsid w:val="009B3DE2"/>
    <w:rsid w:val="00A31937"/>
    <w:rsid w:val="00AB243C"/>
    <w:rsid w:val="00BC50EA"/>
    <w:rsid w:val="00D0585A"/>
    <w:rsid w:val="00D50DE1"/>
    <w:rsid w:val="00D7270E"/>
    <w:rsid w:val="00E151EF"/>
    <w:rsid w:val="00FE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7F64218A"/>
  <w15:chartTrackingRefBased/>
  <w15:docId w15:val="{25722AA3-51D6-42FA-834E-0A98FD1A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557B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557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2D557B"/>
    <w:rPr>
      <w:rFonts w:ascii="Arial" w:eastAsia="Times New Roman" w:hAnsi="Arial" w:cs="Times New Roman"/>
      <w:szCs w:val="20"/>
      <w:lang w:eastAsia="pt-BR"/>
    </w:rPr>
  </w:style>
  <w:style w:type="paragraph" w:styleId="Corpodetexto">
    <w:name w:val="Body Text"/>
    <w:basedOn w:val="Normal"/>
    <w:link w:val="CorpodetextoChar"/>
    <w:rsid w:val="002D557B"/>
    <w:pPr>
      <w:jc w:val="both"/>
    </w:pPr>
  </w:style>
  <w:style w:type="character" w:customStyle="1" w:styleId="CorpodetextoChar">
    <w:name w:val="Corpo de texto Char"/>
    <w:link w:val="Corpodetexto"/>
    <w:rsid w:val="002D557B"/>
    <w:rPr>
      <w:rFonts w:ascii="Arial" w:eastAsia="Times New Roman" w:hAnsi="Arial" w:cs="Times New Roman"/>
      <w:szCs w:val="20"/>
      <w:lang w:eastAsia="pt-BR"/>
    </w:rPr>
  </w:style>
  <w:style w:type="table" w:styleId="Tabelacomgrade">
    <w:name w:val="Table Grid"/>
    <w:basedOn w:val="Tabelanormal"/>
    <w:rsid w:val="002D557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era10CharChar">
    <w:name w:val="Numera10 Char Char"/>
    <w:link w:val="Numera10"/>
    <w:locked/>
    <w:rsid w:val="002D557B"/>
    <w:rPr>
      <w:rFonts w:ascii="Arial" w:hAnsi="Arial" w:cs="Arial"/>
      <w:szCs w:val="24"/>
    </w:rPr>
  </w:style>
  <w:style w:type="paragraph" w:customStyle="1" w:styleId="Numera10">
    <w:name w:val="Numera10"/>
    <w:basedOn w:val="Normal"/>
    <w:link w:val="Numera10CharChar"/>
    <w:rsid w:val="002D557B"/>
    <w:pPr>
      <w:numPr>
        <w:numId w:val="1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 w:cs="Arial"/>
      <w:szCs w:val="24"/>
      <w:lang w:eastAsia="en-US"/>
    </w:rPr>
  </w:style>
  <w:style w:type="character" w:styleId="Refdenotaderodap">
    <w:name w:val="footnote reference"/>
    <w:rsid w:val="002D557B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55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D557B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D557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D557B"/>
    <w:rPr>
      <w:rFonts w:ascii="Arial" w:eastAsia="Times New Roman" w:hAnsi="Arial" w:cs="Times New Roman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9B3DE2"/>
    <w:pPr>
      <w:numPr>
        <w:numId w:val="2"/>
      </w:numPr>
      <w:contextualSpacing/>
    </w:pPr>
  </w:style>
  <w:style w:type="paragraph" w:styleId="Textodenotaderodap">
    <w:name w:val="footnote text"/>
    <w:basedOn w:val="Normal"/>
    <w:link w:val="TextodenotaderodapChar"/>
    <w:unhideWhenUsed/>
    <w:rsid w:val="00D7270E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D7270E"/>
    <w:rPr>
      <w:rFonts w:ascii="Arial" w:eastAsia="Times New Roman" w:hAnsi="Arial"/>
    </w:rPr>
  </w:style>
  <w:style w:type="character" w:styleId="Hyperlink">
    <w:name w:val="Hyperlink"/>
    <w:unhideWhenUsed/>
    <w:rsid w:val="00D727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3/7/pdf/0024679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Heloisa Caldas Ferreira</dc:creator>
  <cp:keywords/>
  <cp:lastModifiedBy>Yarusya Rohrich da Fonseca</cp:lastModifiedBy>
  <cp:revision>3</cp:revision>
  <dcterms:created xsi:type="dcterms:W3CDTF">2019-05-31T14:27:00Z</dcterms:created>
  <dcterms:modified xsi:type="dcterms:W3CDTF">2019-05-31T14:28:00Z</dcterms:modified>
</cp:coreProperties>
</file>