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15E" w:rsidRDefault="0069315E" w:rsidP="0069315E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106</w:t>
      </w:r>
      <w:r w:rsidRPr="000A1B86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2016</w:t>
      </w:r>
      <w:r w:rsidR="00FB3561" w:rsidRPr="00FB3561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69315E" w:rsidRPr="00D37E59" w:rsidRDefault="0069315E" w:rsidP="0069315E">
      <w:pPr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iCs/>
        </w:rPr>
      </w:pPr>
      <w:r w:rsidRPr="00D37E59">
        <w:rPr>
          <w:rFonts w:ascii="Arial" w:hAnsi="Arial" w:cs="Arial"/>
          <w:i/>
          <w:iCs/>
        </w:rPr>
        <w:t>Dispõe sobre a delegação às unidades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administrativas dos despachos</w:t>
      </w:r>
      <w:r>
        <w:rPr>
          <w:rFonts w:ascii="Arial" w:hAnsi="Arial" w:cs="Arial"/>
          <w:i/>
          <w:iCs/>
        </w:rPr>
        <w:t xml:space="preserve"> iniciais de citação ou intimação para o exercício do contraditório e para </w:t>
      </w:r>
      <w:r w:rsidRPr="00D37E59">
        <w:rPr>
          <w:rFonts w:ascii="Arial" w:hAnsi="Arial" w:cs="Arial"/>
          <w:i/>
          <w:iCs/>
        </w:rPr>
        <w:t>realização de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diligências,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e dá outras providências.</w:t>
      </w:r>
    </w:p>
    <w:p w:rsidR="0069315E" w:rsidRDefault="0069315E" w:rsidP="0069315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AUDITOR </w:t>
      </w:r>
      <w:r w:rsidRPr="00B01CEC">
        <w:rPr>
          <w:rFonts w:ascii="Arial" w:hAnsi="Arial" w:cs="Arial"/>
          <w:b/>
        </w:rPr>
        <w:t>TIAGO ALVAREZ PEDROSO</w:t>
      </w:r>
      <w:r w:rsidRPr="00F30D9B">
        <w:rPr>
          <w:rFonts w:ascii="Arial" w:hAnsi="Arial" w:cs="Arial"/>
        </w:rPr>
        <w:t>, no uso das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atribuições co</w:t>
      </w:r>
      <w:r>
        <w:rPr>
          <w:rFonts w:ascii="Arial" w:hAnsi="Arial" w:cs="Arial"/>
        </w:rPr>
        <w:t>nferidas pelo art. 52-A, §§ 3º, 4º e 5º</w:t>
      </w:r>
      <w:r w:rsidRPr="00F30D9B">
        <w:rPr>
          <w:rFonts w:ascii="Arial" w:hAnsi="Arial" w:cs="Arial"/>
        </w:rPr>
        <w:t>, c/c o art. 197, todos do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Regimento Interno do Tribunal,</w:t>
      </w:r>
    </w:p>
    <w:p w:rsidR="0069315E" w:rsidRDefault="0069315E" w:rsidP="0069315E">
      <w:pPr>
        <w:autoSpaceDE w:val="0"/>
        <w:autoSpaceDN w:val="0"/>
        <w:adjustRightInd w:val="0"/>
        <w:spacing w:before="360" w:after="240"/>
        <w:ind w:firstLine="1134"/>
        <w:jc w:val="both"/>
        <w:rPr>
          <w:rFonts w:ascii="Arial" w:hAnsi="Arial" w:cs="Arial"/>
          <w:b/>
          <w:bCs/>
        </w:rPr>
      </w:pPr>
      <w:r w:rsidRPr="00F30D9B">
        <w:rPr>
          <w:rFonts w:ascii="Arial" w:hAnsi="Arial" w:cs="Arial"/>
          <w:b/>
          <w:bCs/>
        </w:rPr>
        <w:t>RESOLVE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1º </w:t>
      </w:r>
      <w:r w:rsidRPr="00F30D9B">
        <w:rPr>
          <w:rFonts w:ascii="Arial" w:hAnsi="Arial" w:cs="Arial"/>
        </w:rPr>
        <w:t>Na fase inicial da instrução processual</w:t>
      </w:r>
      <w:r>
        <w:rPr>
          <w:rFonts w:ascii="Arial" w:hAnsi="Arial" w:cs="Arial"/>
        </w:rPr>
        <w:t xml:space="preserve">, </w:t>
      </w:r>
      <w:r w:rsidRPr="00E95367">
        <w:rPr>
          <w:rFonts w:ascii="Arial" w:hAnsi="Arial" w:cs="Arial"/>
          <w:b/>
        </w:rPr>
        <w:t>exclusivamente nos autos de admissão de pessoal</w:t>
      </w:r>
      <w:r>
        <w:rPr>
          <w:rFonts w:ascii="Arial" w:hAnsi="Arial" w:cs="Arial"/>
        </w:rPr>
        <w:t xml:space="preserve">, </w:t>
      </w:r>
      <w:r w:rsidRPr="00F30D9B">
        <w:rPr>
          <w:rFonts w:ascii="Arial" w:hAnsi="Arial" w:cs="Arial"/>
        </w:rPr>
        <w:t xml:space="preserve">os despachos </w:t>
      </w:r>
      <w:r>
        <w:rPr>
          <w:rFonts w:ascii="Arial" w:hAnsi="Arial" w:cs="Arial"/>
        </w:rPr>
        <w:t xml:space="preserve">de citação ou intimação dos interessados para o exercício do primeiro contraditório e a realização de </w:t>
      </w:r>
      <w:r w:rsidRPr="00F30D9B">
        <w:rPr>
          <w:rFonts w:ascii="Arial" w:hAnsi="Arial" w:cs="Arial"/>
        </w:rPr>
        <w:t>diligências para a juntada de documentos obrigatórios ficam delegados às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unidades administrativas, na forma do disposto no § </w:t>
      </w:r>
      <w:r>
        <w:rPr>
          <w:rFonts w:ascii="Arial" w:hAnsi="Arial" w:cs="Arial"/>
        </w:rPr>
        <w:t>3</w:t>
      </w:r>
      <w:r w:rsidRPr="00F30D9B">
        <w:rPr>
          <w:rFonts w:ascii="Arial" w:hAnsi="Arial" w:cs="Arial"/>
        </w:rPr>
        <w:t xml:space="preserve">º do art. </w:t>
      </w:r>
      <w:r>
        <w:rPr>
          <w:rFonts w:ascii="Arial" w:hAnsi="Arial" w:cs="Arial"/>
        </w:rPr>
        <w:t>52-A</w:t>
      </w:r>
      <w:r w:rsidRPr="00F30D9B">
        <w:rPr>
          <w:rFonts w:ascii="Arial" w:hAnsi="Arial" w:cs="Arial"/>
        </w:rPr>
        <w:t>, do Regimento</w:t>
      </w:r>
      <w:r>
        <w:rPr>
          <w:rFonts w:ascii="Arial" w:hAnsi="Arial" w:cs="Arial"/>
        </w:rPr>
        <w:t xml:space="preserve"> Interno, </w:t>
      </w:r>
      <w:r w:rsidRPr="00F30D9B">
        <w:rPr>
          <w:rFonts w:ascii="Arial" w:hAnsi="Arial" w:cs="Arial"/>
        </w:rPr>
        <w:t xml:space="preserve">consoante o disciplinado nos </w:t>
      </w:r>
      <w:proofErr w:type="spellStart"/>
      <w:r w:rsidRPr="00F30D9B">
        <w:rPr>
          <w:rFonts w:ascii="Arial" w:hAnsi="Arial" w:cs="Arial"/>
        </w:rPr>
        <w:t>arts</w:t>
      </w:r>
      <w:proofErr w:type="spellEnd"/>
      <w:r w:rsidRPr="00F30D9B">
        <w:rPr>
          <w:rFonts w:ascii="Arial" w:hAnsi="Arial" w:cs="Arial"/>
        </w:rPr>
        <w:t>. 168, XIII, 351 e 380 a 384 do mesmo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diploma.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1º Quando a parte ou interessado estiver representad</w:t>
      </w:r>
      <w:r>
        <w:rPr>
          <w:rFonts w:ascii="Arial" w:hAnsi="Arial" w:cs="Arial"/>
        </w:rPr>
        <w:t>o</w:t>
      </w:r>
      <w:r w:rsidRPr="00F30D9B">
        <w:rPr>
          <w:rFonts w:ascii="Arial" w:hAnsi="Arial" w:cs="Arial"/>
        </w:rPr>
        <w:t xml:space="preserve"> por advogado,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poderes específicos para receber intimações, o ato eletrônico será realizado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exclusivamente ao seu procurador, nos termos do § 3º, do art. 383, do Regimento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Interno.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§ 2º Os despachos citados no </w:t>
      </w:r>
      <w:r w:rsidRPr="00F30D9B">
        <w:rPr>
          <w:rFonts w:ascii="Arial" w:hAnsi="Arial" w:cs="Arial"/>
          <w:i/>
          <w:iCs/>
        </w:rPr>
        <w:t xml:space="preserve">caput </w:t>
      </w:r>
      <w:r w:rsidRPr="00F30D9B">
        <w:rPr>
          <w:rFonts w:ascii="Arial" w:hAnsi="Arial" w:cs="Arial"/>
        </w:rPr>
        <w:t>serão encaminhados para publicação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no Diário Eletrônico do Tribunal, seguindo os autos imediatamente à Diretoria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Protocolo para comunicação aos sujeitos dos processos, nos termos regimentais.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3º Realizada a comunicação processual, havendo resposta protocolada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no prazo ou o decurso do prazo sem envio de resposta, os autos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à unidade competente para instrução conclusiva, conforme parágrafo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único do art. 353, do Regimento Interno.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4º Protocolada a resposta extemporaneamente, os autos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encaminhados ao Gabinete deste </w:t>
      </w:r>
      <w:r>
        <w:rPr>
          <w:rFonts w:ascii="Arial" w:hAnsi="Arial" w:cs="Arial"/>
        </w:rPr>
        <w:t>Auditor</w:t>
      </w:r>
      <w:r w:rsidRPr="00F30D9B">
        <w:rPr>
          <w:rFonts w:ascii="Arial" w:hAnsi="Arial" w:cs="Arial"/>
        </w:rPr>
        <w:t xml:space="preserve"> para juízo de admissibilidade,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conforme o § 1º, do art. 357, do Regimento Interno.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5º Restando infrutífera a</w:t>
      </w:r>
      <w:r>
        <w:rPr>
          <w:rFonts w:ascii="Arial" w:hAnsi="Arial" w:cs="Arial"/>
        </w:rPr>
        <w:t xml:space="preserve"> citação ou </w:t>
      </w:r>
      <w:r w:rsidRPr="00F30D9B">
        <w:rPr>
          <w:rFonts w:ascii="Arial" w:hAnsi="Arial" w:cs="Arial"/>
        </w:rPr>
        <w:t>intimação por meio eletrô</w:t>
      </w:r>
      <w:r>
        <w:rPr>
          <w:rFonts w:ascii="Arial" w:hAnsi="Arial" w:cs="Arial"/>
        </w:rPr>
        <w:t>nico ou por via postal</w:t>
      </w:r>
      <w:r w:rsidRPr="00F30D9B">
        <w:rPr>
          <w:rFonts w:ascii="Arial" w:hAnsi="Arial" w:cs="Arial"/>
        </w:rPr>
        <w:t>, os autos serão encaminhados ao Gabinete deste</w:t>
      </w:r>
      <w:r>
        <w:rPr>
          <w:rFonts w:ascii="Arial" w:hAnsi="Arial" w:cs="Arial"/>
        </w:rPr>
        <w:t xml:space="preserve"> Auditor</w:t>
      </w:r>
      <w:r w:rsidRPr="00F30D9B">
        <w:rPr>
          <w:rFonts w:ascii="Arial" w:hAnsi="Arial" w:cs="Arial"/>
        </w:rPr>
        <w:t xml:space="preserve"> para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apreciação.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2º </w:t>
      </w:r>
      <w:r w:rsidRPr="00F30D9B">
        <w:rPr>
          <w:rFonts w:ascii="Arial" w:hAnsi="Arial" w:cs="Arial"/>
        </w:rPr>
        <w:t>Fica também delegada às unidades administrativas a apreciação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dos pedidos de prorrogação de prazo para o exerc</w:t>
      </w:r>
      <w:r>
        <w:rPr>
          <w:rFonts w:ascii="Arial" w:hAnsi="Arial" w:cs="Arial"/>
        </w:rPr>
        <w:t xml:space="preserve">ício do primeiro contraditório e </w:t>
      </w:r>
      <w:r w:rsidRPr="00F30D9B">
        <w:rPr>
          <w:rFonts w:ascii="Arial" w:hAnsi="Arial" w:cs="Arial"/>
        </w:rPr>
        <w:lastRenderedPageBreak/>
        <w:t>realização de diligências, desde que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observadas as condições previstas no parágrafo único do art. 389, do Regimento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Interno.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Parágrafo único. Os pedidos de prorrogação de prazo que não atenderem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às condições do parágrafo único do art. 389, do Regimento Interno,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encaminhados ao Gabinete deste </w:t>
      </w:r>
      <w:r>
        <w:rPr>
          <w:rFonts w:ascii="Arial" w:hAnsi="Arial" w:cs="Arial"/>
        </w:rPr>
        <w:t>Auditor</w:t>
      </w:r>
      <w:r w:rsidRPr="00F30D9B">
        <w:rPr>
          <w:rFonts w:ascii="Arial" w:hAnsi="Arial" w:cs="Arial"/>
        </w:rPr>
        <w:t xml:space="preserve"> para apreciação, conforme o §</w:t>
      </w:r>
      <w:r>
        <w:rPr>
          <w:rFonts w:ascii="Arial" w:hAnsi="Arial" w:cs="Arial"/>
        </w:rPr>
        <w:t xml:space="preserve"> 6</w:t>
      </w:r>
      <w:r w:rsidRPr="00F30D9B">
        <w:rPr>
          <w:rFonts w:ascii="Arial" w:hAnsi="Arial" w:cs="Arial"/>
        </w:rPr>
        <w:t>º,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do art. </w:t>
      </w:r>
      <w:r>
        <w:rPr>
          <w:rFonts w:ascii="Arial" w:hAnsi="Arial" w:cs="Arial"/>
        </w:rPr>
        <w:t>5</w:t>
      </w:r>
      <w:r w:rsidRPr="00F30D9B">
        <w:rPr>
          <w:rFonts w:ascii="Arial" w:hAnsi="Arial" w:cs="Arial"/>
        </w:rPr>
        <w:t>2</w:t>
      </w:r>
      <w:r>
        <w:rPr>
          <w:rFonts w:ascii="Arial" w:hAnsi="Arial" w:cs="Arial"/>
        </w:rPr>
        <w:t>-A</w:t>
      </w:r>
      <w:r w:rsidRPr="00F30D9B">
        <w:rPr>
          <w:rFonts w:ascii="Arial" w:hAnsi="Arial" w:cs="Arial"/>
        </w:rPr>
        <w:t>, do Regimento Interno.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3º</w:t>
      </w:r>
      <w:r w:rsidRPr="00F30D9B">
        <w:rPr>
          <w:rFonts w:ascii="Arial" w:hAnsi="Arial" w:cs="Arial"/>
          <w:b/>
          <w:bCs/>
        </w:rPr>
        <w:t xml:space="preserve"> </w:t>
      </w:r>
      <w:r w:rsidRPr="00F30D9B">
        <w:rPr>
          <w:rFonts w:ascii="Arial" w:hAnsi="Arial" w:cs="Arial"/>
        </w:rPr>
        <w:t>Ocorrendo a juntada de documentos complementares antes da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realização da primeira instrução, deverá a unidade administrativa competente instruir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o processo, sem prejuízo da indicação de eventuais atrasos em relação aos prazos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regulamentares.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4° </w:t>
      </w:r>
      <w:r w:rsidRPr="00F30D9B">
        <w:rPr>
          <w:rFonts w:ascii="Arial" w:hAnsi="Arial" w:cs="Arial"/>
        </w:rPr>
        <w:t>Ocorrendo a juntada de instrumento procuratório quando 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processo estiver em poder da unidade pa</w:t>
      </w:r>
      <w:r>
        <w:rPr>
          <w:rFonts w:ascii="Arial" w:hAnsi="Arial" w:cs="Arial"/>
        </w:rPr>
        <w:t>ra instrução, esta deverá expedi</w:t>
      </w:r>
      <w:r w:rsidRPr="00F30D9B">
        <w:rPr>
          <w:rFonts w:ascii="Arial" w:hAnsi="Arial" w:cs="Arial"/>
        </w:rPr>
        <w:t>-lo à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Diretoria de Protocolo, para inclusão do(s) nome(s) do procurador(es) na autuação,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a subsequente devolução à unidade que o expediu.</w:t>
      </w:r>
    </w:p>
    <w:p w:rsidR="0069315E" w:rsidRPr="00F30D9B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5° </w:t>
      </w:r>
      <w:r w:rsidRPr="00F30D9B">
        <w:rPr>
          <w:rFonts w:ascii="Arial" w:hAnsi="Arial" w:cs="Arial"/>
        </w:rPr>
        <w:t xml:space="preserve">Delega-se à </w:t>
      </w:r>
      <w:r>
        <w:rPr>
          <w:rFonts w:ascii="Arial" w:hAnsi="Arial" w:cs="Arial"/>
        </w:rPr>
        <w:t>Coordenadoria de Fiscalização d</w:t>
      </w:r>
      <w:r w:rsidRPr="00F30D9B">
        <w:rPr>
          <w:rFonts w:ascii="Arial" w:hAnsi="Arial" w:cs="Arial"/>
        </w:rPr>
        <w:t xml:space="preserve">e Atos de Pessoal e à </w:t>
      </w:r>
      <w:r>
        <w:rPr>
          <w:rFonts w:ascii="Arial" w:hAnsi="Arial" w:cs="Arial"/>
        </w:rPr>
        <w:t xml:space="preserve">Coordenadoria de Fiscalização </w:t>
      </w:r>
      <w:r w:rsidRPr="00F30D9B">
        <w:rPr>
          <w:rFonts w:ascii="Arial" w:hAnsi="Arial" w:cs="Arial"/>
        </w:rPr>
        <w:t>Estadua</w:t>
      </w:r>
      <w:r>
        <w:rPr>
          <w:rFonts w:ascii="Arial" w:hAnsi="Arial" w:cs="Arial"/>
        </w:rPr>
        <w:t>l</w:t>
      </w:r>
      <w:r w:rsidRPr="00F30D9B">
        <w:rPr>
          <w:rFonts w:ascii="Arial" w:hAnsi="Arial" w:cs="Arial"/>
        </w:rPr>
        <w:t xml:space="preserve"> a determinação de apensamento de processos de admissão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pessoal, desde que tratem de complementações referentes ao mesmo concurso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público ou teste seletivo e que ambos os expedientes </w:t>
      </w:r>
      <w:proofErr w:type="gramStart"/>
      <w:r w:rsidRPr="00F30D9B">
        <w:rPr>
          <w:rFonts w:ascii="Arial" w:hAnsi="Arial" w:cs="Arial"/>
        </w:rPr>
        <w:t>encontrem-se</w:t>
      </w:r>
      <w:proofErr w:type="gramEnd"/>
      <w:r w:rsidRPr="00F30D9B">
        <w:rPr>
          <w:rFonts w:ascii="Arial" w:hAnsi="Arial" w:cs="Arial"/>
        </w:rPr>
        <w:t xml:space="preserve"> regularmente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distribuídos a este </w:t>
      </w:r>
      <w:r>
        <w:rPr>
          <w:rFonts w:ascii="Arial" w:hAnsi="Arial" w:cs="Arial"/>
        </w:rPr>
        <w:t>Auditor.</w:t>
      </w:r>
    </w:p>
    <w:p w:rsidR="0069315E" w:rsidRDefault="0069315E" w:rsidP="0069315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6º</w:t>
      </w:r>
      <w:r w:rsidRPr="00F30D9B">
        <w:rPr>
          <w:rFonts w:ascii="Arial" w:hAnsi="Arial" w:cs="Arial"/>
          <w:b/>
          <w:bCs/>
        </w:rPr>
        <w:t xml:space="preserve"> </w:t>
      </w:r>
      <w:r w:rsidRPr="00F30D9B">
        <w:rPr>
          <w:rFonts w:ascii="Arial" w:hAnsi="Arial" w:cs="Arial"/>
        </w:rPr>
        <w:t>Esta Instrução de Serviço entra em vigor na data de sua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publicação.</w:t>
      </w:r>
    </w:p>
    <w:p w:rsidR="0069315E" w:rsidRDefault="0069315E" w:rsidP="0069315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27 de outubro de 2016.</w:t>
      </w:r>
    </w:p>
    <w:p w:rsidR="0069315E" w:rsidRPr="008277D0" w:rsidRDefault="0069315E" w:rsidP="0069315E">
      <w:pPr>
        <w:spacing w:before="360"/>
        <w:ind w:left="425" w:firstLine="709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TIAGO ALVAREZ PEDROSO</w:t>
      </w:r>
    </w:p>
    <w:p w:rsidR="0069315E" w:rsidRPr="00096566" w:rsidRDefault="0069315E" w:rsidP="0069315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ind w:firstLine="1134"/>
        <w:rPr>
          <w:rFonts w:cs="Arial"/>
          <w:color w:val="000000"/>
          <w:sz w:val="24"/>
        </w:rPr>
      </w:pPr>
      <w:r w:rsidRPr="00096566">
        <w:rPr>
          <w:rFonts w:cs="Arial"/>
          <w:noProof/>
          <w:sz w:val="24"/>
        </w:rPr>
        <w:t>Auditor</w:t>
      </w:r>
    </w:p>
    <w:sectPr w:rsidR="0069315E" w:rsidRPr="00096566" w:rsidSect="00BC7729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70C" w:rsidRDefault="0017570C">
      <w:r>
        <w:separator/>
      </w:r>
    </w:p>
  </w:endnote>
  <w:endnote w:type="continuationSeparator" w:id="0">
    <w:p w:rsidR="0017570C" w:rsidRDefault="0017570C">
      <w:r>
        <w:continuationSeparator/>
      </w:r>
    </w:p>
  </w:endnote>
  <w:endnote w:type="continuationNotice" w:id="1">
    <w:p w:rsidR="0017570C" w:rsidRDefault="00175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Pr="00FA798E" w:rsidRDefault="0066249C" w:rsidP="00AA4452">
    <w:pPr>
      <w:pStyle w:val="Rodap"/>
      <w:framePr w:wrap="around" w:vAnchor="text" w:hAnchor="margin" w:xAlign="right" w:y="1"/>
      <w:rPr>
        <w:rStyle w:val="Nmerodepgina"/>
        <w:rFonts w:ascii="Arial" w:hAnsi="Arial" w:cs="Arial"/>
      </w:rPr>
    </w:pPr>
  </w:p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70C" w:rsidRDefault="0017570C">
      <w:r>
        <w:separator/>
      </w:r>
    </w:p>
  </w:footnote>
  <w:footnote w:type="continuationSeparator" w:id="0">
    <w:p w:rsidR="0017570C" w:rsidRDefault="0017570C">
      <w:r>
        <w:continuationSeparator/>
      </w:r>
    </w:p>
  </w:footnote>
  <w:footnote w:type="continuationNotice" w:id="1">
    <w:p w:rsidR="0017570C" w:rsidRDefault="0017570C"/>
  </w:footnote>
  <w:footnote w:id="2">
    <w:p w:rsidR="00FB3561" w:rsidRPr="00903F9E" w:rsidRDefault="00FB3561" w:rsidP="00FB3561">
      <w:pPr>
        <w:pStyle w:val="Textodenotaderodap"/>
        <w:rPr>
          <w:rFonts w:ascii="Arial" w:hAnsi="Arial" w:cs="Arial"/>
        </w:rPr>
      </w:pPr>
      <w:r w:rsidRPr="00FB3561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FB3561" w:rsidRPr="00903F9E" w:rsidRDefault="00FB3561" w:rsidP="00FB3561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FB3561">
          <w:rPr>
            <w:rStyle w:val="Hyperlink"/>
            <w:rFonts w:ascii="Arial" w:hAnsi="Arial" w:cs="Arial"/>
          </w:rPr>
          <w:t>Diário Eletrônico do Tribunal de Contas do Estado do Paraná, Curitiba, PR, n. 1473, 31 out. 2016, p. 95-96</w:t>
        </w:r>
      </w:hyperlink>
      <w:r w:rsidRPr="00FB3561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  <w:p w:rsidR="00FB3561" w:rsidRDefault="00FB356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15E" w:rsidRDefault="00CE3A83" w:rsidP="0069315E">
    <w:pPr>
      <w:tabs>
        <w:tab w:val="center" w:pos="4252"/>
        <w:tab w:val="right" w:pos="8504"/>
      </w:tabs>
      <w:spacing w:before="600" w:after="120" w:line="276" w:lineRule="auto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logo TC colorido - medio" style="position:absolute;left:0;text-align:left;margin-left:-.25pt;margin-top:16.35pt;width:47.7pt;height:56.1pt;z-index:251657728;visibility:visible">
          <v:imagedata r:id="rId1" o:title="logo TC colorido - medio"/>
          <w10:wrap type="square"/>
        </v:shape>
      </w:pict>
    </w:r>
    <w:r w:rsidR="0069315E">
      <w:rPr>
        <w:rFonts w:ascii="Arial" w:eastAsia="Calibri" w:hAnsi="Arial" w:cs="Arial"/>
        <w:b/>
        <w:sz w:val="30"/>
        <w:szCs w:val="30"/>
        <w:lang w:eastAsia="x-none"/>
      </w:rPr>
      <w:t>T</w:t>
    </w:r>
    <w:r w:rsidR="00FB1075" w:rsidRPr="00FB1075">
      <w:rPr>
        <w:rFonts w:ascii="Arial" w:eastAsia="Calibri" w:hAnsi="Arial" w:cs="Arial"/>
        <w:b/>
        <w:sz w:val="30"/>
        <w:szCs w:val="30"/>
        <w:lang w:val="x-none" w:eastAsia="x-none"/>
      </w:rPr>
      <w:t>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257BA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162"/>
    <w:rsid w:val="000F06EE"/>
    <w:rsid w:val="000F2716"/>
    <w:rsid w:val="001000B9"/>
    <w:rsid w:val="001075BD"/>
    <w:rsid w:val="0011369C"/>
    <w:rsid w:val="00123DE1"/>
    <w:rsid w:val="0012745F"/>
    <w:rsid w:val="001276BB"/>
    <w:rsid w:val="00142ADD"/>
    <w:rsid w:val="00146978"/>
    <w:rsid w:val="00147824"/>
    <w:rsid w:val="001543CD"/>
    <w:rsid w:val="00155EC7"/>
    <w:rsid w:val="00170D59"/>
    <w:rsid w:val="00171018"/>
    <w:rsid w:val="0017344D"/>
    <w:rsid w:val="0017570C"/>
    <w:rsid w:val="0018182C"/>
    <w:rsid w:val="001D07D2"/>
    <w:rsid w:val="001D0B09"/>
    <w:rsid w:val="001D17A0"/>
    <w:rsid w:val="001E2907"/>
    <w:rsid w:val="001F037A"/>
    <w:rsid w:val="001F297B"/>
    <w:rsid w:val="00252933"/>
    <w:rsid w:val="00283F4D"/>
    <w:rsid w:val="0029038F"/>
    <w:rsid w:val="00291D10"/>
    <w:rsid w:val="002A15EE"/>
    <w:rsid w:val="002C14B0"/>
    <w:rsid w:val="002E3E39"/>
    <w:rsid w:val="00300126"/>
    <w:rsid w:val="00352ECA"/>
    <w:rsid w:val="003705BD"/>
    <w:rsid w:val="00374244"/>
    <w:rsid w:val="00375A75"/>
    <w:rsid w:val="003939F6"/>
    <w:rsid w:val="003B7AD5"/>
    <w:rsid w:val="003C03F8"/>
    <w:rsid w:val="003C2825"/>
    <w:rsid w:val="003E61BE"/>
    <w:rsid w:val="004023CC"/>
    <w:rsid w:val="00423C8F"/>
    <w:rsid w:val="004416A7"/>
    <w:rsid w:val="004505CE"/>
    <w:rsid w:val="004604F8"/>
    <w:rsid w:val="00460C5E"/>
    <w:rsid w:val="004A5D73"/>
    <w:rsid w:val="004B5683"/>
    <w:rsid w:val="004C7958"/>
    <w:rsid w:val="004D0BD2"/>
    <w:rsid w:val="00506D3A"/>
    <w:rsid w:val="00550C03"/>
    <w:rsid w:val="00551F08"/>
    <w:rsid w:val="005664D5"/>
    <w:rsid w:val="00570CE4"/>
    <w:rsid w:val="005955A5"/>
    <w:rsid w:val="005B20C9"/>
    <w:rsid w:val="005B2F70"/>
    <w:rsid w:val="005D42B6"/>
    <w:rsid w:val="005E595E"/>
    <w:rsid w:val="005F7724"/>
    <w:rsid w:val="006509DA"/>
    <w:rsid w:val="0066249C"/>
    <w:rsid w:val="006817D5"/>
    <w:rsid w:val="006826EE"/>
    <w:rsid w:val="0069315E"/>
    <w:rsid w:val="0069565A"/>
    <w:rsid w:val="006A4ED3"/>
    <w:rsid w:val="006B3F7F"/>
    <w:rsid w:val="006C2EAA"/>
    <w:rsid w:val="006F115A"/>
    <w:rsid w:val="00701946"/>
    <w:rsid w:val="007362B6"/>
    <w:rsid w:val="00754614"/>
    <w:rsid w:val="00773F6B"/>
    <w:rsid w:val="00787410"/>
    <w:rsid w:val="00790839"/>
    <w:rsid w:val="007B541D"/>
    <w:rsid w:val="007B6480"/>
    <w:rsid w:val="007F42E2"/>
    <w:rsid w:val="007F68E0"/>
    <w:rsid w:val="007F75CF"/>
    <w:rsid w:val="0080632A"/>
    <w:rsid w:val="008277D0"/>
    <w:rsid w:val="00847FD0"/>
    <w:rsid w:val="00871987"/>
    <w:rsid w:val="008719F5"/>
    <w:rsid w:val="00881F22"/>
    <w:rsid w:val="008A01F0"/>
    <w:rsid w:val="008C4F25"/>
    <w:rsid w:val="008D5003"/>
    <w:rsid w:val="008E66F3"/>
    <w:rsid w:val="009033C7"/>
    <w:rsid w:val="00906E4D"/>
    <w:rsid w:val="00916D5F"/>
    <w:rsid w:val="00940DA6"/>
    <w:rsid w:val="00947334"/>
    <w:rsid w:val="009A1923"/>
    <w:rsid w:val="009B718E"/>
    <w:rsid w:val="009C2645"/>
    <w:rsid w:val="009E44B6"/>
    <w:rsid w:val="00A20C4D"/>
    <w:rsid w:val="00A87661"/>
    <w:rsid w:val="00A953B5"/>
    <w:rsid w:val="00A96B6F"/>
    <w:rsid w:val="00AA4452"/>
    <w:rsid w:val="00AB3FEC"/>
    <w:rsid w:val="00AC706A"/>
    <w:rsid w:val="00AD17AE"/>
    <w:rsid w:val="00AD2695"/>
    <w:rsid w:val="00AF7189"/>
    <w:rsid w:val="00B01CEC"/>
    <w:rsid w:val="00B122F7"/>
    <w:rsid w:val="00B22DDC"/>
    <w:rsid w:val="00B33609"/>
    <w:rsid w:val="00B47915"/>
    <w:rsid w:val="00B52B88"/>
    <w:rsid w:val="00B71E34"/>
    <w:rsid w:val="00B833E1"/>
    <w:rsid w:val="00B96EE0"/>
    <w:rsid w:val="00BC7729"/>
    <w:rsid w:val="00C17F9B"/>
    <w:rsid w:val="00C407CD"/>
    <w:rsid w:val="00C474AE"/>
    <w:rsid w:val="00C503FE"/>
    <w:rsid w:val="00C65A5E"/>
    <w:rsid w:val="00C84F53"/>
    <w:rsid w:val="00C87498"/>
    <w:rsid w:val="00C9289D"/>
    <w:rsid w:val="00CA2E43"/>
    <w:rsid w:val="00CD0DAD"/>
    <w:rsid w:val="00CE0A9A"/>
    <w:rsid w:val="00CE3A83"/>
    <w:rsid w:val="00D361B6"/>
    <w:rsid w:val="00D37E59"/>
    <w:rsid w:val="00D44533"/>
    <w:rsid w:val="00D50162"/>
    <w:rsid w:val="00D51F81"/>
    <w:rsid w:val="00D64123"/>
    <w:rsid w:val="00D73867"/>
    <w:rsid w:val="00D80342"/>
    <w:rsid w:val="00D86ADD"/>
    <w:rsid w:val="00DA5E5A"/>
    <w:rsid w:val="00DE137A"/>
    <w:rsid w:val="00DE449D"/>
    <w:rsid w:val="00DF1050"/>
    <w:rsid w:val="00E0734C"/>
    <w:rsid w:val="00E43C43"/>
    <w:rsid w:val="00E74AD2"/>
    <w:rsid w:val="00E95367"/>
    <w:rsid w:val="00EB36DC"/>
    <w:rsid w:val="00EB38B6"/>
    <w:rsid w:val="00EC2AA7"/>
    <w:rsid w:val="00EC4961"/>
    <w:rsid w:val="00EF5FF1"/>
    <w:rsid w:val="00F30D9B"/>
    <w:rsid w:val="00F40F61"/>
    <w:rsid w:val="00F50259"/>
    <w:rsid w:val="00F73D2F"/>
    <w:rsid w:val="00FA17E3"/>
    <w:rsid w:val="00FA798E"/>
    <w:rsid w:val="00FB1075"/>
    <w:rsid w:val="00FB29A0"/>
    <w:rsid w:val="00FB3561"/>
    <w:rsid w:val="00FB6EF1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03C7DA8"/>
  <w15:chartTrackingRefBased/>
  <w15:docId w15:val="{E69112F0-3F62-4FAA-BB9E-62FA39C9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FB10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B1075"/>
  </w:style>
  <w:style w:type="character" w:styleId="Refdenotaderodap">
    <w:name w:val="footnote reference"/>
    <w:rsid w:val="00FB1075"/>
    <w:rPr>
      <w:vertAlign w:val="superscript"/>
    </w:rPr>
  </w:style>
  <w:style w:type="character" w:styleId="Hyperlink">
    <w:name w:val="Hyperlink"/>
    <w:uiPriority w:val="99"/>
    <w:unhideWhenUsed/>
    <w:rsid w:val="00FB356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3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6/10/pdf/0030433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D53A3-29FC-42AA-90EA-866093D5B10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0AF51EB-C1B4-4E3A-80AB-50C07379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dcterms:created xsi:type="dcterms:W3CDTF">2019-05-15T16:51:00Z</dcterms:created>
  <dcterms:modified xsi:type="dcterms:W3CDTF">2019-05-15T16:52:00Z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