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B71" w:rsidRDefault="00980B71" w:rsidP="00D11725">
      <w:pPr>
        <w:autoSpaceDE w:val="0"/>
        <w:autoSpaceDN w:val="0"/>
        <w:adjustRightInd w:val="0"/>
        <w:spacing w:after="0" w:line="240" w:lineRule="auto"/>
        <w:jc w:val="center"/>
        <w:rPr>
          <w:rFonts w:ascii="Arial" w:hAnsi="Arial" w:cs="Arial"/>
          <w:b/>
          <w:bCs/>
          <w:sz w:val="28"/>
          <w:szCs w:val="28"/>
        </w:rPr>
      </w:pPr>
    </w:p>
    <w:p w:rsidR="00D11725" w:rsidRPr="00D11725" w:rsidRDefault="00D11725" w:rsidP="00BC1674">
      <w:pPr>
        <w:autoSpaceDE w:val="0"/>
        <w:autoSpaceDN w:val="0"/>
        <w:adjustRightInd w:val="0"/>
        <w:spacing w:after="0" w:line="240" w:lineRule="auto"/>
        <w:jc w:val="center"/>
        <w:rPr>
          <w:rFonts w:ascii="Arial" w:hAnsi="Arial" w:cs="Arial"/>
          <w:b/>
          <w:bCs/>
          <w:sz w:val="28"/>
          <w:szCs w:val="28"/>
        </w:rPr>
      </w:pPr>
      <w:r w:rsidRPr="00D11725">
        <w:rPr>
          <w:rFonts w:ascii="Arial" w:hAnsi="Arial" w:cs="Arial"/>
          <w:b/>
          <w:bCs/>
          <w:sz w:val="28"/>
          <w:szCs w:val="28"/>
        </w:rPr>
        <w:t>INSTRUÇÃO DE SERVIÇO</w:t>
      </w:r>
      <w:r>
        <w:rPr>
          <w:rFonts w:ascii="Arial" w:hAnsi="Arial" w:cs="Arial"/>
          <w:b/>
          <w:bCs/>
          <w:sz w:val="28"/>
          <w:szCs w:val="28"/>
        </w:rPr>
        <w:t xml:space="preserve"> Nº</w:t>
      </w:r>
      <w:r w:rsidR="00C3757E">
        <w:rPr>
          <w:rFonts w:ascii="Arial" w:hAnsi="Arial" w:cs="Arial"/>
          <w:b/>
          <w:bCs/>
          <w:sz w:val="28"/>
          <w:szCs w:val="28"/>
        </w:rPr>
        <w:t xml:space="preserve"> 63/2014</w:t>
      </w:r>
      <w:r w:rsidR="00097C77" w:rsidRPr="00097C77">
        <w:rPr>
          <w:rStyle w:val="Refdenotaderodap"/>
          <w:rFonts w:ascii="Arial" w:hAnsi="Arial" w:cs="Arial"/>
          <w:b/>
          <w:bCs/>
          <w:sz w:val="28"/>
          <w:szCs w:val="28"/>
        </w:rPr>
        <w:footnoteReference w:customMarkFollows="1" w:id="1"/>
        <w:sym w:font="Symbol" w:char="F02A"/>
      </w:r>
    </w:p>
    <w:p w:rsidR="00BC1674" w:rsidRPr="00EC209E" w:rsidRDefault="00BC1674" w:rsidP="00BC1674">
      <w:pPr>
        <w:autoSpaceDE w:val="0"/>
        <w:autoSpaceDN w:val="0"/>
        <w:adjustRightInd w:val="0"/>
        <w:spacing w:before="240" w:after="0" w:line="240" w:lineRule="auto"/>
        <w:ind w:left="4253"/>
        <w:jc w:val="both"/>
        <w:rPr>
          <w:rFonts w:ascii="Arial" w:hAnsi="Arial" w:cs="Arial"/>
          <w:i/>
          <w:iCs/>
          <w:sz w:val="16"/>
          <w:szCs w:val="16"/>
        </w:rPr>
      </w:pPr>
    </w:p>
    <w:p w:rsidR="00D11725" w:rsidRDefault="00D11725" w:rsidP="000807FB">
      <w:pPr>
        <w:autoSpaceDE w:val="0"/>
        <w:autoSpaceDN w:val="0"/>
        <w:adjustRightInd w:val="0"/>
        <w:spacing w:before="200" w:after="0" w:line="240" w:lineRule="auto"/>
        <w:ind w:left="3969"/>
        <w:jc w:val="both"/>
        <w:rPr>
          <w:rFonts w:ascii="Arial" w:hAnsi="Arial" w:cs="Arial"/>
          <w:i/>
          <w:iCs/>
          <w:sz w:val="24"/>
          <w:szCs w:val="24"/>
        </w:rPr>
      </w:pPr>
      <w:r w:rsidRPr="00D11725">
        <w:rPr>
          <w:rFonts w:ascii="Arial" w:hAnsi="Arial" w:cs="Arial"/>
          <w:i/>
          <w:iCs/>
          <w:sz w:val="24"/>
          <w:szCs w:val="24"/>
        </w:rPr>
        <w:t>Dispõe sobre a delegação às unidades</w:t>
      </w:r>
      <w:r>
        <w:rPr>
          <w:rFonts w:ascii="Arial" w:hAnsi="Arial" w:cs="Arial"/>
          <w:i/>
          <w:iCs/>
          <w:sz w:val="24"/>
          <w:szCs w:val="24"/>
        </w:rPr>
        <w:t xml:space="preserve"> </w:t>
      </w:r>
      <w:r w:rsidRPr="00D11725">
        <w:rPr>
          <w:rFonts w:ascii="Arial" w:hAnsi="Arial" w:cs="Arial"/>
          <w:i/>
          <w:iCs/>
          <w:sz w:val="24"/>
          <w:szCs w:val="24"/>
        </w:rPr>
        <w:t>administra</w:t>
      </w:r>
      <w:r>
        <w:rPr>
          <w:rFonts w:ascii="Arial" w:hAnsi="Arial" w:cs="Arial"/>
          <w:i/>
          <w:iCs/>
          <w:sz w:val="24"/>
          <w:szCs w:val="24"/>
        </w:rPr>
        <w:t xml:space="preserve">tivas dos despachos iniciais de </w:t>
      </w:r>
      <w:r w:rsidRPr="00D11725">
        <w:rPr>
          <w:rFonts w:ascii="Arial" w:hAnsi="Arial" w:cs="Arial"/>
          <w:i/>
          <w:iCs/>
          <w:sz w:val="24"/>
          <w:szCs w:val="24"/>
        </w:rPr>
        <w:t>citação ou intimação para o exercício do</w:t>
      </w:r>
      <w:r>
        <w:rPr>
          <w:rFonts w:ascii="Arial" w:hAnsi="Arial" w:cs="Arial"/>
          <w:i/>
          <w:iCs/>
          <w:sz w:val="24"/>
          <w:szCs w:val="24"/>
        </w:rPr>
        <w:t xml:space="preserve"> </w:t>
      </w:r>
      <w:r w:rsidRPr="00D11725">
        <w:rPr>
          <w:rFonts w:ascii="Arial" w:hAnsi="Arial" w:cs="Arial"/>
          <w:i/>
          <w:iCs/>
          <w:sz w:val="24"/>
          <w:szCs w:val="24"/>
        </w:rPr>
        <w:t>contraditório</w:t>
      </w:r>
      <w:r>
        <w:rPr>
          <w:rFonts w:ascii="Arial" w:hAnsi="Arial" w:cs="Arial"/>
          <w:i/>
          <w:iCs/>
          <w:sz w:val="24"/>
          <w:szCs w:val="24"/>
        </w:rPr>
        <w:t xml:space="preserve"> e realização de diligências, e </w:t>
      </w:r>
      <w:r w:rsidRPr="00D11725">
        <w:rPr>
          <w:rFonts w:ascii="Arial" w:hAnsi="Arial" w:cs="Arial"/>
          <w:i/>
          <w:iCs/>
          <w:sz w:val="24"/>
          <w:szCs w:val="24"/>
        </w:rPr>
        <w:t>dá outras providências.</w:t>
      </w:r>
    </w:p>
    <w:p w:rsidR="00D11725" w:rsidRDefault="00D11725" w:rsidP="00D11725">
      <w:pPr>
        <w:autoSpaceDE w:val="0"/>
        <w:autoSpaceDN w:val="0"/>
        <w:adjustRightInd w:val="0"/>
        <w:spacing w:after="0" w:line="240" w:lineRule="auto"/>
        <w:ind w:left="3828" w:hanging="3828"/>
        <w:rPr>
          <w:rFonts w:ascii="Arial" w:hAnsi="Arial" w:cs="Arial"/>
          <w:i/>
          <w:iCs/>
          <w:sz w:val="24"/>
          <w:szCs w:val="24"/>
        </w:rPr>
      </w:pPr>
    </w:p>
    <w:p w:rsidR="00BC1674" w:rsidRPr="00D11725" w:rsidRDefault="00BC1674" w:rsidP="00D11725">
      <w:pPr>
        <w:autoSpaceDE w:val="0"/>
        <w:autoSpaceDN w:val="0"/>
        <w:adjustRightInd w:val="0"/>
        <w:spacing w:after="0" w:line="240" w:lineRule="auto"/>
        <w:ind w:left="3828" w:hanging="3828"/>
        <w:rPr>
          <w:rFonts w:ascii="Arial" w:hAnsi="Arial" w:cs="Arial"/>
          <w:i/>
          <w:iCs/>
          <w:sz w:val="24"/>
          <w:szCs w:val="24"/>
        </w:rPr>
      </w:pPr>
    </w:p>
    <w:p w:rsidR="00D11725" w:rsidRPr="00D11725" w:rsidRDefault="00D11725" w:rsidP="006A325F">
      <w:pPr>
        <w:autoSpaceDE w:val="0"/>
        <w:autoSpaceDN w:val="0"/>
        <w:adjustRightInd w:val="0"/>
        <w:spacing w:before="120" w:after="120" w:line="240" w:lineRule="auto"/>
        <w:ind w:firstLine="1134"/>
        <w:jc w:val="both"/>
        <w:rPr>
          <w:rFonts w:ascii="Arial" w:hAnsi="Arial" w:cs="Arial"/>
          <w:sz w:val="24"/>
          <w:szCs w:val="24"/>
        </w:rPr>
      </w:pPr>
      <w:r w:rsidRPr="00D11725">
        <w:rPr>
          <w:rFonts w:ascii="Arial" w:hAnsi="Arial" w:cs="Arial"/>
          <w:sz w:val="24"/>
          <w:szCs w:val="24"/>
        </w:rPr>
        <w:t xml:space="preserve">O AUDITOR </w:t>
      </w:r>
      <w:r w:rsidRPr="00BC1674">
        <w:rPr>
          <w:rFonts w:ascii="Arial" w:hAnsi="Arial" w:cs="Arial"/>
          <w:b/>
          <w:sz w:val="24"/>
          <w:szCs w:val="24"/>
        </w:rPr>
        <w:t>IVENS ZSCHOERPER LINHARES</w:t>
      </w:r>
      <w:r w:rsidRPr="00D11725">
        <w:rPr>
          <w:rFonts w:ascii="Arial" w:hAnsi="Arial" w:cs="Arial"/>
          <w:sz w:val="24"/>
          <w:szCs w:val="24"/>
        </w:rPr>
        <w:t xml:space="preserve">, no </w:t>
      </w:r>
      <w:r>
        <w:rPr>
          <w:rFonts w:ascii="Arial" w:hAnsi="Arial" w:cs="Arial"/>
          <w:sz w:val="24"/>
          <w:szCs w:val="24"/>
        </w:rPr>
        <w:t xml:space="preserve">uso das atribuições </w:t>
      </w:r>
      <w:r w:rsidRPr="00D11725">
        <w:rPr>
          <w:rFonts w:ascii="Arial" w:hAnsi="Arial" w:cs="Arial"/>
          <w:sz w:val="24"/>
          <w:szCs w:val="24"/>
        </w:rPr>
        <w:t>contidas no art. 52-A, §§ 3º ao 6º, c/c o art. 197, do Regimento Interno do Tribunal,</w:t>
      </w:r>
    </w:p>
    <w:p w:rsidR="00D11725" w:rsidRPr="00D11725" w:rsidRDefault="00D11725" w:rsidP="00D11725">
      <w:pPr>
        <w:autoSpaceDE w:val="0"/>
        <w:autoSpaceDN w:val="0"/>
        <w:adjustRightInd w:val="0"/>
        <w:spacing w:after="0" w:line="240" w:lineRule="auto"/>
        <w:rPr>
          <w:rFonts w:ascii="Arial" w:hAnsi="Arial" w:cs="Arial"/>
          <w:sz w:val="24"/>
          <w:szCs w:val="24"/>
        </w:rPr>
      </w:pPr>
    </w:p>
    <w:p w:rsidR="00D11725" w:rsidRPr="00D11725" w:rsidRDefault="00D11725" w:rsidP="00D11725">
      <w:pPr>
        <w:autoSpaceDE w:val="0"/>
        <w:autoSpaceDN w:val="0"/>
        <w:adjustRightInd w:val="0"/>
        <w:spacing w:after="0" w:line="240" w:lineRule="auto"/>
        <w:ind w:firstLine="1134"/>
        <w:rPr>
          <w:rFonts w:ascii="Arial" w:hAnsi="Arial" w:cs="Arial"/>
          <w:b/>
          <w:bCs/>
          <w:sz w:val="24"/>
          <w:szCs w:val="24"/>
        </w:rPr>
      </w:pPr>
      <w:r w:rsidRPr="00D11725">
        <w:rPr>
          <w:rFonts w:ascii="Arial" w:hAnsi="Arial" w:cs="Arial"/>
          <w:b/>
          <w:bCs/>
          <w:sz w:val="24"/>
          <w:szCs w:val="24"/>
        </w:rPr>
        <w:t>RESOLVE</w:t>
      </w:r>
    </w:p>
    <w:p w:rsidR="00D11725" w:rsidRPr="00D11725" w:rsidRDefault="00D11725" w:rsidP="00D11725">
      <w:pPr>
        <w:autoSpaceDE w:val="0"/>
        <w:autoSpaceDN w:val="0"/>
        <w:adjustRightInd w:val="0"/>
        <w:spacing w:after="0" w:line="240" w:lineRule="auto"/>
        <w:ind w:firstLine="1134"/>
        <w:rPr>
          <w:rFonts w:ascii="Arial" w:hAnsi="Arial" w:cs="Arial"/>
          <w:b/>
          <w:bCs/>
          <w:sz w:val="24"/>
          <w:szCs w:val="24"/>
        </w:rPr>
      </w:pP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b/>
          <w:bCs/>
          <w:sz w:val="24"/>
          <w:szCs w:val="24"/>
        </w:rPr>
        <w:t xml:space="preserve">Art. 1º </w:t>
      </w:r>
      <w:r w:rsidRPr="00D11725">
        <w:rPr>
          <w:rFonts w:ascii="Arial" w:hAnsi="Arial" w:cs="Arial"/>
          <w:sz w:val="24"/>
          <w:szCs w:val="24"/>
        </w:rPr>
        <w:t>Na fase inicial de instrução dos processos ficam delegados às unidades administrativas os despachos de citação ou intimação dos sujeitos dos processos, para o exercício do primeiro contraditório e realização de diligências para juntada de documentos obrigatórios, na forma do disposto no § 3º do art. 52-A, do Regimento Interno.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sz w:val="24"/>
          <w:szCs w:val="24"/>
        </w:rPr>
        <w:t xml:space="preserve">§ 1º Os despachos citados no </w:t>
      </w:r>
      <w:r w:rsidRPr="00D11725">
        <w:rPr>
          <w:rFonts w:ascii="Arial" w:hAnsi="Arial" w:cs="Arial"/>
          <w:i/>
          <w:iCs/>
          <w:sz w:val="24"/>
          <w:szCs w:val="24"/>
        </w:rPr>
        <w:t xml:space="preserve">caput </w:t>
      </w:r>
      <w:r w:rsidRPr="00D11725">
        <w:rPr>
          <w:rFonts w:ascii="Arial" w:hAnsi="Arial" w:cs="Arial"/>
          <w:sz w:val="24"/>
          <w:szCs w:val="24"/>
        </w:rPr>
        <w:t>serão encaminhados para publicação no Diário Eletrônico do Tribunal, seguindo os autos imediatamente à Diretoria de Protocolo para comunicação aos sujeitos dos processos, nos termos regimentais.</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sz w:val="24"/>
          <w:szCs w:val="24"/>
        </w:rPr>
        <w:t>§ 2º Realizada a comunicação processual, havendo resposta protocolada no prazo ou o decurso do prazo sem envio de resposta, os autos serão encaminhados à unidade competente para inst</w:t>
      </w:r>
      <w:r>
        <w:rPr>
          <w:rFonts w:ascii="Arial" w:hAnsi="Arial" w:cs="Arial"/>
          <w:sz w:val="24"/>
          <w:szCs w:val="24"/>
        </w:rPr>
        <w:t xml:space="preserve">rução conclusiva, nos termos do </w:t>
      </w:r>
      <w:r w:rsidRPr="00D11725">
        <w:rPr>
          <w:rFonts w:ascii="Arial" w:hAnsi="Arial" w:cs="Arial"/>
          <w:sz w:val="24"/>
          <w:szCs w:val="24"/>
        </w:rPr>
        <w:t>parágrafo único do art. 353 do Regimento Interno.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sz w:val="24"/>
          <w:szCs w:val="24"/>
        </w:rPr>
        <w:t>§ 3º Protocolada a resposta extemporaneamente, os autos serão encaminhados ao Gabinete deste Auditor para juízo de admissibilidade, conforme o § 1º, do art. 357, do Regimento Interno.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sz w:val="24"/>
          <w:szCs w:val="24"/>
        </w:rPr>
        <w:t>§ 4º Restando infrutífera a citação ou a intimação por meio eletrônico ou por via postal, os autos serão encaminhados</w:t>
      </w:r>
      <w:r w:rsidR="006A325F">
        <w:rPr>
          <w:rFonts w:ascii="Arial" w:hAnsi="Arial" w:cs="Arial"/>
          <w:sz w:val="24"/>
          <w:szCs w:val="24"/>
        </w:rPr>
        <w:t xml:space="preserve"> ao Gabinete deste Auditor para </w:t>
      </w:r>
      <w:r w:rsidRPr="00D11725">
        <w:rPr>
          <w:rFonts w:ascii="Arial" w:hAnsi="Arial" w:cs="Arial"/>
          <w:sz w:val="24"/>
          <w:szCs w:val="24"/>
        </w:rPr>
        <w:t>apreciação.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b/>
          <w:bCs/>
          <w:sz w:val="24"/>
          <w:szCs w:val="24"/>
        </w:rPr>
        <w:t xml:space="preserve">Art. 2º </w:t>
      </w:r>
      <w:r w:rsidRPr="00D11725">
        <w:rPr>
          <w:rFonts w:ascii="Arial" w:hAnsi="Arial" w:cs="Arial"/>
          <w:sz w:val="24"/>
          <w:szCs w:val="24"/>
        </w:rPr>
        <w:t xml:space="preserve">Fica também delegada às unidades administrativas a apreciação dos pedidos de prorrogação de prazo para o exercício do primeiro </w:t>
      </w:r>
      <w:r w:rsidRPr="00D11725">
        <w:rPr>
          <w:rFonts w:ascii="Arial" w:hAnsi="Arial" w:cs="Arial"/>
          <w:sz w:val="24"/>
          <w:szCs w:val="24"/>
        </w:rPr>
        <w:lastRenderedPageBreak/>
        <w:t>contraditório e realização de diligências, desde que observadas as condições previstas no parágrafo único do art. 389, do Regimento Interno.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sz w:val="24"/>
          <w:szCs w:val="24"/>
        </w:rPr>
        <w:t>Parágrafo único. Os pedidos de prorrogação de prazo que não atenderem às condições do parágrafo único do art. 389, do Regimento Interno, serão encaminhados ao Gabinete deste Auditor para apreciação, conforme o § 6º, do art. 52-A, do Regimento Interno.</w:t>
      </w:r>
    </w:p>
    <w:p w:rsidR="00D11725" w:rsidRPr="00D11725" w:rsidRDefault="00D11725" w:rsidP="006A325F">
      <w:pPr>
        <w:autoSpaceDE w:val="0"/>
        <w:autoSpaceDN w:val="0"/>
        <w:adjustRightInd w:val="0"/>
        <w:spacing w:before="120" w:after="0" w:line="240" w:lineRule="auto"/>
        <w:ind w:firstLine="1134"/>
        <w:jc w:val="both"/>
        <w:rPr>
          <w:rFonts w:ascii="Arial" w:hAnsi="Arial" w:cs="Arial"/>
          <w:sz w:val="24"/>
          <w:szCs w:val="24"/>
        </w:rPr>
      </w:pPr>
      <w:r w:rsidRPr="00D11725">
        <w:rPr>
          <w:rFonts w:ascii="Arial" w:hAnsi="Arial" w:cs="Arial"/>
          <w:b/>
          <w:bCs/>
          <w:sz w:val="24"/>
          <w:szCs w:val="24"/>
        </w:rPr>
        <w:t xml:space="preserve">Art. 3º </w:t>
      </w:r>
      <w:r w:rsidRPr="00D11725">
        <w:rPr>
          <w:rFonts w:ascii="Arial" w:hAnsi="Arial" w:cs="Arial"/>
          <w:sz w:val="24"/>
          <w:szCs w:val="24"/>
        </w:rPr>
        <w:t>Esta Instrução de Serviço entra em vigor na data de sua publicação.</w:t>
      </w:r>
    </w:p>
    <w:p w:rsidR="000311FC" w:rsidRDefault="000311FC" w:rsidP="0033557D">
      <w:pPr>
        <w:autoSpaceDE w:val="0"/>
        <w:autoSpaceDN w:val="0"/>
        <w:adjustRightInd w:val="0"/>
        <w:spacing w:after="0" w:line="240" w:lineRule="auto"/>
        <w:rPr>
          <w:rFonts w:ascii="Arial" w:hAnsi="Arial" w:cs="Arial"/>
          <w:sz w:val="24"/>
          <w:szCs w:val="24"/>
        </w:rPr>
      </w:pPr>
    </w:p>
    <w:p w:rsidR="00A875EE" w:rsidRDefault="00A875EE" w:rsidP="00D11725">
      <w:pPr>
        <w:autoSpaceDE w:val="0"/>
        <w:autoSpaceDN w:val="0"/>
        <w:adjustRightInd w:val="0"/>
        <w:spacing w:after="0" w:line="240" w:lineRule="auto"/>
        <w:jc w:val="center"/>
        <w:rPr>
          <w:rFonts w:ascii="Arial" w:hAnsi="Arial" w:cs="Arial"/>
          <w:sz w:val="24"/>
          <w:szCs w:val="24"/>
        </w:rPr>
      </w:pPr>
    </w:p>
    <w:p w:rsidR="00D11725" w:rsidRDefault="00D11725" w:rsidP="00D11725">
      <w:pPr>
        <w:autoSpaceDE w:val="0"/>
        <w:autoSpaceDN w:val="0"/>
        <w:adjustRightInd w:val="0"/>
        <w:spacing w:after="0" w:line="240" w:lineRule="auto"/>
        <w:jc w:val="center"/>
        <w:rPr>
          <w:rFonts w:ascii="Arial" w:hAnsi="Arial" w:cs="Arial"/>
          <w:sz w:val="24"/>
          <w:szCs w:val="24"/>
        </w:rPr>
      </w:pPr>
      <w:r w:rsidRPr="00D11725">
        <w:rPr>
          <w:rFonts w:ascii="Arial" w:hAnsi="Arial" w:cs="Arial"/>
          <w:sz w:val="24"/>
          <w:szCs w:val="24"/>
        </w:rPr>
        <w:t>Curitiba,</w:t>
      </w:r>
      <w:r>
        <w:rPr>
          <w:rFonts w:ascii="Arial" w:hAnsi="Arial" w:cs="Arial"/>
          <w:sz w:val="24"/>
          <w:szCs w:val="24"/>
        </w:rPr>
        <w:t xml:space="preserve"> </w:t>
      </w:r>
      <w:r w:rsidRPr="00D11725">
        <w:rPr>
          <w:rFonts w:ascii="Arial" w:hAnsi="Arial" w:cs="Arial"/>
          <w:sz w:val="24"/>
          <w:szCs w:val="24"/>
        </w:rPr>
        <w:t>7 de janeiro de 2014.</w:t>
      </w:r>
    </w:p>
    <w:p w:rsidR="00D11725" w:rsidRDefault="00D11725" w:rsidP="00D11725">
      <w:pPr>
        <w:autoSpaceDE w:val="0"/>
        <w:autoSpaceDN w:val="0"/>
        <w:adjustRightInd w:val="0"/>
        <w:spacing w:after="0" w:line="240" w:lineRule="auto"/>
        <w:jc w:val="both"/>
        <w:rPr>
          <w:rFonts w:ascii="Arial" w:hAnsi="Arial" w:cs="Arial"/>
          <w:sz w:val="24"/>
          <w:szCs w:val="24"/>
        </w:rPr>
      </w:pPr>
    </w:p>
    <w:p w:rsidR="000311FC" w:rsidRDefault="000311FC" w:rsidP="00D11725">
      <w:pPr>
        <w:autoSpaceDE w:val="0"/>
        <w:autoSpaceDN w:val="0"/>
        <w:adjustRightInd w:val="0"/>
        <w:spacing w:after="0" w:line="240" w:lineRule="auto"/>
        <w:jc w:val="both"/>
        <w:rPr>
          <w:rFonts w:ascii="Arial" w:hAnsi="Arial" w:cs="Arial"/>
          <w:sz w:val="24"/>
          <w:szCs w:val="24"/>
        </w:rPr>
      </w:pPr>
    </w:p>
    <w:p w:rsidR="00BC1674" w:rsidRPr="00D11725" w:rsidRDefault="00BC1674" w:rsidP="00D11725">
      <w:pPr>
        <w:autoSpaceDE w:val="0"/>
        <w:autoSpaceDN w:val="0"/>
        <w:adjustRightInd w:val="0"/>
        <w:spacing w:after="0" w:line="240" w:lineRule="auto"/>
        <w:jc w:val="both"/>
        <w:rPr>
          <w:rFonts w:ascii="Arial" w:hAnsi="Arial" w:cs="Arial"/>
          <w:sz w:val="24"/>
          <w:szCs w:val="24"/>
        </w:rPr>
      </w:pPr>
    </w:p>
    <w:p w:rsidR="00FE1C7E" w:rsidRPr="00D11725" w:rsidRDefault="00D11725" w:rsidP="00D11725">
      <w:pPr>
        <w:spacing w:after="0" w:line="240" w:lineRule="auto"/>
        <w:jc w:val="center"/>
        <w:rPr>
          <w:rFonts w:ascii="Arial" w:hAnsi="Arial" w:cs="Arial"/>
          <w:b/>
          <w:sz w:val="24"/>
          <w:szCs w:val="24"/>
        </w:rPr>
      </w:pPr>
      <w:r w:rsidRPr="00D11725">
        <w:rPr>
          <w:rFonts w:ascii="Arial" w:hAnsi="Arial" w:cs="Arial"/>
          <w:b/>
          <w:sz w:val="24"/>
          <w:szCs w:val="24"/>
        </w:rPr>
        <w:t>IVENS ZSCHOERPER LINHARES</w:t>
      </w:r>
    </w:p>
    <w:p w:rsidR="00D11725" w:rsidRPr="00D11725" w:rsidRDefault="00D11725" w:rsidP="00D11725">
      <w:pPr>
        <w:spacing w:after="0" w:line="240" w:lineRule="auto"/>
        <w:jc w:val="center"/>
        <w:rPr>
          <w:rFonts w:ascii="Arial" w:hAnsi="Arial" w:cs="Arial"/>
          <w:sz w:val="24"/>
          <w:szCs w:val="24"/>
        </w:rPr>
      </w:pPr>
      <w:r w:rsidRPr="00D11725">
        <w:rPr>
          <w:rFonts w:ascii="Arial" w:hAnsi="Arial" w:cs="Arial"/>
          <w:sz w:val="24"/>
          <w:szCs w:val="24"/>
        </w:rPr>
        <w:t>Auditor</w:t>
      </w:r>
    </w:p>
    <w:sectPr w:rsidR="00D11725" w:rsidRPr="00D1172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802" w:rsidRDefault="00F25802" w:rsidP="00D11725">
      <w:pPr>
        <w:spacing w:after="0" w:line="240" w:lineRule="auto"/>
      </w:pPr>
      <w:r>
        <w:separator/>
      </w:r>
    </w:p>
  </w:endnote>
  <w:endnote w:type="continuationSeparator" w:id="0">
    <w:p w:rsidR="00F25802" w:rsidRDefault="00F25802" w:rsidP="00D1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802" w:rsidRDefault="00F25802" w:rsidP="00D11725">
      <w:pPr>
        <w:spacing w:after="0" w:line="240" w:lineRule="auto"/>
      </w:pPr>
      <w:r>
        <w:separator/>
      </w:r>
    </w:p>
  </w:footnote>
  <w:footnote w:type="continuationSeparator" w:id="0">
    <w:p w:rsidR="00F25802" w:rsidRDefault="00F25802" w:rsidP="00D11725">
      <w:pPr>
        <w:spacing w:after="0" w:line="240" w:lineRule="auto"/>
      </w:pPr>
      <w:r>
        <w:continuationSeparator/>
      </w:r>
    </w:p>
  </w:footnote>
  <w:footnote w:id="1">
    <w:p w:rsidR="00097C77" w:rsidRPr="00903F9E" w:rsidRDefault="00097C77" w:rsidP="00097C77">
      <w:pPr>
        <w:pStyle w:val="Textodenotaderodap"/>
        <w:spacing w:after="0" w:line="240" w:lineRule="auto"/>
        <w:rPr>
          <w:rFonts w:ascii="Arial" w:hAnsi="Arial" w:cs="Arial"/>
        </w:rPr>
      </w:pPr>
      <w:r w:rsidRPr="00097C77">
        <w:rPr>
          <w:rStyle w:val="Refdenotaderodap"/>
        </w:rPr>
        <w:sym w:font="Symbol" w:char="F02A"/>
      </w:r>
      <w:r>
        <w:t xml:space="preserve"> </w:t>
      </w:r>
      <w:r w:rsidRPr="00903F9E">
        <w:rPr>
          <w:rFonts w:ascii="Arial" w:hAnsi="Arial" w:cs="Arial"/>
          <w:b/>
        </w:rPr>
        <w:t>Nota da Biblioteca:</w:t>
      </w:r>
    </w:p>
    <w:p w:rsidR="00097C77" w:rsidRPr="00903F9E" w:rsidRDefault="00097C77" w:rsidP="00097C77">
      <w:pPr>
        <w:pStyle w:val="Textodenotaderodap"/>
        <w:spacing w:after="0" w:line="240" w:lineRule="auto"/>
        <w:ind w:left="142" w:hanging="142"/>
        <w:rPr>
          <w:rFonts w:ascii="Arial" w:hAnsi="Arial" w:cs="Arial"/>
        </w:rPr>
      </w:pPr>
      <w:r w:rsidRPr="00903F9E">
        <w:rPr>
          <w:rFonts w:ascii="Arial" w:hAnsi="Arial" w:cs="Arial"/>
        </w:rPr>
        <w:t xml:space="preserve">  Este texto não substitui o publicado no periódico: </w:t>
      </w:r>
      <w:r w:rsidRPr="00097C77">
        <w:rPr>
          <w:rStyle w:val="Hyperlink"/>
          <w:rFonts w:ascii="Arial" w:hAnsi="Arial" w:cs="Arial"/>
        </w:rPr>
        <w:t>Diário Eletrônico do Tribunal de Contas do Estado do Paraná, Curitiba, PR, n. 798, 10 jan. 2014, p. 37.</w:t>
      </w:r>
    </w:p>
    <w:p w:rsidR="00097C77" w:rsidRDefault="00097C77">
      <w:pPr>
        <w:pStyle w:val="Textodenotaderodap"/>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725" w:rsidRPr="00D11725" w:rsidRDefault="003B6D19" w:rsidP="00DD1794">
    <w:pPr>
      <w:tabs>
        <w:tab w:val="center" w:pos="4252"/>
        <w:tab w:val="right" w:pos="8504"/>
      </w:tabs>
      <w:spacing w:before="480" w:after="120" w:line="240" w:lineRule="auto"/>
      <w:ind w:left="426"/>
      <w:jc w:val="center"/>
      <w:rPr>
        <w:rFonts w:ascii="Arial" w:eastAsia="Times New Roman" w:hAnsi="Arial" w:cs="Arial"/>
        <w:b/>
        <w:sz w:val="30"/>
        <w:szCs w:val="30"/>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0" type="#_x0000_t75" alt="logo TC colorido - medio" style="position:absolute;left:0;text-align:left;margin-left:-3.85pt;margin-top:14.85pt;width:47.7pt;height:56.1pt;z-index:251657728;visibility:visible">
          <v:imagedata r:id="rId1" o:title="logo TC colorido - medio"/>
          <w10:wrap type="square"/>
        </v:shape>
      </w:pict>
    </w:r>
    <w:r w:rsidR="00DD1794">
      <w:rPr>
        <w:rFonts w:ascii="Arial" w:eastAsia="Times New Roman" w:hAnsi="Arial" w:cs="Arial"/>
        <w:b/>
        <w:sz w:val="30"/>
        <w:szCs w:val="30"/>
        <w:lang w:eastAsia="x-none"/>
      </w:rPr>
      <w:t xml:space="preserve">   </w:t>
    </w:r>
    <w:r w:rsidR="00D11725" w:rsidRPr="00D11725">
      <w:rPr>
        <w:rFonts w:ascii="Arial" w:eastAsia="Times New Roman" w:hAnsi="Arial" w:cs="Arial"/>
        <w:b/>
        <w:sz w:val="30"/>
        <w:szCs w:val="30"/>
        <w:lang w:val="x-none" w:eastAsia="x-none"/>
      </w:rPr>
      <w:t>TRIBUNAL DE CONTAS DO ESTADO DO PARANÁ</w:t>
    </w:r>
  </w:p>
  <w:p w:rsidR="00D11725" w:rsidRPr="00D11725" w:rsidRDefault="00DD1794" w:rsidP="00DD1794">
    <w:pPr>
      <w:overflowPunct w:val="0"/>
      <w:autoSpaceDE w:val="0"/>
      <w:autoSpaceDN w:val="0"/>
      <w:adjustRightInd w:val="0"/>
      <w:spacing w:after="0" w:line="240" w:lineRule="auto"/>
      <w:ind w:left="426" w:hanging="76"/>
      <w:contextualSpacing/>
      <w:jc w:val="center"/>
      <w:textAlignment w:val="baseline"/>
      <w:rPr>
        <w:rFonts w:ascii="Arial" w:eastAsia="Times New Roman" w:hAnsi="Arial"/>
        <w:b/>
        <w:sz w:val="28"/>
        <w:szCs w:val="28"/>
        <w:lang w:eastAsia="pt-BR"/>
      </w:rPr>
    </w:pPr>
    <w:r>
      <w:rPr>
        <w:rFonts w:ascii="Arial" w:eastAsia="Times New Roman" w:hAnsi="Arial"/>
        <w:sz w:val="28"/>
        <w:szCs w:val="28"/>
        <w:lang w:eastAsia="pt-BR"/>
      </w:rPr>
      <w:t xml:space="preserve">  </w:t>
    </w:r>
  </w:p>
  <w:p w:rsidR="00D11725" w:rsidRPr="00D11725" w:rsidRDefault="00D11725" w:rsidP="00D117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725"/>
    <w:rsid w:val="000311FC"/>
    <w:rsid w:val="000532A0"/>
    <w:rsid w:val="000807FB"/>
    <w:rsid w:val="00097C77"/>
    <w:rsid w:val="001B2D05"/>
    <w:rsid w:val="001E718B"/>
    <w:rsid w:val="0033557D"/>
    <w:rsid w:val="003B6D19"/>
    <w:rsid w:val="003D7026"/>
    <w:rsid w:val="006A325F"/>
    <w:rsid w:val="006C6A78"/>
    <w:rsid w:val="00706199"/>
    <w:rsid w:val="00760C2A"/>
    <w:rsid w:val="007E7553"/>
    <w:rsid w:val="00805AE5"/>
    <w:rsid w:val="008A3758"/>
    <w:rsid w:val="00980B71"/>
    <w:rsid w:val="00A35AB7"/>
    <w:rsid w:val="00A875EE"/>
    <w:rsid w:val="00BC1674"/>
    <w:rsid w:val="00C15A8A"/>
    <w:rsid w:val="00C3757E"/>
    <w:rsid w:val="00D11725"/>
    <w:rsid w:val="00D51A63"/>
    <w:rsid w:val="00DC67EA"/>
    <w:rsid w:val="00DD1794"/>
    <w:rsid w:val="00E1098F"/>
    <w:rsid w:val="00EC209E"/>
    <w:rsid w:val="00F25802"/>
    <w:rsid w:val="00FE1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E627547-22EE-415E-BEBF-B1ADE3BA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17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1725"/>
  </w:style>
  <w:style w:type="paragraph" w:styleId="Rodap">
    <w:name w:val="footer"/>
    <w:basedOn w:val="Normal"/>
    <w:link w:val="RodapChar"/>
    <w:uiPriority w:val="99"/>
    <w:unhideWhenUsed/>
    <w:rsid w:val="00D11725"/>
    <w:pPr>
      <w:tabs>
        <w:tab w:val="center" w:pos="4252"/>
        <w:tab w:val="right" w:pos="8504"/>
      </w:tabs>
      <w:spacing w:after="0" w:line="240" w:lineRule="auto"/>
    </w:pPr>
  </w:style>
  <w:style w:type="character" w:customStyle="1" w:styleId="RodapChar">
    <w:name w:val="Rodapé Char"/>
    <w:basedOn w:val="Fontepargpadro"/>
    <w:link w:val="Rodap"/>
    <w:uiPriority w:val="99"/>
    <w:rsid w:val="00D11725"/>
  </w:style>
  <w:style w:type="paragraph" w:styleId="Textodenotaderodap">
    <w:name w:val="footnote text"/>
    <w:basedOn w:val="Normal"/>
    <w:link w:val="TextodenotaderodapChar"/>
    <w:unhideWhenUsed/>
    <w:rsid w:val="00097C77"/>
    <w:rPr>
      <w:sz w:val="20"/>
      <w:szCs w:val="20"/>
    </w:rPr>
  </w:style>
  <w:style w:type="character" w:customStyle="1" w:styleId="TextodenotaderodapChar">
    <w:name w:val="Texto de nota de rodapé Char"/>
    <w:basedOn w:val="Fontepargpadro"/>
    <w:link w:val="Textodenotaderodap"/>
    <w:rsid w:val="00097C77"/>
    <w:rPr>
      <w:lang w:eastAsia="en-US"/>
    </w:rPr>
  </w:style>
  <w:style w:type="character" w:styleId="Refdenotaderodap">
    <w:name w:val="footnote reference"/>
    <w:basedOn w:val="Fontepargpadro"/>
    <w:uiPriority w:val="99"/>
    <w:semiHidden/>
    <w:unhideWhenUsed/>
    <w:rsid w:val="00097C77"/>
    <w:rPr>
      <w:vertAlign w:val="superscript"/>
    </w:rPr>
  </w:style>
  <w:style w:type="character" w:styleId="Hyperlink">
    <w:name w:val="Hyperlink"/>
    <w:unhideWhenUsed/>
    <w:rsid w:val="00097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F2CC-702F-4FE9-A677-E1ECBB8C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Rohrich da Fonseca</cp:lastModifiedBy>
  <cp:revision>3</cp:revision>
  <dcterms:created xsi:type="dcterms:W3CDTF">2019-05-31T13:48:00Z</dcterms:created>
  <dcterms:modified xsi:type="dcterms:W3CDTF">2019-05-31T13:50:00Z</dcterms:modified>
</cp:coreProperties>
</file>