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7A0" w:rsidRDefault="00FF6684" w:rsidP="001D17A0">
      <w:pPr>
        <w:pStyle w:val="Corpodetexto"/>
        <w:spacing w:before="240"/>
        <w:jc w:val="center"/>
        <w:rPr>
          <w:rFonts w:ascii="Arial" w:hAnsi="Arial" w:cs="Arial"/>
          <w:b/>
          <w:sz w:val="28"/>
          <w:szCs w:val="28"/>
        </w:rPr>
      </w:pPr>
      <w:r w:rsidRPr="006A4ED3">
        <w:rPr>
          <w:rFonts w:ascii="Arial" w:hAnsi="Arial" w:cs="Arial"/>
          <w:b/>
          <w:sz w:val="28"/>
          <w:szCs w:val="28"/>
        </w:rPr>
        <w:t>INSTRUÇÃO DE SERVIÇO</w:t>
      </w:r>
      <w:r w:rsidR="000A1B86">
        <w:rPr>
          <w:rFonts w:ascii="Arial" w:hAnsi="Arial" w:cs="Arial"/>
          <w:b/>
          <w:sz w:val="28"/>
          <w:szCs w:val="28"/>
        </w:rPr>
        <w:t xml:space="preserve"> </w:t>
      </w:r>
      <w:r w:rsidR="000A1B86" w:rsidRPr="000A1B86">
        <w:rPr>
          <w:rFonts w:ascii="Arial" w:hAnsi="Arial" w:cs="Arial"/>
          <w:b/>
          <w:sz w:val="28"/>
          <w:szCs w:val="28"/>
        </w:rPr>
        <w:t xml:space="preserve">Nº </w:t>
      </w:r>
      <w:r w:rsidR="00374F64">
        <w:rPr>
          <w:rFonts w:ascii="Arial" w:hAnsi="Arial" w:cs="Arial"/>
          <w:b/>
          <w:sz w:val="28"/>
          <w:szCs w:val="28"/>
        </w:rPr>
        <w:t>91</w:t>
      </w:r>
      <w:r w:rsidR="000A1B86" w:rsidRPr="000A1B86">
        <w:rPr>
          <w:rFonts w:ascii="Arial" w:hAnsi="Arial" w:cs="Arial"/>
          <w:b/>
          <w:sz w:val="28"/>
          <w:szCs w:val="28"/>
        </w:rPr>
        <w:t>/</w:t>
      </w:r>
      <w:r w:rsidR="00E74AD2">
        <w:rPr>
          <w:rFonts w:ascii="Arial" w:hAnsi="Arial" w:cs="Arial"/>
          <w:b/>
          <w:sz w:val="28"/>
          <w:szCs w:val="28"/>
        </w:rPr>
        <w:t>20</w:t>
      </w:r>
      <w:r>
        <w:rPr>
          <w:rFonts w:ascii="Arial" w:hAnsi="Arial" w:cs="Arial"/>
          <w:b/>
          <w:sz w:val="28"/>
          <w:szCs w:val="28"/>
        </w:rPr>
        <w:t>14</w:t>
      </w:r>
      <w:r w:rsidR="00225720" w:rsidRPr="00225720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2"/>
        <w:sym w:font="Symbol" w:char="F02A"/>
      </w:r>
    </w:p>
    <w:p w:rsidR="008277D0" w:rsidRDefault="008277D0" w:rsidP="008E66F3">
      <w:pPr>
        <w:autoSpaceDE w:val="0"/>
        <w:autoSpaceDN w:val="0"/>
        <w:adjustRightInd w:val="0"/>
        <w:ind w:left="4820"/>
        <w:rPr>
          <w:rFonts w:ascii="Arial,Italic" w:hAnsi="Arial,Italic" w:cs="Arial,Italic"/>
          <w:i/>
          <w:iCs/>
          <w:sz w:val="22"/>
          <w:szCs w:val="22"/>
        </w:rPr>
      </w:pPr>
    </w:p>
    <w:p w:rsidR="00374F64" w:rsidRDefault="00374F64" w:rsidP="00374F64">
      <w:pPr>
        <w:autoSpaceDE w:val="0"/>
        <w:autoSpaceDN w:val="0"/>
        <w:adjustRightInd w:val="0"/>
        <w:ind w:left="4536"/>
        <w:jc w:val="both"/>
        <w:rPr>
          <w:rFonts w:ascii="Arial" w:hAnsi="Arial" w:cs="Arial"/>
          <w:i/>
          <w:iCs/>
        </w:rPr>
      </w:pPr>
    </w:p>
    <w:p w:rsidR="00374F64" w:rsidRPr="00374F64" w:rsidRDefault="00374F64" w:rsidP="00374F64">
      <w:pPr>
        <w:autoSpaceDE w:val="0"/>
        <w:autoSpaceDN w:val="0"/>
        <w:adjustRightInd w:val="0"/>
        <w:ind w:left="4536"/>
        <w:jc w:val="both"/>
        <w:rPr>
          <w:rFonts w:ascii="Arial" w:hAnsi="Arial" w:cs="Arial"/>
          <w:i/>
          <w:iCs/>
        </w:rPr>
      </w:pPr>
      <w:r w:rsidRPr="00374F64">
        <w:rPr>
          <w:rFonts w:ascii="Arial" w:hAnsi="Arial" w:cs="Arial"/>
          <w:i/>
          <w:iCs/>
        </w:rPr>
        <w:t>Dispõe sobre a delegação de competência</w:t>
      </w:r>
      <w:r>
        <w:rPr>
          <w:rFonts w:ascii="Arial" w:hAnsi="Arial" w:cs="Arial"/>
          <w:i/>
          <w:iCs/>
        </w:rPr>
        <w:t xml:space="preserve"> </w:t>
      </w:r>
      <w:r w:rsidRPr="00374F64">
        <w:rPr>
          <w:rFonts w:ascii="Arial" w:hAnsi="Arial" w:cs="Arial"/>
          <w:i/>
          <w:iCs/>
        </w:rPr>
        <w:t>para elaboração e assinatura de</w:t>
      </w:r>
      <w:r>
        <w:rPr>
          <w:rFonts w:ascii="Arial" w:hAnsi="Arial" w:cs="Arial"/>
          <w:i/>
          <w:iCs/>
        </w:rPr>
        <w:t xml:space="preserve"> </w:t>
      </w:r>
      <w:r w:rsidRPr="00374F64">
        <w:rPr>
          <w:rFonts w:ascii="Arial" w:hAnsi="Arial" w:cs="Arial"/>
          <w:i/>
          <w:iCs/>
        </w:rPr>
        <w:t>despachos de mero expediente sem</w:t>
      </w:r>
      <w:r>
        <w:rPr>
          <w:rFonts w:ascii="Arial" w:hAnsi="Arial" w:cs="Arial"/>
          <w:i/>
          <w:iCs/>
        </w:rPr>
        <w:t xml:space="preserve"> </w:t>
      </w:r>
      <w:r w:rsidRPr="00374F64">
        <w:rPr>
          <w:rFonts w:ascii="Arial" w:hAnsi="Arial" w:cs="Arial"/>
          <w:i/>
          <w:iCs/>
        </w:rPr>
        <w:t>caráter decisório.</w:t>
      </w:r>
    </w:p>
    <w:p w:rsidR="00374F64" w:rsidRPr="00374F64" w:rsidRDefault="00374F64" w:rsidP="006433B8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</w:rPr>
      </w:pPr>
    </w:p>
    <w:p w:rsidR="006433B8" w:rsidRDefault="00374F64" w:rsidP="006433B8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374F64">
        <w:rPr>
          <w:rFonts w:ascii="Arial" w:hAnsi="Arial" w:cs="Arial"/>
        </w:rPr>
        <w:t xml:space="preserve">O AUDITOR </w:t>
      </w:r>
      <w:r w:rsidRPr="00426207">
        <w:rPr>
          <w:rFonts w:ascii="Arial" w:hAnsi="Arial" w:cs="Arial"/>
          <w:b/>
        </w:rPr>
        <w:t>CLÁUDIO AUGUSTO CANHA</w:t>
      </w:r>
      <w:r w:rsidRPr="00374F64">
        <w:rPr>
          <w:rFonts w:ascii="Arial" w:hAnsi="Arial" w:cs="Arial"/>
        </w:rPr>
        <w:t>, no uso das atribuições que lhe são conferidas pelo art. 197 do Regimento Interno, e em razão da Portaria nº 69</w:t>
      </w:r>
      <w:r w:rsidR="006433B8">
        <w:rPr>
          <w:rFonts w:ascii="Arial" w:hAnsi="Arial" w:cs="Arial"/>
        </w:rPr>
        <w:t>7/14-G</w:t>
      </w:r>
      <w:r w:rsidRPr="00374F64">
        <w:rPr>
          <w:rFonts w:ascii="Arial" w:hAnsi="Arial" w:cs="Arial"/>
        </w:rPr>
        <w:t xml:space="preserve">P, publicada no Diário Eletrônico deste Tribunal em 24/11/2014, </w:t>
      </w:r>
      <w:r w:rsidR="006433B8">
        <w:rPr>
          <w:rFonts w:ascii="Arial" w:hAnsi="Arial" w:cs="Arial"/>
        </w:rPr>
        <w:t>e c</w:t>
      </w:r>
      <w:r w:rsidR="006433B8" w:rsidRPr="006433B8">
        <w:rPr>
          <w:rFonts w:ascii="Arial" w:hAnsi="Arial" w:cs="Arial"/>
        </w:rPr>
        <w:t xml:space="preserve">onsiderando o previsto no art. 93, inciso XIV, c/c </w:t>
      </w:r>
      <w:r w:rsidR="006433B8">
        <w:rPr>
          <w:rFonts w:ascii="Arial" w:hAnsi="Arial" w:cs="Arial"/>
        </w:rPr>
        <w:t xml:space="preserve">o </w:t>
      </w:r>
      <w:r w:rsidR="006433B8" w:rsidRPr="006433B8">
        <w:rPr>
          <w:rFonts w:ascii="Arial" w:hAnsi="Arial" w:cs="Arial"/>
        </w:rPr>
        <w:t xml:space="preserve">art. 73, </w:t>
      </w:r>
      <w:r w:rsidR="006433B8">
        <w:rPr>
          <w:rFonts w:ascii="Arial" w:hAnsi="Arial" w:cs="Arial"/>
        </w:rPr>
        <w:t xml:space="preserve">§ 4º, da Constituição Federal, e o disposto no art. 32, § 1º, </w:t>
      </w:r>
      <w:r w:rsidR="006433B8" w:rsidRPr="006433B8">
        <w:rPr>
          <w:rFonts w:ascii="Arial" w:hAnsi="Arial" w:cs="Arial"/>
        </w:rPr>
        <w:t xml:space="preserve">c/c </w:t>
      </w:r>
      <w:r w:rsidR="008E3D84">
        <w:rPr>
          <w:rFonts w:ascii="Arial" w:hAnsi="Arial" w:cs="Arial"/>
        </w:rPr>
        <w:t xml:space="preserve">o </w:t>
      </w:r>
      <w:r w:rsidR="006433B8" w:rsidRPr="006433B8">
        <w:rPr>
          <w:rFonts w:ascii="Arial" w:hAnsi="Arial" w:cs="Arial"/>
        </w:rPr>
        <w:t>art. 52</w:t>
      </w:r>
      <w:r w:rsidR="006433B8">
        <w:rPr>
          <w:rFonts w:ascii="Arial" w:hAnsi="Arial" w:cs="Arial"/>
        </w:rPr>
        <w:t xml:space="preserve">-A, </w:t>
      </w:r>
      <w:r w:rsidR="006433B8" w:rsidRPr="006433B8">
        <w:rPr>
          <w:rFonts w:ascii="Arial" w:hAnsi="Arial" w:cs="Arial"/>
          <w:i/>
        </w:rPr>
        <w:t>caput</w:t>
      </w:r>
      <w:r w:rsidR="006433B8">
        <w:rPr>
          <w:rFonts w:ascii="Arial" w:hAnsi="Arial" w:cs="Arial"/>
        </w:rPr>
        <w:t>, do Regimento Interno,</w:t>
      </w:r>
    </w:p>
    <w:p w:rsidR="006433B8" w:rsidRDefault="006433B8" w:rsidP="006433B8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</w:p>
    <w:p w:rsidR="006433B8" w:rsidRPr="006433B8" w:rsidRDefault="006433B8" w:rsidP="006433B8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b/>
        </w:rPr>
      </w:pPr>
      <w:r w:rsidRPr="006433B8">
        <w:rPr>
          <w:rFonts w:ascii="Arial" w:hAnsi="Arial" w:cs="Arial"/>
          <w:b/>
        </w:rPr>
        <w:t>RESOLVE</w:t>
      </w:r>
    </w:p>
    <w:p w:rsidR="00374F64" w:rsidRPr="00374F64" w:rsidRDefault="00374F64" w:rsidP="006433B8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</w:p>
    <w:p w:rsidR="00374F64" w:rsidRPr="00374F64" w:rsidRDefault="00E72A54" w:rsidP="00374F64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E72A54">
        <w:rPr>
          <w:rFonts w:ascii="Arial" w:hAnsi="Arial" w:cs="Arial"/>
          <w:b/>
        </w:rPr>
        <w:t>Art. 1º</w:t>
      </w:r>
      <w:r w:rsidR="00374F64" w:rsidRPr="00374F64">
        <w:rPr>
          <w:rFonts w:ascii="Arial" w:hAnsi="Arial" w:cs="Arial"/>
        </w:rPr>
        <w:t xml:space="preserve"> Ficam delegados ao servidor LÚCIO FLÁVIO LUTTEMBARCK BATALHA, Analista de Controle Externo – Assessor Técnico de Conselheiro, matrícula nº 51.325-3, lotado no Gabinete do Conselheiro Fabio de Souza Camargo, os despachos de mero expediente, sem caráter decisório, em processos de </w:t>
      </w:r>
      <w:r w:rsidR="00CD18EA">
        <w:rPr>
          <w:rFonts w:ascii="Arial" w:hAnsi="Arial" w:cs="Arial"/>
        </w:rPr>
        <w:t>competência deste A</w:t>
      </w:r>
      <w:r w:rsidR="00374F64" w:rsidRPr="00374F64">
        <w:rPr>
          <w:rFonts w:ascii="Arial" w:hAnsi="Arial" w:cs="Arial"/>
        </w:rPr>
        <w:t>uditor, decorrentes da convocação constante da Portaria nº 697/14, publicada no Diário Eletrônico deste Tribunal em 24/11/2014, nas seguintes hipóteses:</w:t>
      </w:r>
    </w:p>
    <w:p w:rsidR="00374F64" w:rsidRPr="00374F64" w:rsidRDefault="00374F64" w:rsidP="00374F64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374F64">
        <w:rPr>
          <w:rFonts w:ascii="Arial" w:hAnsi="Arial" w:cs="Arial"/>
        </w:rPr>
        <w:t xml:space="preserve">I – </w:t>
      </w:r>
      <w:proofErr w:type="gramStart"/>
      <w:r w:rsidRPr="00374F64">
        <w:rPr>
          <w:rFonts w:ascii="Arial" w:hAnsi="Arial" w:cs="Arial"/>
        </w:rPr>
        <w:t>autorização e determinação</w:t>
      </w:r>
      <w:proofErr w:type="gramEnd"/>
      <w:r w:rsidRPr="00374F64">
        <w:rPr>
          <w:rFonts w:ascii="Arial" w:hAnsi="Arial" w:cs="Arial"/>
        </w:rPr>
        <w:t xml:space="preserve"> de citações e intimações, acolhendo integralmente proposta da unidade técnica, nas modalidades previstas no Capítulo XIV do Regimento Interno, exceto quando se tratar das autoridades mencionadas no art. 32, § 2º, </w:t>
      </w:r>
      <w:r w:rsidRPr="00374F64">
        <w:rPr>
          <w:rFonts w:ascii="Arial" w:hAnsi="Arial" w:cs="Arial"/>
          <w:i/>
          <w:iCs/>
        </w:rPr>
        <w:t>in fine</w:t>
      </w:r>
      <w:r w:rsidRPr="00374F64">
        <w:rPr>
          <w:rFonts w:ascii="Arial" w:hAnsi="Arial" w:cs="Arial"/>
        </w:rPr>
        <w:t>, do Regimento Interno;</w:t>
      </w:r>
    </w:p>
    <w:p w:rsidR="00374F64" w:rsidRDefault="00374F64" w:rsidP="00374F64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374F64">
        <w:rPr>
          <w:rFonts w:ascii="Arial" w:hAnsi="Arial" w:cs="Arial"/>
        </w:rPr>
        <w:t xml:space="preserve">II – </w:t>
      </w:r>
      <w:proofErr w:type="gramStart"/>
      <w:r w:rsidRPr="00374F64">
        <w:rPr>
          <w:rFonts w:ascii="Arial" w:hAnsi="Arial" w:cs="Arial"/>
        </w:rPr>
        <w:t>autorização e determinação</w:t>
      </w:r>
      <w:proofErr w:type="gramEnd"/>
      <w:r w:rsidRPr="00374F64">
        <w:rPr>
          <w:rFonts w:ascii="Arial" w:hAnsi="Arial" w:cs="Arial"/>
        </w:rPr>
        <w:t xml:space="preserve"> de diligências, acolhendo integralmente proposta da unidade técnica, bem como o encaminhamento de processos para a regular manifestação do Ministé</w:t>
      </w:r>
      <w:r>
        <w:rPr>
          <w:rFonts w:ascii="Arial" w:hAnsi="Arial" w:cs="Arial"/>
        </w:rPr>
        <w:t xml:space="preserve">rio Público junto ao Tribunal de </w:t>
      </w:r>
      <w:r w:rsidRPr="00374F64">
        <w:rPr>
          <w:rFonts w:ascii="Arial" w:hAnsi="Arial" w:cs="Arial"/>
        </w:rPr>
        <w:t>Contas;</w:t>
      </w:r>
    </w:p>
    <w:p w:rsidR="00374F64" w:rsidRDefault="00374F64" w:rsidP="00374F64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374F64">
        <w:rPr>
          <w:rFonts w:ascii="Arial" w:hAnsi="Arial" w:cs="Arial"/>
        </w:rPr>
        <w:t>III – autorização e determinação de p</w:t>
      </w:r>
      <w:r>
        <w:rPr>
          <w:rFonts w:ascii="Arial" w:hAnsi="Arial" w:cs="Arial"/>
        </w:rPr>
        <w:t xml:space="preserve">rovidências atinentes à correção </w:t>
      </w:r>
      <w:r w:rsidRPr="00374F64">
        <w:rPr>
          <w:rFonts w:ascii="Arial" w:hAnsi="Arial" w:cs="Arial"/>
        </w:rPr>
        <w:t>da autuação de processos, acolhendo integralmente proposta da unidade técnica,</w:t>
      </w:r>
      <w:r>
        <w:rPr>
          <w:rFonts w:ascii="Arial" w:hAnsi="Arial" w:cs="Arial"/>
        </w:rPr>
        <w:t xml:space="preserve"> </w:t>
      </w:r>
      <w:r w:rsidRPr="00374F64">
        <w:rPr>
          <w:rFonts w:ascii="Arial" w:hAnsi="Arial" w:cs="Arial"/>
        </w:rPr>
        <w:t>nos casos de redistribuição de feitos, correção de nomes de partes, interessados e</w:t>
      </w:r>
      <w:r>
        <w:rPr>
          <w:rFonts w:ascii="Arial" w:hAnsi="Arial" w:cs="Arial"/>
        </w:rPr>
        <w:t xml:space="preserve"> </w:t>
      </w:r>
      <w:r w:rsidRPr="00374F64">
        <w:rPr>
          <w:rFonts w:ascii="Arial" w:hAnsi="Arial" w:cs="Arial"/>
        </w:rPr>
        <w:t>advogados, inclusão e exclusão de nomes de advogados, com exceção da inclusão</w:t>
      </w:r>
      <w:r>
        <w:rPr>
          <w:rFonts w:ascii="Arial" w:hAnsi="Arial" w:cs="Arial"/>
        </w:rPr>
        <w:t xml:space="preserve"> </w:t>
      </w:r>
      <w:r w:rsidRPr="00374F64">
        <w:rPr>
          <w:rFonts w:ascii="Arial" w:hAnsi="Arial" w:cs="Arial"/>
        </w:rPr>
        <w:t>de partes e interessados, conforme vedação contida no art. 347, § 5º, do Regimento</w:t>
      </w:r>
      <w:r>
        <w:rPr>
          <w:rFonts w:ascii="Arial" w:hAnsi="Arial" w:cs="Arial"/>
        </w:rPr>
        <w:t xml:space="preserve"> </w:t>
      </w:r>
      <w:r w:rsidRPr="00374F64">
        <w:rPr>
          <w:rFonts w:ascii="Arial" w:hAnsi="Arial" w:cs="Arial"/>
        </w:rPr>
        <w:t>Interno;</w:t>
      </w:r>
      <w:r>
        <w:rPr>
          <w:rFonts w:ascii="Arial" w:hAnsi="Arial" w:cs="Arial"/>
        </w:rPr>
        <w:t xml:space="preserve"> </w:t>
      </w:r>
    </w:p>
    <w:p w:rsidR="00374F64" w:rsidRDefault="00374F64" w:rsidP="00374F64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374F64">
        <w:rPr>
          <w:rFonts w:ascii="Arial" w:hAnsi="Arial" w:cs="Arial"/>
        </w:rPr>
        <w:lastRenderedPageBreak/>
        <w:t xml:space="preserve">IV – </w:t>
      </w:r>
      <w:proofErr w:type="gramStart"/>
      <w:r w:rsidRPr="00374F64">
        <w:rPr>
          <w:rFonts w:ascii="Arial" w:hAnsi="Arial" w:cs="Arial"/>
        </w:rPr>
        <w:t>deferimento</w:t>
      </w:r>
      <w:proofErr w:type="gramEnd"/>
      <w:r w:rsidRPr="00374F64">
        <w:rPr>
          <w:rFonts w:ascii="Arial" w:hAnsi="Arial" w:cs="Arial"/>
        </w:rPr>
        <w:t xml:space="preserve"> de requerimentos de prorrogação de prazo para</w:t>
      </w:r>
      <w:r>
        <w:rPr>
          <w:rFonts w:ascii="Arial" w:hAnsi="Arial" w:cs="Arial"/>
        </w:rPr>
        <w:t xml:space="preserve"> </w:t>
      </w:r>
      <w:r w:rsidRPr="00374F64">
        <w:rPr>
          <w:rFonts w:ascii="Arial" w:hAnsi="Arial" w:cs="Arial"/>
        </w:rPr>
        <w:t>exercício do contraditório e da ampla defesa e para cumprimento de diligências, nos</w:t>
      </w:r>
      <w:r>
        <w:rPr>
          <w:rFonts w:ascii="Arial" w:hAnsi="Arial" w:cs="Arial"/>
        </w:rPr>
        <w:t xml:space="preserve"> </w:t>
      </w:r>
      <w:r w:rsidRPr="00374F64">
        <w:rPr>
          <w:rFonts w:ascii="Arial" w:hAnsi="Arial" w:cs="Arial"/>
        </w:rPr>
        <w:t>termos regimentais, e observado o disposto no art. 40 do Código de Processo Civil;</w:t>
      </w:r>
      <w:r>
        <w:rPr>
          <w:rFonts w:ascii="Arial" w:hAnsi="Arial" w:cs="Arial"/>
        </w:rPr>
        <w:t xml:space="preserve"> </w:t>
      </w:r>
    </w:p>
    <w:p w:rsidR="00374F64" w:rsidRPr="00374F64" w:rsidRDefault="00374F64" w:rsidP="00374F64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</w:rPr>
      </w:pPr>
      <w:r w:rsidRPr="00374F64">
        <w:rPr>
          <w:rFonts w:ascii="Arial" w:hAnsi="Arial" w:cs="Arial"/>
        </w:rPr>
        <w:t xml:space="preserve">V – </w:t>
      </w:r>
      <w:proofErr w:type="gramStart"/>
      <w:r w:rsidRPr="00374F64">
        <w:rPr>
          <w:rFonts w:ascii="Arial" w:hAnsi="Arial" w:cs="Arial"/>
        </w:rPr>
        <w:t>autorização</w:t>
      </w:r>
      <w:proofErr w:type="gramEnd"/>
      <w:r w:rsidRPr="00374F64">
        <w:rPr>
          <w:rFonts w:ascii="Arial" w:hAnsi="Arial" w:cs="Arial"/>
        </w:rPr>
        <w:t xml:space="preserve"> de juntada de alegações de defesa, de documentos</w:t>
      </w:r>
      <w:r>
        <w:rPr>
          <w:rFonts w:ascii="Arial" w:hAnsi="Arial" w:cs="Arial"/>
        </w:rPr>
        <w:t xml:space="preserve"> </w:t>
      </w:r>
      <w:r w:rsidRPr="00374F64">
        <w:rPr>
          <w:rFonts w:ascii="Arial" w:hAnsi="Arial" w:cs="Arial"/>
        </w:rPr>
        <w:t>novos e de provas apresentadas nos termos previstos no Capítulo VII do Regimento</w:t>
      </w:r>
      <w:r>
        <w:rPr>
          <w:rFonts w:ascii="Arial" w:hAnsi="Arial" w:cs="Arial"/>
        </w:rPr>
        <w:t xml:space="preserve"> </w:t>
      </w:r>
      <w:r w:rsidRPr="00374F64">
        <w:rPr>
          <w:rFonts w:ascii="Arial" w:hAnsi="Arial" w:cs="Arial"/>
        </w:rPr>
        <w:t>Interno, bem como encaminhamento à unidade técnica para nova instrução,</w:t>
      </w:r>
      <w:r>
        <w:rPr>
          <w:rFonts w:ascii="Arial" w:hAnsi="Arial" w:cs="Arial"/>
        </w:rPr>
        <w:t xml:space="preserve"> </w:t>
      </w:r>
      <w:r w:rsidRPr="00374F64">
        <w:rPr>
          <w:rFonts w:ascii="Arial" w:hAnsi="Arial" w:cs="Arial"/>
        </w:rPr>
        <w:t>incluindo a análise dos novos elementos juntados;</w:t>
      </w:r>
    </w:p>
    <w:p w:rsidR="00374F64" w:rsidRDefault="00374F64" w:rsidP="00374F64">
      <w:pPr>
        <w:spacing w:before="120"/>
        <w:ind w:firstLine="1134"/>
        <w:jc w:val="both"/>
        <w:rPr>
          <w:rFonts w:ascii="Arial" w:hAnsi="Arial" w:cs="Arial"/>
        </w:rPr>
      </w:pPr>
      <w:r w:rsidRPr="00374F64">
        <w:rPr>
          <w:rFonts w:ascii="Arial" w:hAnsi="Arial" w:cs="Arial"/>
        </w:rPr>
        <w:t xml:space="preserve">VI – </w:t>
      </w:r>
      <w:proofErr w:type="gramStart"/>
      <w:r w:rsidRPr="00374F64">
        <w:rPr>
          <w:rFonts w:ascii="Arial" w:hAnsi="Arial" w:cs="Arial"/>
        </w:rPr>
        <w:t>autorização e determinação</w:t>
      </w:r>
      <w:proofErr w:type="gramEnd"/>
      <w:r w:rsidRPr="00374F64">
        <w:rPr>
          <w:rFonts w:ascii="Arial" w:hAnsi="Arial" w:cs="Arial"/>
        </w:rPr>
        <w:t xml:space="preserve"> de apensamento e </w:t>
      </w:r>
      <w:proofErr w:type="spellStart"/>
      <w:r w:rsidRPr="00374F64">
        <w:rPr>
          <w:rFonts w:ascii="Arial" w:hAnsi="Arial" w:cs="Arial"/>
        </w:rPr>
        <w:t>desapensamento</w:t>
      </w:r>
      <w:proofErr w:type="spellEnd"/>
      <w:r>
        <w:rPr>
          <w:rFonts w:ascii="Arial" w:hAnsi="Arial" w:cs="Arial"/>
        </w:rPr>
        <w:t xml:space="preserve"> </w:t>
      </w:r>
      <w:r w:rsidRPr="00374F64">
        <w:rPr>
          <w:rFonts w:ascii="Arial" w:hAnsi="Arial" w:cs="Arial"/>
        </w:rPr>
        <w:t>de processos, acolhendo integralmente proposta da unidade técnica;</w:t>
      </w:r>
    </w:p>
    <w:p w:rsidR="00374F64" w:rsidRPr="00374F64" w:rsidRDefault="00374F64" w:rsidP="00374F64">
      <w:pPr>
        <w:spacing w:before="120"/>
        <w:ind w:firstLine="1134"/>
        <w:jc w:val="both"/>
        <w:rPr>
          <w:rFonts w:ascii="Arial" w:hAnsi="Arial" w:cs="Arial"/>
        </w:rPr>
      </w:pPr>
      <w:r w:rsidRPr="00374F64">
        <w:rPr>
          <w:rFonts w:ascii="Arial" w:hAnsi="Arial" w:cs="Arial"/>
        </w:rPr>
        <w:t>VII – deferimento de pedidos de vistas e de cópias, nos termos</w:t>
      </w:r>
      <w:r>
        <w:rPr>
          <w:rFonts w:ascii="Arial" w:hAnsi="Arial" w:cs="Arial"/>
        </w:rPr>
        <w:t xml:space="preserve"> </w:t>
      </w:r>
      <w:r w:rsidRPr="00374F64">
        <w:rPr>
          <w:rFonts w:ascii="Arial" w:hAnsi="Arial" w:cs="Arial"/>
        </w:rPr>
        <w:t>regimentais; e</w:t>
      </w:r>
    </w:p>
    <w:p w:rsidR="00374F64" w:rsidRDefault="00374F64" w:rsidP="00374F64">
      <w:pPr>
        <w:spacing w:before="120"/>
        <w:ind w:firstLine="1134"/>
        <w:jc w:val="both"/>
        <w:rPr>
          <w:rFonts w:ascii="Arial" w:hAnsi="Arial" w:cs="Arial"/>
        </w:rPr>
      </w:pPr>
      <w:r w:rsidRPr="00374F64">
        <w:rPr>
          <w:rFonts w:ascii="Arial" w:hAnsi="Arial" w:cs="Arial"/>
        </w:rPr>
        <w:t>VIII - autorização e determinação de encerramento e arquivamento de</w:t>
      </w:r>
      <w:r>
        <w:rPr>
          <w:rFonts w:ascii="Arial" w:hAnsi="Arial" w:cs="Arial"/>
        </w:rPr>
        <w:t xml:space="preserve"> </w:t>
      </w:r>
      <w:r w:rsidRPr="00374F64">
        <w:rPr>
          <w:rFonts w:ascii="Arial" w:hAnsi="Arial" w:cs="Arial"/>
        </w:rPr>
        <w:t>processos, acolhendo pareceres uniformes da unidade técnica e do representante</w:t>
      </w:r>
      <w:r>
        <w:rPr>
          <w:rFonts w:ascii="Arial" w:hAnsi="Arial" w:cs="Arial"/>
        </w:rPr>
        <w:t xml:space="preserve"> </w:t>
      </w:r>
      <w:r w:rsidRPr="00374F64">
        <w:rPr>
          <w:rFonts w:ascii="Arial" w:hAnsi="Arial" w:cs="Arial"/>
        </w:rPr>
        <w:t>do Ministério Público junto ao Tribunal de Contas.</w:t>
      </w:r>
      <w:r>
        <w:rPr>
          <w:rFonts w:ascii="Arial" w:hAnsi="Arial" w:cs="Arial"/>
        </w:rPr>
        <w:t xml:space="preserve"> </w:t>
      </w:r>
    </w:p>
    <w:p w:rsidR="00374F64" w:rsidRPr="00374F64" w:rsidRDefault="00E72A54" w:rsidP="00374F64">
      <w:pPr>
        <w:spacing w:before="120"/>
        <w:ind w:firstLine="1134"/>
        <w:jc w:val="both"/>
        <w:rPr>
          <w:rFonts w:ascii="Arial" w:hAnsi="Arial" w:cs="Arial"/>
        </w:rPr>
      </w:pPr>
      <w:r w:rsidRPr="00E72A54">
        <w:rPr>
          <w:rFonts w:ascii="Arial" w:hAnsi="Arial" w:cs="Arial"/>
          <w:b/>
        </w:rPr>
        <w:t>Art. 2º</w:t>
      </w:r>
      <w:r>
        <w:rPr>
          <w:rFonts w:ascii="Arial" w:hAnsi="Arial" w:cs="Arial"/>
        </w:rPr>
        <w:t xml:space="preserve"> O</w:t>
      </w:r>
      <w:r w:rsidR="00374F64" w:rsidRPr="00374F64">
        <w:rPr>
          <w:rFonts w:ascii="Arial" w:hAnsi="Arial" w:cs="Arial"/>
        </w:rPr>
        <w:t xml:space="preserve"> servidor delegado fará constar expressa referência do</w:t>
      </w:r>
      <w:r w:rsidR="00374F64">
        <w:rPr>
          <w:rFonts w:ascii="Arial" w:hAnsi="Arial" w:cs="Arial"/>
        </w:rPr>
        <w:t xml:space="preserve"> </w:t>
      </w:r>
      <w:r w:rsidR="00CD18EA">
        <w:rPr>
          <w:rFonts w:ascii="Arial" w:hAnsi="Arial" w:cs="Arial"/>
        </w:rPr>
        <w:t>cumprimento desta Instrução de S</w:t>
      </w:r>
      <w:r w:rsidR="00374F64" w:rsidRPr="00374F64">
        <w:rPr>
          <w:rFonts w:ascii="Arial" w:hAnsi="Arial" w:cs="Arial"/>
        </w:rPr>
        <w:t>erviço, nos atos que formalizarem na sua</w:t>
      </w:r>
      <w:r w:rsidR="00374F64">
        <w:rPr>
          <w:rFonts w:ascii="Arial" w:hAnsi="Arial" w:cs="Arial"/>
        </w:rPr>
        <w:t xml:space="preserve"> </w:t>
      </w:r>
      <w:r w:rsidR="00374F64" w:rsidRPr="00374F64">
        <w:rPr>
          <w:rFonts w:ascii="Arial" w:hAnsi="Arial" w:cs="Arial"/>
        </w:rPr>
        <w:t>observância.</w:t>
      </w:r>
    </w:p>
    <w:p w:rsidR="00374F64" w:rsidRPr="00374F64" w:rsidRDefault="00E72A54" w:rsidP="00374F64">
      <w:pPr>
        <w:spacing w:before="120"/>
        <w:ind w:firstLine="1134"/>
        <w:jc w:val="both"/>
        <w:rPr>
          <w:rFonts w:ascii="Arial" w:hAnsi="Arial" w:cs="Arial"/>
        </w:rPr>
      </w:pPr>
      <w:r w:rsidRPr="00E72A54">
        <w:rPr>
          <w:rFonts w:ascii="Arial" w:hAnsi="Arial" w:cs="Arial"/>
          <w:b/>
        </w:rPr>
        <w:t>Art. 3º</w:t>
      </w:r>
      <w:r>
        <w:rPr>
          <w:rFonts w:ascii="Arial" w:hAnsi="Arial" w:cs="Arial"/>
        </w:rPr>
        <w:t xml:space="preserve"> E</w:t>
      </w:r>
      <w:r w:rsidR="00374F64" w:rsidRPr="00374F64">
        <w:rPr>
          <w:rFonts w:ascii="Arial" w:hAnsi="Arial" w:cs="Arial"/>
        </w:rPr>
        <w:t>sta Instrução de Serviço entrará em vigor na data de sua</w:t>
      </w:r>
      <w:r w:rsidR="00374F64">
        <w:rPr>
          <w:rFonts w:ascii="Arial" w:hAnsi="Arial" w:cs="Arial"/>
        </w:rPr>
        <w:t xml:space="preserve"> </w:t>
      </w:r>
      <w:r w:rsidR="00374F64" w:rsidRPr="00374F64">
        <w:rPr>
          <w:rFonts w:ascii="Arial" w:hAnsi="Arial" w:cs="Arial"/>
        </w:rPr>
        <w:t>publicação.</w:t>
      </w:r>
    </w:p>
    <w:p w:rsidR="00847FD0" w:rsidRPr="00374F64" w:rsidRDefault="00847FD0" w:rsidP="00374F64">
      <w:pPr>
        <w:spacing w:before="360" w:after="120" w:line="360" w:lineRule="auto"/>
        <w:jc w:val="center"/>
        <w:rPr>
          <w:rFonts w:ascii="Arial" w:hAnsi="Arial" w:cs="Arial"/>
        </w:rPr>
      </w:pPr>
      <w:r w:rsidRPr="00374F64">
        <w:rPr>
          <w:rFonts w:ascii="Arial" w:hAnsi="Arial" w:cs="Arial"/>
        </w:rPr>
        <w:t xml:space="preserve">Curitiba, </w:t>
      </w:r>
      <w:r w:rsidR="00374F64">
        <w:rPr>
          <w:rFonts w:ascii="Arial" w:hAnsi="Arial" w:cs="Arial"/>
        </w:rPr>
        <w:t>05</w:t>
      </w:r>
      <w:r w:rsidR="008E66F3" w:rsidRPr="00374F64">
        <w:rPr>
          <w:rFonts w:ascii="Arial" w:hAnsi="Arial" w:cs="Arial"/>
        </w:rPr>
        <w:t xml:space="preserve"> de </w:t>
      </w:r>
      <w:r w:rsidR="00374F64">
        <w:rPr>
          <w:rFonts w:ascii="Arial" w:hAnsi="Arial" w:cs="Arial"/>
        </w:rPr>
        <w:t xml:space="preserve">dezembro </w:t>
      </w:r>
      <w:r w:rsidRPr="00374F64">
        <w:rPr>
          <w:rFonts w:ascii="Arial" w:hAnsi="Arial" w:cs="Arial"/>
        </w:rPr>
        <w:t>de 2014.</w:t>
      </w:r>
    </w:p>
    <w:p w:rsidR="00847FD0" w:rsidRPr="00374F64" w:rsidRDefault="00847FD0" w:rsidP="00374F64">
      <w:pPr>
        <w:jc w:val="center"/>
        <w:rPr>
          <w:rFonts w:ascii="Arial" w:hAnsi="Arial" w:cs="Arial"/>
        </w:rPr>
      </w:pPr>
    </w:p>
    <w:p w:rsidR="00847FD0" w:rsidRPr="00374F64" w:rsidRDefault="00847FD0" w:rsidP="00374F64">
      <w:pPr>
        <w:jc w:val="center"/>
        <w:rPr>
          <w:rFonts w:ascii="Arial" w:hAnsi="Arial" w:cs="Arial"/>
        </w:rPr>
      </w:pPr>
    </w:p>
    <w:p w:rsidR="00374F64" w:rsidRPr="00374F64" w:rsidRDefault="00374F64" w:rsidP="00374F64">
      <w:pPr>
        <w:jc w:val="center"/>
        <w:rPr>
          <w:rFonts w:ascii="Arial" w:hAnsi="Arial" w:cs="Arial"/>
          <w:b/>
          <w:noProof/>
        </w:rPr>
      </w:pPr>
      <w:r w:rsidRPr="00374F64">
        <w:rPr>
          <w:rFonts w:ascii="Arial" w:hAnsi="Arial" w:cs="Arial"/>
          <w:b/>
          <w:noProof/>
        </w:rPr>
        <w:t>CLÁUDIO AUGUSTO CANHA</w:t>
      </w:r>
    </w:p>
    <w:p w:rsidR="00847FD0" w:rsidRPr="00374F64" w:rsidRDefault="00374F64" w:rsidP="00374F64">
      <w:pPr>
        <w:jc w:val="center"/>
        <w:rPr>
          <w:rFonts w:ascii="Arial" w:hAnsi="Arial" w:cs="Arial"/>
          <w:color w:val="000000"/>
        </w:rPr>
      </w:pPr>
      <w:r w:rsidRPr="00374F64">
        <w:rPr>
          <w:rFonts w:ascii="Arial" w:hAnsi="Arial" w:cs="Arial"/>
          <w:noProof/>
        </w:rPr>
        <w:t>Auditor</w:t>
      </w:r>
    </w:p>
    <w:sectPr w:rsidR="00847FD0" w:rsidRPr="00374F64" w:rsidSect="00BC7729">
      <w:headerReference w:type="default" r:id="rId11"/>
      <w:footerReference w:type="even" r:id="rId12"/>
      <w:footerReference w:type="default" r:id="rId13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C8A" w:rsidRDefault="001F4C8A">
      <w:r>
        <w:separator/>
      </w:r>
    </w:p>
  </w:endnote>
  <w:endnote w:type="continuationSeparator" w:id="0">
    <w:p w:rsidR="001F4C8A" w:rsidRDefault="001F4C8A">
      <w:r>
        <w:continuationSeparator/>
      </w:r>
    </w:p>
  </w:endnote>
  <w:endnote w:type="continuationNotice" w:id="1">
    <w:p w:rsidR="001F4C8A" w:rsidRDefault="001F4C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49C" w:rsidRDefault="0066249C" w:rsidP="00AA44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6249C" w:rsidRDefault="0066249C" w:rsidP="00AD269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49C" w:rsidRDefault="0066249C" w:rsidP="00AD269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C8A" w:rsidRDefault="001F4C8A">
      <w:r>
        <w:separator/>
      </w:r>
    </w:p>
  </w:footnote>
  <w:footnote w:type="continuationSeparator" w:id="0">
    <w:p w:rsidR="001F4C8A" w:rsidRDefault="001F4C8A">
      <w:r>
        <w:continuationSeparator/>
      </w:r>
    </w:p>
  </w:footnote>
  <w:footnote w:type="continuationNotice" w:id="1">
    <w:p w:rsidR="001F4C8A" w:rsidRDefault="001F4C8A"/>
  </w:footnote>
  <w:footnote w:id="2">
    <w:p w:rsidR="00225720" w:rsidRPr="00903F9E" w:rsidRDefault="00225720" w:rsidP="00225720">
      <w:pPr>
        <w:pStyle w:val="Textodenotaderodap"/>
        <w:rPr>
          <w:rFonts w:ascii="Arial" w:hAnsi="Arial" w:cs="Arial"/>
        </w:rPr>
      </w:pPr>
      <w:r w:rsidRPr="00225720">
        <w:rPr>
          <w:rStyle w:val="Refdenotaderodap"/>
        </w:rPr>
        <w:sym w:font="Symbol" w:char="F02A"/>
      </w:r>
      <w:r>
        <w:t xml:space="preserve"> </w:t>
      </w:r>
      <w:bookmarkStart w:id="0" w:name="_Hlk9321415"/>
      <w:r w:rsidRPr="00903F9E">
        <w:rPr>
          <w:rFonts w:ascii="Arial" w:hAnsi="Arial" w:cs="Arial"/>
          <w:b/>
        </w:rPr>
        <w:t>Nota da Biblioteca:</w:t>
      </w:r>
    </w:p>
    <w:p w:rsidR="00225720" w:rsidRPr="00903F9E" w:rsidRDefault="00225720" w:rsidP="00225720">
      <w:pPr>
        <w:pStyle w:val="Textodenotaderodap"/>
        <w:ind w:left="142" w:hanging="142"/>
        <w:rPr>
          <w:rFonts w:ascii="Arial" w:hAnsi="Arial" w:cs="Arial"/>
        </w:rPr>
      </w:pPr>
      <w:r w:rsidRPr="00903F9E">
        <w:rPr>
          <w:rFonts w:ascii="Arial" w:hAnsi="Arial" w:cs="Arial"/>
        </w:rPr>
        <w:t xml:space="preserve">  Este texto não substitui o publicado no periódico: </w:t>
      </w:r>
      <w:hyperlink r:id="rId1" w:history="1">
        <w:r w:rsidRPr="00225720">
          <w:rPr>
            <w:rStyle w:val="Hyperlink"/>
            <w:rFonts w:ascii="Arial" w:hAnsi="Arial" w:cs="Arial"/>
          </w:rPr>
          <w:t>Diário Eletrônico do Tribunal de Contas do Estado do Paraná, Curitiba, PR, n. 1024, 9 dez. 2014, p. 46-47</w:t>
        </w:r>
      </w:hyperlink>
      <w:r w:rsidRPr="00225720">
        <w:rPr>
          <w:rFonts w:ascii="Arial" w:hAnsi="Arial" w:cs="Arial"/>
          <w:color w:val="0000FF"/>
          <w:u w:val="single"/>
        </w:rPr>
        <w:t>.</w:t>
      </w:r>
      <w:bookmarkStart w:id="1" w:name="_GoBack"/>
      <w:bookmarkEnd w:id="1"/>
    </w:p>
    <w:bookmarkEnd w:id="0"/>
    <w:p w:rsidR="00225720" w:rsidRDefault="00225720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075" w:rsidRPr="00FB1075" w:rsidRDefault="004A5D73" w:rsidP="00FB1075">
    <w:pPr>
      <w:tabs>
        <w:tab w:val="center" w:pos="4252"/>
        <w:tab w:val="right" w:pos="8504"/>
      </w:tabs>
      <w:spacing w:before="480" w:after="120" w:line="276" w:lineRule="auto"/>
      <w:jc w:val="center"/>
      <w:rPr>
        <w:rFonts w:ascii="Arial" w:eastAsia="Calibri" w:hAnsi="Arial" w:cs="Arial"/>
        <w:b/>
        <w:sz w:val="30"/>
        <w:szCs w:val="30"/>
        <w:lang w:eastAsia="x-none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51" type="#_x0000_t75" alt="logo TC colorido - medio" style="position:absolute;left:0;text-align:left;margin-left:-.25pt;margin-top:16.35pt;width:47.7pt;height:56.1pt;z-index:251657728;visibility:visible">
          <v:imagedata r:id="rId1" o:title="logo TC colorido - medio"/>
          <w10:wrap type="square"/>
        </v:shape>
      </w:pict>
    </w:r>
    <w:r w:rsidR="00FB1075" w:rsidRPr="00FB1075">
      <w:rPr>
        <w:rFonts w:ascii="Arial" w:eastAsia="Calibri" w:hAnsi="Arial" w:cs="Arial"/>
        <w:b/>
        <w:sz w:val="30"/>
        <w:szCs w:val="30"/>
        <w:lang w:eastAsia="x-none"/>
      </w:rPr>
      <w:t xml:space="preserve">   </w:t>
    </w:r>
    <w:r w:rsidR="00FB1075" w:rsidRPr="00FB1075">
      <w:rPr>
        <w:rFonts w:ascii="Arial" w:eastAsia="Calibri" w:hAnsi="Arial" w:cs="Arial"/>
        <w:b/>
        <w:sz w:val="30"/>
        <w:szCs w:val="30"/>
        <w:lang w:val="x-none" w:eastAsia="x-none"/>
      </w:rPr>
      <w:t>TRIBUNAL DE CONTAS DO ESTADO DO PARANÁ</w:t>
    </w:r>
  </w:p>
  <w:p w:rsidR="000A1B86" w:rsidRPr="00FB1075" w:rsidRDefault="00FB1075" w:rsidP="00225720">
    <w:pPr>
      <w:overflowPunct w:val="0"/>
      <w:autoSpaceDE w:val="0"/>
      <w:autoSpaceDN w:val="0"/>
      <w:adjustRightInd w:val="0"/>
      <w:spacing w:after="200" w:line="276" w:lineRule="auto"/>
      <w:ind w:hanging="76"/>
      <w:contextualSpacing/>
      <w:jc w:val="center"/>
      <w:textAlignment w:val="baseline"/>
    </w:pPr>
    <w:r w:rsidRPr="00FB1075">
      <w:rPr>
        <w:rFonts w:ascii="Arial" w:eastAsia="Calibri" w:hAnsi="Arial"/>
        <w:sz w:val="28"/>
        <w:szCs w:val="28"/>
        <w:lang w:eastAsia="en-US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0FCB"/>
    <w:multiLevelType w:val="hybridMultilevel"/>
    <w:tmpl w:val="37CCDD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3CBD"/>
    <w:multiLevelType w:val="hybridMultilevel"/>
    <w:tmpl w:val="E6DE62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7661"/>
    <w:rsid w:val="00053204"/>
    <w:rsid w:val="000605EE"/>
    <w:rsid w:val="00070A4B"/>
    <w:rsid w:val="00081959"/>
    <w:rsid w:val="000A0122"/>
    <w:rsid w:val="000A0386"/>
    <w:rsid w:val="000A1B86"/>
    <w:rsid w:val="000B4E9F"/>
    <w:rsid w:val="000C68A9"/>
    <w:rsid w:val="000D6F84"/>
    <w:rsid w:val="000F06EE"/>
    <w:rsid w:val="000F2716"/>
    <w:rsid w:val="001000B9"/>
    <w:rsid w:val="001075BD"/>
    <w:rsid w:val="0011369C"/>
    <w:rsid w:val="00123DE1"/>
    <w:rsid w:val="0012745F"/>
    <w:rsid w:val="00142ADD"/>
    <w:rsid w:val="00146978"/>
    <w:rsid w:val="00147824"/>
    <w:rsid w:val="001543CD"/>
    <w:rsid w:val="00155EC7"/>
    <w:rsid w:val="00170D59"/>
    <w:rsid w:val="0017344D"/>
    <w:rsid w:val="0018182C"/>
    <w:rsid w:val="001D07D2"/>
    <w:rsid w:val="001D0B09"/>
    <w:rsid w:val="001D17A0"/>
    <w:rsid w:val="001E2907"/>
    <w:rsid w:val="001F037A"/>
    <w:rsid w:val="001F297B"/>
    <w:rsid w:val="001F4C8A"/>
    <w:rsid w:val="00225720"/>
    <w:rsid w:val="00252933"/>
    <w:rsid w:val="00283F4D"/>
    <w:rsid w:val="0029038F"/>
    <w:rsid w:val="00291D10"/>
    <w:rsid w:val="002A15EE"/>
    <w:rsid w:val="002E3E39"/>
    <w:rsid w:val="00300126"/>
    <w:rsid w:val="00352ECA"/>
    <w:rsid w:val="003705BD"/>
    <w:rsid w:val="00374244"/>
    <w:rsid w:val="00374F64"/>
    <w:rsid w:val="003939F6"/>
    <w:rsid w:val="003B7AD5"/>
    <w:rsid w:val="003C03F8"/>
    <w:rsid w:val="003C2825"/>
    <w:rsid w:val="003F5208"/>
    <w:rsid w:val="004023CC"/>
    <w:rsid w:val="00423C8F"/>
    <w:rsid w:val="00426207"/>
    <w:rsid w:val="004416A7"/>
    <w:rsid w:val="004505CE"/>
    <w:rsid w:val="004604F8"/>
    <w:rsid w:val="00460C5E"/>
    <w:rsid w:val="004A5D73"/>
    <w:rsid w:val="004B5683"/>
    <w:rsid w:val="004C7958"/>
    <w:rsid w:val="00506D3A"/>
    <w:rsid w:val="00551F08"/>
    <w:rsid w:val="005664D5"/>
    <w:rsid w:val="005955A5"/>
    <w:rsid w:val="005D42B6"/>
    <w:rsid w:val="005E595E"/>
    <w:rsid w:val="005F7724"/>
    <w:rsid w:val="006433B8"/>
    <w:rsid w:val="006509DA"/>
    <w:rsid w:val="0066249C"/>
    <w:rsid w:val="006817D5"/>
    <w:rsid w:val="006826EE"/>
    <w:rsid w:val="0069565A"/>
    <w:rsid w:val="006A4ED3"/>
    <w:rsid w:val="006B3F7F"/>
    <w:rsid w:val="00701946"/>
    <w:rsid w:val="007362B6"/>
    <w:rsid w:val="00754614"/>
    <w:rsid w:val="00773F6B"/>
    <w:rsid w:val="00787410"/>
    <w:rsid w:val="00790839"/>
    <w:rsid w:val="007B541D"/>
    <w:rsid w:val="007B6480"/>
    <w:rsid w:val="007F42E2"/>
    <w:rsid w:val="007F68E0"/>
    <w:rsid w:val="007F75CF"/>
    <w:rsid w:val="008277D0"/>
    <w:rsid w:val="00847FD0"/>
    <w:rsid w:val="00871987"/>
    <w:rsid w:val="008719F5"/>
    <w:rsid w:val="00875B88"/>
    <w:rsid w:val="00881F22"/>
    <w:rsid w:val="008A01F0"/>
    <w:rsid w:val="008C4F25"/>
    <w:rsid w:val="008D5003"/>
    <w:rsid w:val="008E3D84"/>
    <w:rsid w:val="008E66F3"/>
    <w:rsid w:val="009033C7"/>
    <w:rsid w:val="00906E4D"/>
    <w:rsid w:val="00916D5F"/>
    <w:rsid w:val="00940DA6"/>
    <w:rsid w:val="00947334"/>
    <w:rsid w:val="009A1923"/>
    <w:rsid w:val="009B718E"/>
    <w:rsid w:val="009C2645"/>
    <w:rsid w:val="009E44B6"/>
    <w:rsid w:val="00A20C4D"/>
    <w:rsid w:val="00A87661"/>
    <w:rsid w:val="00A953B5"/>
    <w:rsid w:val="00A96B6F"/>
    <w:rsid w:val="00AA4452"/>
    <w:rsid w:val="00AB3FEC"/>
    <w:rsid w:val="00AC706A"/>
    <w:rsid w:val="00AD17AE"/>
    <w:rsid w:val="00AD2695"/>
    <w:rsid w:val="00AF3425"/>
    <w:rsid w:val="00AF7189"/>
    <w:rsid w:val="00B122F7"/>
    <w:rsid w:val="00B22DDC"/>
    <w:rsid w:val="00B33609"/>
    <w:rsid w:val="00B47915"/>
    <w:rsid w:val="00B52B88"/>
    <w:rsid w:val="00B71E34"/>
    <w:rsid w:val="00B96EE0"/>
    <w:rsid w:val="00BC7729"/>
    <w:rsid w:val="00C17F9B"/>
    <w:rsid w:val="00C407CD"/>
    <w:rsid w:val="00C474AE"/>
    <w:rsid w:val="00C65A5E"/>
    <w:rsid w:val="00C84F53"/>
    <w:rsid w:val="00C87498"/>
    <w:rsid w:val="00CA2E43"/>
    <w:rsid w:val="00CD0DAD"/>
    <w:rsid w:val="00CD18EA"/>
    <w:rsid w:val="00CE0A9A"/>
    <w:rsid w:val="00D361B6"/>
    <w:rsid w:val="00D37E59"/>
    <w:rsid w:val="00D50162"/>
    <w:rsid w:val="00D51F81"/>
    <w:rsid w:val="00D64123"/>
    <w:rsid w:val="00D73867"/>
    <w:rsid w:val="00D80342"/>
    <w:rsid w:val="00D86ADD"/>
    <w:rsid w:val="00DA5E5A"/>
    <w:rsid w:val="00DE449D"/>
    <w:rsid w:val="00DF1050"/>
    <w:rsid w:val="00E0734C"/>
    <w:rsid w:val="00E43C43"/>
    <w:rsid w:val="00E702EA"/>
    <w:rsid w:val="00E72A54"/>
    <w:rsid w:val="00E74AD2"/>
    <w:rsid w:val="00E822B2"/>
    <w:rsid w:val="00EB36DC"/>
    <w:rsid w:val="00EB38B6"/>
    <w:rsid w:val="00EB48CA"/>
    <w:rsid w:val="00EC2AA7"/>
    <w:rsid w:val="00EC4961"/>
    <w:rsid w:val="00EF5FF1"/>
    <w:rsid w:val="00F30D9B"/>
    <w:rsid w:val="00F40F61"/>
    <w:rsid w:val="00F50259"/>
    <w:rsid w:val="00F73D2F"/>
    <w:rsid w:val="00FA798E"/>
    <w:rsid w:val="00FB1075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550ECA3"/>
  <w15:chartTrackingRefBased/>
  <w15:docId w15:val="{D03DA42C-47F9-4111-9A73-E3E04BC5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7661"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A87661"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Rodap">
    <w:name w:val="footer"/>
    <w:basedOn w:val="Normal"/>
    <w:link w:val="RodapChar"/>
    <w:rsid w:val="00AD2695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D2695"/>
  </w:style>
  <w:style w:type="paragraph" w:styleId="Cabealho">
    <w:name w:val="header"/>
    <w:basedOn w:val="Normal"/>
    <w:link w:val="CabealhoChar"/>
    <w:rsid w:val="000A03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A0386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460C5E"/>
    <w:pPr>
      <w:spacing w:before="120" w:after="120" w:line="360" w:lineRule="auto"/>
      <w:ind w:firstLine="216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460C5E"/>
    <w:rPr>
      <w:rFonts w:ascii="Arial" w:hAnsi="Arial" w:cs="Arial"/>
      <w:sz w:val="24"/>
      <w:szCs w:val="24"/>
    </w:rPr>
  </w:style>
  <w:style w:type="character" w:styleId="TextodoEspaoReservado">
    <w:name w:val="Placeholder Text"/>
    <w:uiPriority w:val="99"/>
    <w:semiHidden/>
    <w:rsid w:val="00C87498"/>
    <w:rPr>
      <w:color w:val="808080"/>
    </w:rPr>
  </w:style>
  <w:style w:type="paragraph" w:styleId="Textodebalo">
    <w:name w:val="Balloon Text"/>
    <w:basedOn w:val="Normal"/>
    <w:link w:val="TextodebaloChar"/>
    <w:rsid w:val="00C874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87498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FF668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FF6684"/>
    <w:rPr>
      <w:sz w:val="16"/>
      <w:szCs w:val="16"/>
    </w:rPr>
  </w:style>
  <w:style w:type="paragraph" w:styleId="Corpodetexto">
    <w:name w:val="Body Text"/>
    <w:basedOn w:val="Normal"/>
    <w:link w:val="CorpodetextoChar"/>
    <w:rsid w:val="00FF6684"/>
    <w:pPr>
      <w:spacing w:after="120"/>
    </w:pPr>
  </w:style>
  <w:style w:type="character" w:customStyle="1" w:styleId="CorpodetextoChar">
    <w:name w:val="Corpo de texto Char"/>
    <w:link w:val="Corpodetexto"/>
    <w:rsid w:val="00FF6684"/>
    <w:rPr>
      <w:sz w:val="24"/>
      <w:szCs w:val="24"/>
    </w:rPr>
  </w:style>
  <w:style w:type="character" w:customStyle="1" w:styleId="RodapChar">
    <w:name w:val="Rodapé Char"/>
    <w:link w:val="Rodap"/>
    <w:rsid w:val="00FF6684"/>
    <w:rPr>
      <w:sz w:val="24"/>
      <w:szCs w:val="24"/>
    </w:rPr>
  </w:style>
  <w:style w:type="paragraph" w:customStyle="1" w:styleId="Ementa">
    <w:name w:val="Ementa"/>
    <w:basedOn w:val="Normal"/>
    <w:rsid w:val="00FF6684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Texto">
    <w:name w:val="Texto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styleId="Textodenotaderodap">
    <w:name w:val="footnote text"/>
    <w:basedOn w:val="Normal"/>
    <w:link w:val="TextodenotaderodapChar"/>
    <w:rsid w:val="00FB107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B1075"/>
  </w:style>
  <w:style w:type="character" w:styleId="Refdenotaderodap">
    <w:name w:val="footnote reference"/>
    <w:uiPriority w:val="99"/>
    <w:rsid w:val="00FB1075"/>
    <w:rPr>
      <w:vertAlign w:val="superscript"/>
    </w:rPr>
  </w:style>
  <w:style w:type="character" w:styleId="Hyperlink">
    <w:name w:val="Hyperlink"/>
    <w:unhideWhenUsed/>
    <w:rsid w:val="00225720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25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multimidia/2014/12/pdf/0027145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56AD8DEE17442B49C041355CA5801" ma:contentTypeVersion="0" ma:contentTypeDescription="Create a new document." ma:contentTypeScope="" ma:versionID="c8acc8029b1be1f17c0f393831b8d0a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F34B7-A6D4-4ADA-BB27-3D6878CF3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3A498E9-FC5E-4E4A-9987-381CD6C88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AB4275-92B1-479A-AFF0-D7057CC9559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3136109-03A2-4763-8142-3A624A80F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realização auditorias/inspeções/monitoramento</vt:lpstr>
    </vt:vector>
  </TitlesOfParts>
  <Company>TCE-PR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realização auditorias/inspeções/monitoramento</dc:title>
  <dc:subject>Requerimento Interno - Licitação</dc:subject>
  <dc:creator>tc508500</dc:creator>
  <cp:keywords/>
  <cp:lastModifiedBy>Yarusya Fonseca</cp:lastModifiedBy>
  <cp:revision>3</cp:revision>
  <cp:lastPrinted>2014-12-05T16:07:00Z</cp:lastPrinted>
  <dcterms:created xsi:type="dcterms:W3CDTF">2019-05-21T14:30:00Z</dcterms:created>
  <dcterms:modified xsi:type="dcterms:W3CDTF">2019-05-21T14:32:00Z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0x01010093F56AD8DEE17442B49C041355CA5801</vt:lpwstr>
  </property>
  <property fmtid="{D5CDD505-2E9C-101B-9397-08002B2CF9AE}" pid="3" name="Order">
    <vt:r8>10600</vt:r8>
  </property>
</Properties>
</file>