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D29" w:rsidRPr="007B3F22" w:rsidRDefault="007F6D29" w:rsidP="007B3F22">
      <w:pPr>
        <w:pStyle w:val="Corpodetexto"/>
        <w:spacing w:before="240" w:after="120"/>
        <w:rPr>
          <w:rFonts w:cs="Arial"/>
          <w:bCs w:val="0"/>
          <w:sz w:val="28"/>
          <w:szCs w:val="28"/>
        </w:rPr>
      </w:pPr>
      <w:r w:rsidRPr="007B3F22">
        <w:rPr>
          <w:rFonts w:cs="Arial"/>
          <w:bCs w:val="0"/>
          <w:sz w:val="28"/>
          <w:szCs w:val="28"/>
        </w:rPr>
        <w:t>INSTRUÇÃO DE SERVIÇO</w:t>
      </w:r>
      <w:r w:rsidR="00286C93">
        <w:rPr>
          <w:rFonts w:cs="Arial"/>
          <w:bCs w:val="0"/>
          <w:sz w:val="28"/>
          <w:szCs w:val="28"/>
        </w:rPr>
        <w:t xml:space="preserve"> </w:t>
      </w:r>
      <w:r w:rsidR="00C84B2A">
        <w:rPr>
          <w:rFonts w:cs="Arial"/>
          <w:bCs w:val="0"/>
          <w:sz w:val="28"/>
          <w:szCs w:val="28"/>
        </w:rPr>
        <w:t>N</w:t>
      </w:r>
      <w:r w:rsidR="00286C93">
        <w:rPr>
          <w:rFonts w:cs="Arial"/>
          <w:bCs w:val="0"/>
          <w:sz w:val="28"/>
          <w:szCs w:val="28"/>
        </w:rPr>
        <w:t xml:space="preserve">º </w:t>
      </w:r>
      <w:r w:rsidR="00324C92">
        <w:rPr>
          <w:rFonts w:cs="Arial"/>
          <w:bCs w:val="0"/>
          <w:sz w:val="28"/>
          <w:szCs w:val="28"/>
        </w:rPr>
        <w:t>71</w:t>
      </w:r>
      <w:r w:rsidR="00286C93">
        <w:rPr>
          <w:rFonts w:cs="Arial"/>
          <w:bCs w:val="0"/>
          <w:sz w:val="28"/>
          <w:szCs w:val="28"/>
        </w:rPr>
        <w:t>/201</w:t>
      </w:r>
      <w:r w:rsidR="004F3602">
        <w:rPr>
          <w:rFonts w:cs="Arial"/>
          <w:bCs w:val="0"/>
          <w:sz w:val="28"/>
          <w:szCs w:val="28"/>
        </w:rPr>
        <w:t>4</w:t>
      </w:r>
      <w:r w:rsidR="00D67B5F" w:rsidRPr="00D67B5F">
        <w:rPr>
          <w:rStyle w:val="Refdenotaderodap"/>
          <w:rFonts w:cs="Arial"/>
          <w:bCs w:val="0"/>
          <w:sz w:val="28"/>
          <w:szCs w:val="28"/>
        </w:rPr>
        <w:footnoteReference w:customMarkFollows="1" w:id="1"/>
        <w:sym w:font="Symbol" w:char="F02A"/>
      </w:r>
    </w:p>
    <w:p w:rsidR="007F6D29" w:rsidRPr="008B0DAE" w:rsidRDefault="00E82CD2" w:rsidP="003A4852">
      <w:pPr>
        <w:pStyle w:val="Ementa"/>
        <w:spacing w:before="360" w:after="360"/>
        <w:ind w:left="4536"/>
        <w:rPr>
          <w:i/>
          <w:sz w:val="24"/>
        </w:rPr>
      </w:pPr>
      <w:r>
        <w:rPr>
          <w:i/>
          <w:sz w:val="24"/>
        </w:rPr>
        <w:t>Regulamenta o disposto no art. 357, do Regimento Interno, no âmbito do G</w:t>
      </w:r>
      <w:r w:rsidR="00C84B2A">
        <w:rPr>
          <w:i/>
          <w:sz w:val="24"/>
        </w:rPr>
        <w:t>abinete do Conselheiro Fernando Augusto Mello Guimarães</w:t>
      </w:r>
      <w:r w:rsidR="00CF2753">
        <w:rPr>
          <w:i/>
          <w:sz w:val="24"/>
        </w:rPr>
        <w:t>, dispõe sobre delegações a unidades administrativas e dá outras providências.</w:t>
      </w:r>
    </w:p>
    <w:p w:rsidR="007F6D29" w:rsidRPr="00E671F5" w:rsidRDefault="007F6D29" w:rsidP="007F6D29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sz w:val="24"/>
        </w:rPr>
      </w:pPr>
      <w:r w:rsidRPr="00E671F5">
        <w:rPr>
          <w:b/>
          <w:sz w:val="24"/>
        </w:rPr>
        <w:t xml:space="preserve">O </w:t>
      </w:r>
      <w:r w:rsidR="007B3F22">
        <w:rPr>
          <w:b/>
          <w:sz w:val="24"/>
        </w:rPr>
        <w:t>CONSELHEIRO</w:t>
      </w:r>
      <w:r w:rsidR="008F7C4C">
        <w:rPr>
          <w:b/>
          <w:sz w:val="24"/>
        </w:rPr>
        <w:t xml:space="preserve"> FERNANDO AUGUSTO MELLO GUIMARÃES</w:t>
      </w:r>
      <w:r w:rsidRPr="00E671F5">
        <w:rPr>
          <w:sz w:val="24"/>
        </w:rPr>
        <w:t xml:space="preserve">, no uso </w:t>
      </w:r>
      <w:r>
        <w:rPr>
          <w:sz w:val="24"/>
        </w:rPr>
        <w:t xml:space="preserve">das </w:t>
      </w:r>
      <w:r w:rsidRPr="00E671F5">
        <w:rPr>
          <w:sz w:val="24"/>
        </w:rPr>
        <w:t>atribuições</w:t>
      </w:r>
      <w:r>
        <w:rPr>
          <w:sz w:val="24"/>
        </w:rPr>
        <w:t xml:space="preserve"> contidas no</w:t>
      </w:r>
      <w:r w:rsidR="008F7C4C">
        <w:rPr>
          <w:sz w:val="24"/>
        </w:rPr>
        <w:t>s</w:t>
      </w:r>
      <w:r>
        <w:rPr>
          <w:sz w:val="24"/>
        </w:rPr>
        <w:t xml:space="preserve"> </w:t>
      </w:r>
      <w:proofErr w:type="spellStart"/>
      <w:r>
        <w:rPr>
          <w:sz w:val="24"/>
        </w:rPr>
        <w:t>art</w:t>
      </w:r>
      <w:r w:rsidR="008F7C4C">
        <w:rPr>
          <w:sz w:val="24"/>
        </w:rPr>
        <w:t>s</w:t>
      </w:r>
      <w:proofErr w:type="spellEnd"/>
      <w:r>
        <w:rPr>
          <w:sz w:val="24"/>
        </w:rPr>
        <w:t>.</w:t>
      </w:r>
      <w:r w:rsidR="008F7C4C">
        <w:rPr>
          <w:sz w:val="24"/>
        </w:rPr>
        <w:t xml:space="preserve"> 32, I, </w:t>
      </w:r>
      <w:r w:rsidR="00BD4D6A">
        <w:rPr>
          <w:sz w:val="24"/>
        </w:rPr>
        <w:t xml:space="preserve">§§ </w:t>
      </w:r>
      <w:r w:rsidR="00AC30FA">
        <w:rPr>
          <w:sz w:val="24"/>
        </w:rPr>
        <w:t xml:space="preserve">7° e 9°, </w:t>
      </w:r>
      <w:r w:rsidR="008F7C4C">
        <w:rPr>
          <w:sz w:val="24"/>
        </w:rPr>
        <w:t>33, III</w:t>
      </w:r>
      <w:r w:rsidR="00286C93">
        <w:rPr>
          <w:sz w:val="24"/>
        </w:rPr>
        <w:t>,</w:t>
      </w:r>
      <w:r w:rsidR="008F7C4C">
        <w:rPr>
          <w:sz w:val="24"/>
        </w:rPr>
        <w:t xml:space="preserve"> e </w:t>
      </w:r>
      <w:r>
        <w:rPr>
          <w:sz w:val="24"/>
        </w:rPr>
        <w:t>197, do Regimento Interno,</w:t>
      </w:r>
    </w:p>
    <w:p w:rsidR="007F6D29" w:rsidRDefault="007F6D29" w:rsidP="007F6D29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 w:after="24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:rsidR="003A4852" w:rsidRPr="003B1458" w:rsidRDefault="003A4852" w:rsidP="003A4852">
      <w:pPr>
        <w:pStyle w:val="SumrioSeo"/>
      </w:pPr>
      <w:bookmarkStart w:id="1" w:name="_Toc362959642"/>
      <w:r w:rsidRPr="003B1458">
        <w:t>Seção I</w:t>
      </w:r>
      <w:bookmarkEnd w:id="1"/>
    </w:p>
    <w:p w:rsidR="003A4852" w:rsidRDefault="003A4852" w:rsidP="003A4852">
      <w:pPr>
        <w:pStyle w:val="SumrioSeo"/>
        <w:spacing w:before="0" w:after="240"/>
      </w:pPr>
      <w:bookmarkStart w:id="2" w:name="_Toc362959643"/>
      <w:r w:rsidRPr="003B1458">
        <w:t xml:space="preserve">Do </w:t>
      </w:r>
      <w:bookmarkEnd w:id="2"/>
      <w:r>
        <w:t>art. 357, do Regimento Interno do TCE/PR</w:t>
      </w:r>
    </w:p>
    <w:p w:rsidR="00123F55" w:rsidRPr="00CE4C74" w:rsidRDefault="00123F55" w:rsidP="007F6D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b/>
          <w:sz w:val="24"/>
        </w:rPr>
        <w:t>Art. 1°</w:t>
      </w:r>
      <w:r w:rsidR="00CE4C74">
        <w:rPr>
          <w:sz w:val="24"/>
        </w:rPr>
        <w:t xml:space="preserve"> Uma vez exarad</w:t>
      </w:r>
      <w:r w:rsidR="00BC116E">
        <w:rPr>
          <w:sz w:val="24"/>
        </w:rPr>
        <w:t>a instrução conclusiva pela unidade administrativa competente, mesmo não havendo manifestação do</w:t>
      </w:r>
      <w:r w:rsidR="00CE4C74">
        <w:rPr>
          <w:sz w:val="24"/>
        </w:rPr>
        <w:t xml:space="preserve"> Ministério Público de Contas, apenas serão conhecidos documentos que se revistam do car</w:t>
      </w:r>
      <w:r w:rsidR="00BA5939">
        <w:rPr>
          <w:sz w:val="24"/>
        </w:rPr>
        <w:t>áter de novos.</w:t>
      </w:r>
    </w:p>
    <w:p w:rsidR="00D1585F" w:rsidRDefault="00AE43FF" w:rsidP="007F6D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sz w:val="24"/>
        </w:rPr>
        <w:t xml:space="preserve">Parágrafo </w:t>
      </w:r>
      <w:r w:rsidR="00CE4C74" w:rsidRPr="00CE4C74">
        <w:rPr>
          <w:sz w:val="24"/>
        </w:rPr>
        <w:t>único</w:t>
      </w:r>
      <w:r>
        <w:rPr>
          <w:sz w:val="24"/>
        </w:rPr>
        <w:t xml:space="preserve">. </w:t>
      </w:r>
      <w:r w:rsidR="00D1585F">
        <w:rPr>
          <w:sz w:val="24"/>
        </w:rPr>
        <w:t xml:space="preserve">A </w:t>
      </w:r>
      <w:r w:rsidR="009313A4">
        <w:rPr>
          <w:sz w:val="24"/>
        </w:rPr>
        <w:t xml:space="preserve">caracterização </w:t>
      </w:r>
      <w:r w:rsidR="00D1585F">
        <w:rPr>
          <w:sz w:val="24"/>
        </w:rPr>
        <w:t xml:space="preserve">de um documento como novo deverá ser realizada por meio da plena demonstração de que se trata de peça cuja produção dependia de terceiros e cuja emissão foi solicitada </w:t>
      </w:r>
      <w:r w:rsidR="007B0F7F">
        <w:rPr>
          <w:sz w:val="24"/>
        </w:rPr>
        <w:t>tempestivamente para os fins que se pretende utilizar</w:t>
      </w:r>
      <w:r w:rsidR="0063175E">
        <w:rPr>
          <w:sz w:val="24"/>
        </w:rPr>
        <w:t>.</w:t>
      </w:r>
    </w:p>
    <w:p w:rsidR="001001CB" w:rsidRDefault="007F6D29" w:rsidP="007F6D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A522BA">
        <w:rPr>
          <w:b/>
          <w:sz w:val="24"/>
        </w:rPr>
        <w:t>2</w:t>
      </w:r>
      <w:r w:rsidR="0041376F">
        <w:rPr>
          <w:b/>
          <w:sz w:val="24"/>
        </w:rPr>
        <w:t>°</w:t>
      </w:r>
      <w:r w:rsidR="0041376F">
        <w:rPr>
          <w:sz w:val="24"/>
        </w:rPr>
        <w:t xml:space="preserve"> </w:t>
      </w:r>
      <w:r w:rsidR="001001CB">
        <w:rPr>
          <w:sz w:val="24"/>
        </w:rPr>
        <w:t>D</w:t>
      </w:r>
      <w:r w:rsidR="00967DEF">
        <w:rPr>
          <w:sz w:val="24"/>
        </w:rPr>
        <w:t xml:space="preserve">ocumentos </w:t>
      </w:r>
      <w:r w:rsidR="001001CB">
        <w:rPr>
          <w:sz w:val="24"/>
        </w:rPr>
        <w:t>não recebidos</w:t>
      </w:r>
      <w:r w:rsidR="003A4852">
        <w:rPr>
          <w:sz w:val="24"/>
        </w:rPr>
        <w:t>,</w:t>
      </w:r>
      <w:r w:rsidR="001001CB">
        <w:rPr>
          <w:sz w:val="24"/>
        </w:rPr>
        <w:t xml:space="preserve"> </w:t>
      </w:r>
      <w:r w:rsidR="00967DEF">
        <w:rPr>
          <w:sz w:val="24"/>
        </w:rPr>
        <w:t>apresentados em processo</w:t>
      </w:r>
      <w:r w:rsidR="001001CB">
        <w:rPr>
          <w:sz w:val="24"/>
        </w:rPr>
        <w:t>s</w:t>
      </w:r>
      <w:r w:rsidR="00967DEF">
        <w:rPr>
          <w:sz w:val="24"/>
        </w:rPr>
        <w:t xml:space="preserve"> </w:t>
      </w:r>
      <w:r w:rsidR="00804E0B">
        <w:rPr>
          <w:sz w:val="24"/>
        </w:rPr>
        <w:t xml:space="preserve">cuja inclusão em </w:t>
      </w:r>
      <w:r w:rsidR="001001CB">
        <w:rPr>
          <w:sz w:val="24"/>
        </w:rPr>
        <w:t>pauta de julgamento</w:t>
      </w:r>
      <w:r w:rsidR="00804E0B">
        <w:rPr>
          <w:sz w:val="24"/>
        </w:rPr>
        <w:t xml:space="preserve"> já tenha sido solicitada</w:t>
      </w:r>
      <w:r w:rsidR="003A4852">
        <w:rPr>
          <w:sz w:val="24"/>
        </w:rPr>
        <w:t>,</w:t>
      </w:r>
      <w:r w:rsidR="001001CB">
        <w:rPr>
          <w:sz w:val="24"/>
        </w:rPr>
        <w:t xml:space="preserve"> </w:t>
      </w:r>
      <w:r w:rsidR="00804E0B">
        <w:rPr>
          <w:sz w:val="24"/>
        </w:rPr>
        <w:t>t</w:t>
      </w:r>
      <w:r w:rsidR="001001CB">
        <w:rPr>
          <w:sz w:val="24"/>
        </w:rPr>
        <w:t xml:space="preserve">erão seu </w:t>
      </w:r>
      <w:r w:rsidR="00005701">
        <w:rPr>
          <w:sz w:val="24"/>
        </w:rPr>
        <w:t>ju</w:t>
      </w:r>
      <w:r w:rsidR="008551EE">
        <w:rPr>
          <w:sz w:val="24"/>
        </w:rPr>
        <w:t>ízo de admissibilidade negativo</w:t>
      </w:r>
      <w:r w:rsidR="001001CB">
        <w:rPr>
          <w:sz w:val="24"/>
        </w:rPr>
        <w:t xml:space="preserve"> realizado na proposta de voto deste Conselheiro.</w:t>
      </w:r>
    </w:p>
    <w:p w:rsidR="00804E0B" w:rsidRDefault="00804E0B" w:rsidP="00804E0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b/>
          <w:sz w:val="24"/>
        </w:rPr>
        <w:t>Art. 3°</w:t>
      </w:r>
      <w:r>
        <w:rPr>
          <w:sz w:val="24"/>
        </w:rPr>
        <w:t xml:space="preserve"> Documentos não recebidos</w:t>
      </w:r>
      <w:r w:rsidR="003A4852">
        <w:rPr>
          <w:sz w:val="24"/>
        </w:rPr>
        <w:t>,</w:t>
      </w:r>
      <w:r>
        <w:rPr>
          <w:sz w:val="24"/>
        </w:rPr>
        <w:t xml:space="preserve"> apresentados antes da solicitação de inclusão em pauta de julgamento</w:t>
      </w:r>
      <w:r w:rsidR="003A4852">
        <w:rPr>
          <w:sz w:val="24"/>
        </w:rPr>
        <w:t>,</w:t>
      </w:r>
      <w:r>
        <w:rPr>
          <w:sz w:val="24"/>
        </w:rPr>
        <w:t xml:space="preserve"> terão seu juízo de admissibilidade negativo realizado por meio de despacho.</w:t>
      </w:r>
    </w:p>
    <w:p w:rsidR="003A4852" w:rsidRPr="003B1458" w:rsidRDefault="003A4852" w:rsidP="003A4852">
      <w:pPr>
        <w:pStyle w:val="SumrioSeo"/>
      </w:pPr>
      <w:r w:rsidRPr="003B1458">
        <w:t>Seção I</w:t>
      </w:r>
      <w:r>
        <w:t>I</w:t>
      </w:r>
    </w:p>
    <w:p w:rsidR="00B1239F" w:rsidRPr="003A4852" w:rsidRDefault="00B1239F" w:rsidP="003A485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 w:after="240"/>
        <w:ind w:firstLine="0"/>
        <w:jc w:val="center"/>
        <w:rPr>
          <w:b/>
          <w:bCs/>
          <w:sz w:val="24"/>
        </w:rPr>
      </w:pPr>
      <w:r w:rsidRPr="003A4852">
        <w:rPr>
          <w:b/>
          <w:bCs/>
          <w:sz w:val="24"/>
        </w:rPr>
        <w:t>D</w:t>
      </w:r>
      <w:r w:rsidR="005361EB" w:rsidRPr="003A4852">
        <w:rPr>
          <w:b/>
          <w:bCs/>
          <w:sz w:val="24"/>
        </w:rPr>
        <w:t>as Delegações às Unidades Administrativas</w:t>
      </w:r>
    </w:p>
    <w:p w:rsidR="00A169BE" w:rsidRPr="00A169BE" w:rsidRDefault="00424D2C" w:rsidP="00A169BE">
      <w:pPr>
        <w:pStyle w:val="ArtigosOrdinais"/>
        <w:ind w:firstLine="1134"/>
        <w:rPr>
          <w:sz w:val="24"/>
        </w:rPr>
      </w:pPr>
      <w:r w:rsidRPr="00A169BE">
        <w:rPr>
          <w:b/>
          <w:sz w:val="24"/>
        </w:rPr>
        <w:t>Art. 4°</w:t>
      </w:r>
      <w:r>
        <w:rPr>
          <w:sz w:val="24"/>
        </w:rPr>
        <w:t xml:space="preserve"> </w:t>
      </w:r>
      <w:r w:rsidR="00A169BE" w:rsidRPr="00A169BE">
        <w:rPr>
          <w:sz w:val="24"/>
        </w:rPr>
        <w:t>Na fase inicial de instrução dos processos</w:t>
      </w:r>
      <w:r w:rsidR="00BF3FA4">
        <w:rPr>
          <w:sz w:val="24"/>
        </w:rPr>
        <w:t>,</w:t>
      </w:r>
      <w:r w:rsidR="00A169BE" w:rsidRPr="00A169BE">
        <w:rPr>
          <w:sz w:val="24"/>
        </w:rPr>
        <w:t xml:space="preserve"> ficam delegados às unidades administrativas os despachos de citação ou intimação dos sujeitos, para o exercício do primeiro contraditório e realização de diligências, na forma do disposto no § 7º do art. 32, do Regimento Interno.</w:t>
      </w:r>
    </w:p>
    <w:p w:rsidR="00A169BE" w:rsidRDefault="00A169BE" w:rsidP="00A169BE">
      <w:pPr>
        <w:pStyle w:val="ArtigosOrdinais"/>
        <w:ind w:firstLine="1134"/>
        <w:rPr>
          <w:sz w:val="24"/>
        </w:rPr>
      </w:pPr>
      <w:r w:rsidRPr="00A169BE">
        <w:rPr>
          <w:sz w:val="24"/>
        </w:rPr>
        <w:t>§ 1º Os despachos serão encaminhados para publicação no Diário Eletrônico do Tribunal, seguindo os autos imediatamente à Diretoria de Protocolo para comunicação aos sujeitos</w:t>
      </w:r>
      <w:r w:rsidR="00BF3FA4">
        <w:rPr>
          <w:sz w:val="24"/>
        </w:rPr>
        <w:t xml:space="preserve"> </w:t>
      </w:r>
      <w:r w:rsidR="00BF3FA4" w:rsidRPr="006608FD">
        <w:rPr>
          <w:sz w:val="24"/>
        </w:rPr>
        <w:t>do processo</w:t>
      </w:r>
      <w:r w:rsidRPr="00A169BE">
        <w:rPr>
          <w:sz w:val="24"/>
        </w:rPr>
        <w:t>.</w:t>
      </w:r>
    </w:p>
    <w:p w:rsidR="00422D11" w:rsidRPr="00A169BE" w:rsidRDefault="00422D11" w:rsidP="00A169BE">
      <w:pPr>
        <w:pStyle w:val="ArtigosOrdinais"/>
        <w:ind w:firstLine="1134"/>
        <w:rPr>
          <w:sz w:val="24"/>
        </w:rPr>
      </w:pPr>
      <w:r>
        <w:rPr>
          <w:sz w:val="24"/>
        </w:rPr>
        <w:lastRenderedPageBreak/>
        <w:t xml:space="preserve">§ 2° </w:t>
      </w:r>
      <w:r w:rsidR="002B035D">
        <w:rPr>
          <w:sz w:val="24"/>
        </w:rPr>
        <w:t xml:space="preserve">Em processos de prestação de contas de transferências voluntárias, </w:t>
      </w:r>
      <w:r w:rsidR="004D08FB">
        <w:rPr>
          <w:sz w:val="24"/>
        </w:rPr>
        <w:t xml:space="preserve">caso constatada a ausência de alguma das certidões previstas na Resolução 03/2006 como obrigatórias na formalização da prestação de contas, </w:t>
      </w:r>
      <w:r w:rsidR="002B035D">
        <w:rPr>
          <w:sz w:val="24"/>
        </w:rPr>
        <w:t xml:space="preserve">mesmo que a conclusão da </w:t>
      </w:r>
      <w:r w:rsidR="00A25113">
        <w:rPr>
          <w:sz w:val="24"/>
        </w:rPr>
        <w:t xml:space="preserve">Instrução da </w:t>
      </w:r>
      <w:r w:rsidR="002B035D">
        <w:rPr>
          <w:sz w:val="24"/>
        </w:rPr>
        <w:t xml:space="preserve">Diretoria de Análise de Transferências seja pela </w:t>
      </w:r>
      <w:r w:rsidR="00BA3DD2">
        <w:rPr>
          <w:sz w:val="24"/>
        </w:rPr>
        <w:t xml:space="preserve">regularidade ou regularidade </w:t>
      </w:r>
      <w:r w:rsidR="00A25113">
        <w:rPr>
          <w:sz w:val="24"/>
        </w:rPr>
        <w:t xml:space="preserve">com ressalva das contas, </w:t>
      </w:r>
      <w:r w:rsidR="004D08FB">
        <w:rPr>
          <w:sz w:val="24"/>
        </w:rPr>
        <w:t xml:space="preserve">deverá </w:t>
      </w:r>
      <w:r w:rsidR="00E75F3F">
        <w:rPr>
          <w:sz w:val="24"/>
        </w:rPr>
        <w:t xml:space="preserve">haver citação ou intimação da </w:t>
      </w:r>
      <w:r w:rsidR="00326E58">
        <w:rPr>
          <w:sz w:val="24"/>
        </w:rPr>
        <w:t>e</w:t>
      </w:r>
      <w:r w:rsidR="00E75F3F">
        <w:rPr>
          <w:sz w:val="24"/>
        </w:rPr>
        <w:t xml:space="preserve">ntidade e do respectivo responsável para complementação da </w:t>
      </w:r>
      <w:r w:rsidR="002A7207">
        <w:rPr>
          <w:sz w:val="24"/>
        </w:rPr>
        <w:t>instrução</w:t>
      </w:r>
      <w:r w:rsidR="006C12D2">
        <w:rPr>
          <w:sz w:val="24"/>
        </w:rPr>
        <w:t xml:space="preserve">, observando-se a delegação indicada no </w:t>
      </w:r>
      <w:r w:rsidR="006C12D2" w:rsidRPr="006F4A41">
        <w:rPr>
          <w:i/>
          <w:sz w:val="24"/>
        </w:rPr>
        <w:t>caput</w:t>
      </w:r>
      <w:r w:rsidR="009948EB">
        <w:rPr>
          <w:sz w:val="24"/>
        </w:rPr>
        <w:t>.</w:t>
      </w:r>
      <w:r w:rsidR="002A7207">
        <w:rPr>
          <w:sz w:val="24"/>
        </w:rPr>
        <w:t xml:space="preserve"> </w:t>
      </w:r>
    </w:p>
    <w:p w:rsidR="00A169BE" w:rsidRPr="00A169BE" w:rsidRDefault="00A169BE" w:rsidP="00A169BE">
      <w:pPr>
        <w:pStyle w:val="ArtigosOrdinais"/>
        <w:ind w:firstLine="1134"/>
        <w:rPr>
          <w:sz w:val="24"/>
        </w:rPr>
      </w:pPr>
      <w:r w:rsidRPr="00A169BE">
        <w:rPr>
          <w:sz w:val="24"/>
        </w:rPr>
        <w:t xml:space="preserve">§ </w:t>
      </w:r>
      <w:r w:rsidR="006F4A41">
        <w:rPr>
          <w:sz w:val="24"/>
        </w:rPr>
        <w:t>3</w:t>
      </w:r>
      <w:r w:rsidRPr="00A169BE">
        <w:rPr>
          <w:sz w:val="24"/>
        </w:rPr>
        <w:t>º Realizada a comunicação processual, em havendo resposta protocolada no prazo ou o decurso do prazo sem envio de resposta, os autos serão encaminhados à unidade competente para instrução conclusiva, conforme parágrafo único do art. 353, do Regimento Interno.</w:t>
      </w:r>
    </w:p>
    <w:p w:rsidR="009E69B7" w:rsidRDefault="00A169BE" w:rsidP="009E69B7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A169BE">
        <w:rPr>
          <w:sz w:val="24"/>
        </w:rPr>
        <w:t xml:space="preserve">§ </w:t>
      </w:r>
      <w:r w:rsidR="006F4A41">
        <w:rPr>
          <w:sz w:val="24"/>
        </w:rPr>
        <w:t>4</w:t>
      </w:r>
      <w:r w:rsidRPr="00A169BE">
        <w:rPr>
          <w:sz w:val="24"/>
        </w:rPr>
        <w:t xml:space="preserve">º Protocolada a resposta extemporaneamente, </w:t>
      </w:r>
      <w:r w:rsidR="00174D29">
        <w:rPr>
          <w:sz w:val="24"/>
        </w:rPr>
        <w:t xml:space="preserve">caso ainda em poder da Diretoria de Protocolo, </w:t>
      </w:r>
      <w:r w:rsidRPr="00A169BE">
        <w:rPr>
          <w:sz w:val="24"/>
        </w:rPr>
        <w:t>os autos serão encaminhados</w:t>
      </w:r>
      <w:r w:rsidR="00174D29">
        <w:rPr>
          <w:sz w:val="24"/>
        </w:rPr>
        <w:t xml:space="preserve"> </w:t>
      </w:r>
      <w:r w:rsidR="00174D29" w:rsidRPr="00A169BE">
        <w:rPr>
          <w:sz w:val="24"/>
        </w:rPr>
        <w:t>à unidade competente para instrução conclusiva, conforme parágrafo único do</w:t>
      </w:r>
      <w:r w:rsidR="00174D29">
        <w:rPr>
          <w:sz w:val="24"/>
        </w:rPr>
        <w:t xml:space="preserve"> art. 353, do Regimento Interno, devendo haver expressa </w:t>
      </w:r>
      <w:r w:rsidR="009E69B7" w:rsidRPr="009E69B7">
        <w:rPr>
          <w:sz w:val="24"/>
        </w:rPr>
        <w:t>indicação de eventuais atrasos em relação aos prazos regulamentares.</w:t>
      </w:r>
    </w:p>
    <w:p w:rsidR="009E69B7" w:rsidRDefault="001A3A2C" w:rsidP="009E69B7">
      <w:pPr>
        <w:pStyle w:val="ArtigosOrdinais"/>
        <w:ind w:firstLine="1134"/>
        <w:rPr>
          <w:sz w:val="24"/>
        </w:rPr>
      </w:pPr>
      <w:r w:rsidRPr="00A169BE">
        <w:rPr>
          <w:sz w:val="24"/>
        </w:rPr>
        <w:t xml:space="preserve">§ </w:t>
      </w:r>
      <w:r w:rsidR="006F4A41">
        <w:rPr>
          <w:sz w:val="24"/>
        </w:rPr>
        <w:t>5</w:t>
      </w:r>
      <w:r w:rsidRPr="00A169BE">
        <w:rPr>
          <w:sz w:val="24"/>
        </w:rPr>
        <w:t xml:space="preserve">º Protocolada a resposta extemporaneamente, </w:t>
      </w:r>
      <w:r>
        <w:rPr>
          <w:sz w:val="24"/>
        </w:rPr>
        <w:t xml:space="preserve">caso se encontrem em poder da unidade administrativa competente sem instrução elaborada, deverá a Diretoria realizar a devida análise, sem prejuízo da expressa </w:t>
      </w:r>
      <w:r w:rsidR="009E69B7" w:rsidRPr="009E69B7">
        <w:rPr>
          <w:sz w:val="24"/>
        </w:rPr>
        <w:t>indicação de eventuais atrasos em relação aos prazos regulamentares.</w:t>
      </w:r>
    </w:p>
    <w:p w:rsidR="00E27BD3" w:rsidRPr="00A169BE" w:rsidRDefault="00E27BD3" w:rsidP="00E27BD3">
      <w:pPr>
        <w:pStyle w:val="ArtigosOrdinais"/>
        <w:ind w:firstLine="1134"/>
        <w:rPr>
          <w:sz w:val="24"/>
        </w:rPr>
      </w:pPr>
      <w:r w:rsidRPr="00A169BE">
        <w:rPr>
          <w:sz w:val="24"/>
        </w:rPr>
        <w:t xml:space="preserve">§ </w:t>
      </w:r>
      <w:r w:rsidR="006F4A41">
        <w:rPr>
          <w:sz w:val="24"/>
        </w:rPr>
        <w:t>6</w:t>
      </w:r>
      <w:r w:rsidRPr="00A169BE">
        <w:rPr>
          <w:sz w:val="24"/>
        </w:rPr>
        <w:t xml:space="preserve">º Protocolada a resposta extemporaneamente, </w:t>
      </w:r>
      <w:r>
        <w:rPr>
          <w:sz w:val="24"/>
        </w:rPr>
        <w:t xml:space="preserve">caso se encontrem em poder da unidade administrativa competente com instrução elaborada, </w:t>
      </w:r>
      <w:r w:rsidRPr="00A169BE">
        <w:rPr>
          <w:sz w:val="24"/>
        </w:rPr>
        <w:t>os autos serão encaminhados</w:t>
      </w:r>
      <w:r>
        <w:rPr>
          <w:sz w:val="24"/>
        </w:rPr>
        <w:t xml:space="preserve"> </w:t>
      </w:r>
      <w:r w:rsidRPr="00A169BE">
        <w:rPr>
          <w:sz w:val="24"/>
        </w:rPr>
        <w:t>ao Gabinete deste Conselheiro para apreciação, conforme o § 1º, do art. 357, do Regimento Interno.</w:t>
      </w:r>
    </w:p>
    <w:p w:rsidR="00A169BE" w:rsidRPr="00191E30" w:rsidRDefault="00A169BE" w:rsidP="00A169BE">
      <w:pPr>
        <w:pStyle w:val="ArtigosOrdinais"/>
        <w:ind w:firstLine="1134"/>
        <w:rPr>
          <w:sz w:val="24"/>
        </w:rPr>
      </w:pPr>
      <w:r w:rsidRPr="00191E30">
        <w:rPr>
          <w:sz w:val="24"/>
        </w:rPr>
        <w:t xml:space="preserve">§ </w:t>
      </w:r>
      <w:r w:rsidR="006F4A41">
        <w:rPr>
          <w:sz w:val="24"/>
        </w:rPr>
        <w:t>7</w:t>
      </w:r>
      <w:r w:rsidRPr="00191E30">
        <w:rPr>
          <w:sz w:val="24"/>
        </w:rPr>
        <w:t xml:space="preserve">º Restando infrutíferas a citação ou intimação por meio eletrônico ou por via postal, </w:t>
      </w:r>
      <w:r w:rsidR="00E71688" w:rsidRPr="00191E30">
        <w:rPr>
          <w:sz w:val="24"/>
        </w:rPr>
        <w:t xml:space="preserve">delega-se à Diretoria de Protocolo </w:t>
      </w:r>
      <w:r w:rsidR="00A30BB5" w:rsidRPr="00191E30">
        <w:rPr>
          <w:sz w:val="24"/>
        </w:rPr>
        <w:t xml:space="preserve">a realização do procedimento pela via </w:t>
      </w:r>
      <w:proofErr w:type="spellStart"/>
      <w:r w:rsidR="00A30BB5" w:rsidRPr="00191E30">
        <w:rPr>
          <w:sz w:val="24"/>
        </w:rPr>
        <w:t>editalícia</w:t>
      </w:r>
      <w:proofErr w:type="spellEnd"/>
      <w:r w:rsidR="00A30BB5" w:rsidRPr="00191E30">
        <w:rPr>
          <w:sz w:val="24"/>
        </w:rPr>
        <w:t xml:space="preserve">, observando-se ao disposto no </w:t>
      </w:r>
      <w:r w:rsidR="004D2755" w:rsidRPr="00191E30">
        <w:rPr>
          <w:sz w:val="24"/>
        </w:rPr>
        <w:t>art. 381, do Regimento Interno.</w:t>
      </w:r>
      <w:r w:rsidRPr="00191E30">
        <w:rPr>
          <w:sz w:val="24"/>
        </w:rPr>
        <w:t xml:space="preserve"> </w:t>
      </w:r>
    </w:p>
    <w:p w:rsidR="00A169BE" w:rsidRPr="00A169BE" w:rsidRDefault="00A169BE" w:rsidP="00A169BE">
      <w:pPr>
        <w:pStyle w:val="ArtigosOrdinais"/>
        <w:ind w:firstLine="1134"/>
        <w:rPr>
          <w:sz w:val="24"/>
        </w:rPr>
      </w:pPr>
      <w:r w:rsidRPr="00140A90">
        <w:rPr>
          <w:b/>
          <w:sz w:val="24"/>
        </w:rPr>
        <w:t xml:space="preserve">Art. </w:t>
      </w:r>
      <w:r w:rsidR="00191E30" w:rsidRPr="00140A90">
        <w:rPr>
          <w:b/>
          <w:sz w:val="24"/>
        </w:rPr>
        <w:t>5</w:t>
      </w:r>
      <w:r w:rsidRPr="00140A90">
        <w:rPr>
          <w:b/>
          <w:sz w:val="24"/>
        </w:rPr>
        <w:t>º</w:t>
      </w:r>
      <w:r w:rsidRPr="00A169BE">
        <w:rPr>
          <w:sz w:val="24"/>
        </w:rPr>
        <w:t xml:space="preserve"> </w:t>
      </w:r>
      <w:r w:rsidR="00140A90">
        <w:rPr>
          <w:sz w:val="24"/>
        </w:rPr>
        <w:t>D</w:t>
      </w:r>
      <w:r w:rsidRPr="00A169BE">
        <w:rPr>
          <w:sz w:val="24"/>
        </w:rPr>
        <w:t>elega</w:t>
      </w:r>
      <w:r w:rsidR="00140A90">
        <w:rPr>
          <w:sz w:val="24"/>
        </w:rPr>
        <w:t xml:space="preserve">-se </w:t>
      </w:r>
      <w:r w:rsidRPr="00A169BE">
        <w:rPr>
          <w:sz w:val="24"/>
        </w:rPr>
        <w:t xml:space="preserve">às unidades administrativas a apreciação dos pedidos de prorrogação de prazo para o exercício do primeiro contraditório e realização de diligências, desde que </w:t>
      </w:r>
      <w:r w:rsidR="00140A90">
        <w:rPr>
          <w:sz w:val="24"/>
        </w:rPr>
        <w:t xml:space="preserve">realizados dentro do prazo para a respectiva manifestação, nele considerado também o período da prorrogação, observada a regra da não solução de continuidade do </w:t>
      </w:r>
      <w:r w:rsidRPr="00A169BE">
        <w:rPr>
          <w:sz w:val="24"/>
        </w:rPr>
        <w:t>parágrafo único do art. 389, do Regimento Interno.</w:t>
      </w:r>
    </w:p>
    <w:p w:rsidR="00967DEF" w:rsidRDefault="00A169BE" w:rsidP="00A169B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A169BE">
        <w:rPr>
          <w:sz w:val="24"/>
        </w:rPr>
        <w:t xml:space="preserve">Parágrafo único. Os pedidos de prorrogação de prazo que não atenderem </w:t>
      </w:r>
      <w:r w:rsidR="00AE43FF">
        <w:rPr>
          <w:sz w:val="24"/>
        </w:rPr>
        <w:t xml:space="preserve">ao disposto no </w:t>
      </w:r>
      <w:r w:rsidR="00AE43FF" w:rsidRPr="00310420">
        <w:rPr>
          <w:i/>
          <w:sz w:val="24"/>
        </w:rPr>
        <w:t>caput</w:t>
      </w:r>
      <w:r w:rsidR="00AE43FF">
        <w:rPr>
          <w:sz w:val="24"/>
        </w:rPr>
        <w:t xml:space="preserve"> </w:t>
      </w:r>
      <w:r w:rsidRPr="00A169BE">
        <w:rPr>
          <w:sz w:val="24"/>
        </w:rPr>
        <w:t>serão encaminhados ao Gabinete deste Conselheiro para apreciação, conforme o § 10, do art. 32, do Regimento Interno.</w:t>
      </w:r>
    </w:p>
    <w:p w:rsidR="00424D2C" w:rsidRDefault="009E69B7" w:rsidP="007F6D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9E69B7">
        <w:rPr>
          <w:b/>
          <w:sz w:val="24"/>
        </w:rPr>
        <w:t>Art. 6°</w:t>
      </w:r>
      <w:r w:rsidRPr="009E69B7">
        <w:rPr>
          <w:sz w:val="24"/>
        </w:rPr>
        <w:t xml:space="preserve"> </w:t>
      </w:r>
      <w:r>
        <w:rPr>
          <w:sz w:val="24"/>
        </w:rPr>
        <w:t>O</w:t>
      </w:r>
      <w:r w:rsidRPr="009E69B7">
        <w:rPr>
          <w:sz w:val="24"/>
        </w:rPr>
        <w:t>bservada a juntada de documentos complementares antes da r</w:t>
      </w:r>
      <w:r>
        <w:rPr>
          <w:sz w:val="24"/>
        </w:rPr>
        <w:t xml:space="preserve">ealização da primeira instrução, deverá a unidade administrativa competente proceder à regular instrução do processo, sem </w:t>
      </w:r>
      <w:r w:rsidRPr="009E69B7">
        <w:rPr>
          <w:sz w:val="24"/>
        </w:rPr>
        <w:t xml:space="preserve">o encaminhamento dos autos </w:t>
      </w:r>
      <w:r w:rsidR="00BF3FA4" w:rsidRPr="006608FD">
        <w:rPr>
          <w:sz w:val="24"/>
        </w:rPr>
        <w:t>a este</w:t>
      </w:r>
      <w:r>
        <w:rPr>
          <w:sz w:val="24"/>
        </w:rPr>
        <w:t xml:space="preserve"> Gabinete para juízo de admissibilidade, </w:t>
      </w:r>
      <w:r w:rsidRPr="009E69B7">
        <w:rPr>
          <w:sz w:val="24"/>
        </w:rPr>
        <w:t>sem prejuízo da indicação de eventuais atrasos em relação aos prazos regulamentares.</w:t>
      </w:r>
    </w:p>
    <w:p w:rsidR="00AE0BE8" w:rsidRDefault="00AE0BE8" w:rsidP="00AE0BE8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AE0BE8">
        <w:rPr>
          <w:b/>
          <w:sz w:val="24"/>
        </w:rPr>
        <w:t>Art. 7°</w:t>
      </w:r>
      <w:r w:rsidRPr="00AE0BE8">
        <w:rPr>
          <w:sz w:val="24"/>
        </w:rPr>
        <w:t xml:space="preserve"> </w:t>
      </w:r>
      <w:r>
        <w:rPr>
          <w:sz w:val="24"/>
        </w:rPr>
        <w:t xml:space="preserve">Se os Interessados procederem à juntada apenas de instrumento procuratório, deverá a unidade com a qual os autos se encontrem em poder proceder ao encaminhamento dos mesmos </w:t>
      </w:r>
      <w:r w:rsidRPr="00AE0BE8">
        <w:rPr>
          <w:sz w:val="24"/>
        </w:rPr>
        <w:t>à Diretoria de Protocolo para atualiza</w:t>
      </w:r>
      <w:r>
        <w:rPr>
          <w:sz w:val="24"/>
        </w:rPr>
        <w:t xml:space="preserve">ção do cadastro de procuradores, </w:t>
      </w:r>
      <w:r w:rsidR="00287D8B">
        <w:rPr>
          <w:sz w:val="24"/>
        </w:rPr>
        <w:t xml:space="preserve">sem </w:t>
      </w:r>
      <w:r w:rsidR="00287D8B" w:rsidRPr="009E69B7">
        <w:rPr>
          <w:sz w:val="24"/>
        </w:rPr>
        <w:t xml:space="preserve">o encaminhamento dos autos </w:t>
      </w:r>
      <w:r w:rsidR="00BF3FA4" w:rsidRPr="006608FD">
        <w:rPr>
          <w:sz w:val="24"/>
        </w:rPr>
        <w:t>a este</w:t>
      </w:r>
      <w:r w:rsidR="00287D8B">
        <w:rPr>
          <w:sz w:val="24"/>
        </w:rPr>
        <w:t xml:space="preserve"> Gabinete para juízo de admissibilidade.</w:t>
      </w:r>
    </w:p>
    <w:p w:rsidR="00AE0BE8" w:rsidRDefault="004555E3" w:rsidP="007F6D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sz w:val="24"/>
        </w:rPr>
        <w:lastRenderedPageBreak/>
        <w:t xml:space="preserve">Parágrafo único. </w:t>
      </w:r>
      <w:r w:rsidRPr="004555E3">
        <w:rPr>
          <w:sz w:val="24"/>
        </w:rPr>
        <w:t xml:space="preserve">O disposto no </w:t>
      </w:r>
      <w:r w:rsidRPr="004555E3">
        <w:rPr>
          <w:i/>
          <w:sz w:val="24"/>
        </w:rPr>
        <w:t>caput</w:t>
      </w:r>
      <w:r w:rsidRPr="004555E3">
        <w:rPr>
          <w:sz w:val="24"/>
        </w:rPr>
        <w:t xml:space="preserve"> não se aplica nos casos em que a procuração seja acompanhada de outros documentos.</w:t>
      </w:r>
    </w:p>
    <w:p w:rsidR="00AE0BE8" w:rsidRDefault="00743538" w:rsidP="007F6D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2F5147">
        <w:rPr>
          <w:b/>
          <w:sz w:val="24"/>
        </w:rPr>
        <w:t>Art. 8°</w:t>
      </w:r>
      <w:r>
        <w:rPr>
          <w:sz w:val="24"/>
        </w:rPr>
        <w:t xml:space="preserve"> Delega-se à Diretoria de Controle de Atos de Pessoal </w:t>
      </w:r>
      <w:r w:rsidR="00723FF0">
        <w:rPr>
          <w:sz w:val="24"/>
        </w:rPr>
        <w:t xml:space="preserve">e à Diretoria de Contas Estaduais </w:t>
      </w:r>
      <w:r>
        <w:rPr>
          <w:sz w:val="24"/>
        </w:rPr>
        <w:t>a determinação de apensamento de processos de admissão de pessoal, desde que tratem de complementações tocantes ao mesmo processo de seleção e que ambos os expediente</w:t>
      </w:r>
      <w:r w:rsidR="00310420">
        <w:rPr>
          <w:sz w:val="24"/>
        </w:rPr>
        <w:t>s</w:t>
      </w:r>
      <w:r>
        <w:rPr>
          <w:sz w:val="24"/>
        </w:rPr>
        <w:t xml:space="preserve"> </w:t>
      </w:r>
      <w:proofErr w:type="gramStart"/>
      <w:r>
        <w:rPr>
          <w:sz w:val="24"/>
        </w:rPr>
        <w:t>encontrem-se</w:t>
      </w:r>
      <w:proofErr w:type="gramEnd"/>
      <w:r>
        <w:rPr>
          <w:sz w:val="24"/>
        </w:rPr>
        <w:t xml:space="preserve"> regularmente distribuídos a este Conselheiro.</w:t>
      </w:r>
    </w:p>
    <w:p w:rsidR="002F5147" w:rsidRDefault="002F5147" w:rsidP="002F5147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2F5147">
        <w:rPr>
          <w:b/>
          <w:sz w:val="24"/>
        </w:rPr>
        <w:t xml:space="preserve">Art. </w:t>
      </w:r>
      <w:r>
        <w:rPr>
          <w:b/>
          <w:sz w:val="24"/>
        </w:rPr>
        <w:t>9</w:t>
      </w:r>
      <w:r w:rsidRPr="002F5147">
        <w:rPr>
          <w:b/>
          <w:sz w:val="24"/>
        </w:rPr>
        <w:t>°</w:t>
      </w:r>
      <w:r>
        <w:rPr>
          <w:sz w:val="24"/>
        </w:rPr>
        <w:t xml:space="preserve"> Delega-se à Diretoria de Análise de Transferências a determinação de apensamento de processos de </w:t>
      </w:r>
      <w:r w:rsidR="00B776D0">
        <w:rPr>
          <w:sz w:val="24"/>
        </w:rPr>
        <w:t>prestação de contas de transferência</w:t>
      </w:r>
      <w:r>
        <w:rPr>
          <w:sz w:val="24"/>
        </w:rPr>
        <w:t xml:space="preserve">, desde que tratem de </w:t>
      </w:r>
      <w:r w:rsidR="00B776D0">
        <w:rPr>
          <w:sz w:val="24"/>
        </w:rPr>
        <w:t xml:space="preserve">parcelas do mesmo ajuste </w:t>
      </w:r>
      <w:r>
        <w:rPr>
          <w:sz w:val="24"/>
        </w:rPr>
        <w:t>e que ambos os expediente</w:t>
      </w:r>
      <w:r w:rsidR="00310420">
        <w:rPr>
          <w:sz w:val="24"/>
        </w:rPr>
        <w:t>s</w:t>
      </w:r>
      <w:r>
        <w:rPr>
          <w:sz w:val="24"/>
        </w:rPr>
        <w:t xml:space="preserve"> </w:t>
      </w:r>
      <w:proofErr w:type="gramStart"/>
      <w:r>
        <w:rPr>
          <w:sz w:val="24"/>
        </w:rPr>
        <w:t>encontrem-se</w:t>
      </w:r>
      <w:proofErr w:type="gramEnd"/>
      <w:r>
        <w:rPr>
          <w:sz w:val="24"/>
        </w:rPr>
        <w:t xml:space="preserve"> regularmente distribuídos a este Conselheiro.</w:t>
      </w:r>
    </w:p>
    <w:p w:rsidR="007F6D29" w:rsidRDefault="007F6D29" w:rsidP="007F6D29">
      <w:pPr>
        <w:pStyle w:val="Recuodecorpodetexto3"/>
        <w:spacing w:before="120"/>
        <w:ind w:firstLine="1134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Art. </w:t>
      </w:r>
      <w:r w:rsidR="00E04324">
        <w:rPr>
          <w:rFonts w:cs="Arial"/>
          <w:b/>
          <w:color w:val="000000"/>
        </w:rPr>
        <w:t>10.</w:t>
      </w:r>
      <w:r>
        <w:rPr>
          <w:rFonts w:cs="Arial"/>
          <w:b/>
          <w:color w:val="000000"/>
        </w:rPr>
        <w:t xml:space="preserve"> </w:t>
      </w:r>
      <w:r>
        <w:rPr>
          <w:rFonts w:cs="Arial"/>
          <w:color w:val="000000"/>
        </w:rPr>
        <w:t xml:space="preserve">Esta Instrução de Serviço entra em </w:t>
      </w:r>
      <w:r w:rsidR="003E2B95">
        <w:rPr>
          <w:rFonts w:cs="Arial"/>
          <w:color w:val="000000"/>
        </w:rPr>
        <w:t xml:space="preserve">vigor </w:t>
      </w:r>
      <w:r w:rsidR="00310420">
        <w:rPr>
          <w:rFonts w:cs="Arial"/>
          <w:color w:val="000000"/>
        </w:rPr>
        <w:t>na data de sua publicação</w:t>
      </w:r>
      <w:r w:rsidR="003E2B95">
        <w:rPr>
          <w:rFonts w:cs="Arial"/>
          <w:color w:val="000000"/>
        </w:rPr>
        <w:t>.</w:t>
      </w:r>
    </w:p>
    <w:p w:rsidR="007F6D29" w:rsidRDefault="00C844CF" w:rsidP="00310420">
      <w:pPr>
        <w:pStyle w:val="Recuodecorpodetexto3"/>
        <w:spacing w:before="360"/>
        <w:ind w:firstLine="1134"/>
        <w:rPr>
          <w:rFonts w:cs="Arial"/>
          <w:color w:val="000000"/>
        </w:rPr>
      </w:pPr>
      <w:r w:rsidRPr="0084491E">
        <w:rPr>
          <w:rFonts w:cs="Arial"/>
          <w:color w:val="000000"/>
        </w:rPr>
        <w:t xml:space="preserve">Curitiba, </w:t>
      </w:r>
      <w:r>
        <w:rPr>
          <w:rFonts w:cs="Arial"/>
          <w:color w:val="000000"/>
        </w:rPr>
        <w:t>18 de março de 2014</w:t>
      </w:r>
      <w:r w:rsidRPr="0084491E">
        <w:rPr>
          <w:rFonts w:cs="Arial"/>
          <w:color w:val="000000"/>
        </w:rPr>
        <w:t>.</w:t>
      </w:r>
    </w:p>
    <w:p w:rsidR="007F6D29" w:rsidRDefault="00310420" w:rsidP="00310420">
      <w:pPr>
        <w:pStyle w:val="Recuodecorpodetexto3"/>
        <w:spacing w:before="480"/>
        <w:ind w:firstLine="1134"/>
        <w:rPr>
          <w:rFonts w:cs="Arial"/>
          <w:b/>
          <w:color w:val="000000"/>
        </w:rPr>
      </w:pPr>
      <w:r w:rsidRPr="00310420">
        <w:rPr>
          <w:rFonts w:cs="Arial"/>
          <w:b/>
          <w:color w:val="000000"/>
        </w:rPr>
        <w:t>FERNANDO AUGUSTO MELLO GUIMARÃES</w:t>
      </w:r>
    </w:p>
    <w:p w:rsidR="00904245" w:rsidRPr="00904245" w:rsidRDefault="00904245" w:rsidP="00904245">
      <w:pPr>
        <w:pStyle w:val="Recuodecorpodetexto3"/>
        <w:spacing w:before="120"/>
        <w:ind w:firstLine="1134"/>
        <w:rPr>
          <w:rFonts w:cs="Arial"/>
          <w:color w:val="000000"/>
        </w:rPr>
      </w:pPr>
      <w:r w:rsidRPr="00904245">
        <w:rPr>
          <w:rFonts w:cs="Arial"/>
          <w:color w:val="000000"/>
        </w:rPr>
        <w:t>Conselheiro</w:t>
      </w:r>
    </w:p>
    <w:p w:rsidR="00A87661" w:rsidRDefault="00A87661"/>
    <w:sectPr w:rsidR="00A87661" w:rsidSect="009376AD">
      <w:headerReference w:type="default" r:id="rId6"/>
      <w:footerReference w:type="even" r:id="rId7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297" w:rsidRDefault="00C44297">
      <w:r>
        <w:separator/>
      </w:r>
    </w:p>
  </w:endnote>
  <w:endnote w:type="continuationSeparator" w:id="0">
    <w:p w:rsidR="00C44297" w:rsidRDefault="00C4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C2E" w:rsidRDefault="00991C2E" w:rsidP="00923E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1C2E" w:rsidRDefault="00991C2E" w:rsidP="00991C2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297" w:rsidRDefault="00C44297">
      <w:r>
        <w:separator/>
      </w:r>
    </w:p>
  </w:footnote>
  <w:footnote w:type="continuationSeparator" w:id="0">
    <w:p w:rsidR="00C44297" w:rsidRDefault="00C44297">
      <w:r>
        <w:continuationSeparator/>
      </w:r>
    </w:p>
  </w:footnote>
  <w:footnote w:id="1">
    <w:p w:rsidR="00D67B5F" w:rsidRPr="00903F9E" w:rsidRDefault="00D67B5F" w:rsidP="00D67B5F">
      <w:pPr>
        <w:pStyle w:val="Textodenotaderodap"/>
        <w:rPr>
          <w:rFonts w:ascii="Arial" w:hAnsi="Arial" w:cs="Arial"/>
        </w:rPr>
      </w:pPr>
      <w:r w:rsidRPr="00D67B5F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ascii="Arial" w:hAnsi="Arial" w:cs="Arial"/>
          <w:b/>
        </w:rPr>
        <w:t>Nota da Biblioteca:</w:t>
      </w:r>
    </w:p>
    <w:p w:rsidR="00D67B5F" w:rsidRPr="00903F9E" w:rsidRDefault="00D67B5F" w:rsidP="00D67B5F">
      <w:pPr>
        <w:pStyle w:val="Textodenotaderodap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D67B5F">
          <w:rPr>
            <w:rStyle w:val="Hyperlink"/>
            <w:rFonts w:ascii="Arial" w:hAnsi="Arial" w:cs="Arial"/>
          </w:rPr>
          <w:t>Diário Eletrônico do Tribunal de Contas do Estado do Paraná, Curitiba, PR, n. 845, 21 mar. 2014, p. 200-201</w:t>
        </w:r>
      </w:hyperlink>
      <w:r w:rsidRPr="00D67B5F">
        <w:rPr>
          <w:rFonts w:ascii="Arial" w:hAnsi="Arial" w:cs="Arial"/>
          <w:color w:val="0000FF"/>
          <w:u w:val="single"/>
        </w:rPr>
        <w:t>.</w:t>
      </w:r>
      <w:bookmarkStart w:id="0" w:name="_GoBack"/>
      <w:bookmarkEnd w:id="0"/>
    </w:p>
    <w:p w:rsidR="00D67B5F" w:rsidRDefault="00D67B5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7F6" w:rsidRPr="00C404BE" w:rsidRDefault="00CA37F6" w:rsidP="005E6657">
    <w:pPr>
      <w:pStyle w:val="Cabealho"/>
      <w:spacing w:before="36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1pt;width:47.7pt;height:56.1pt;z-index:251657728;visibility:visible">
          <v:imagedata r:id="rId1" o:title="logo TC colorido - medio"/>
          <w10:wrap type="square"/>
        </v:shape>
      </w:pict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05701"/>
    <w:rsid w:val="00020659"/>
    <w:rsid w:val="00021780"/>
    <w:rsid w:val="00093B7E"/>
    <w:rsid w:val="000A3863"/>
    <w:rsid w:val="000B17CA"/>
    <w:rsid w:val="000D1F38"/>
    <w:rsid w:val="000F06EE"/>
    <w:rsid w:val="000F3FAE"/>
    <w:rsid w:val="001001CB"/>
    <w:rsid w:val="00123F55"/>
    <w:rsid w:val="00140A90"/>
    <w:rsid w:val="00145B52"/>
    <w:rsid w:val="00156EF7"/>
    <w:rsid w:val="00174D29"/>
    <w:rsid w:val="00191E30"/>
    <w:rsid w:val="001A3A2C"/>
    <w:rsid w:val="001B374F"/>
    <w:rsid w:val="001C3202"/>
    <w:rsid w:val="001D0B09"/>
    <w:rsid w:val="001F297B"/>
    <w:rsid w:val="0020465E"/>
    <w:rsid w:val="00230E30"/>
    <w:rsid w:val="00232A3B"/>
    <w:rsid w:val="0023574B"/>
    <w:rsid w:val="0024733C"/>
    <w:rsid w:val="00250637"/>
    <w:rsid w:val="00254C75"/>
    <w:rsid w:val="00257E0D"/>
    <w:rsid w:val="00275E00"/>
    <w:rsid w:val="00286C93"/>
    <w:rsid w:val="00287D8B"/>
    <w:rsid w:val="002A3D7E"/>
    <w:rsid w:val="002A6D9B"/>
    <w:rsid w:val="002A7207"/>
    <w:rsid w:val="002B035D"/>
    <w:rsid w:val="002D32F2"/>
    <w:rsid w:val="002E621D"/>
    <w:rsid w:val="002E6983"/>
    <w:rsid w:val="002F5147"/>
    <w:rsid w:val="00310420"/>
    <w:rsid w:val="00324C92"/>
    <w:rsid w:val="00326E58"/>
    <w:rsid w:val="00333D8D"/>
    <w:rsid w:val="00344FD4"/>
    <w:rsid w:val="00352160"/>
    <w:rsid w:val="00352DC2"/>
    <w:rsid w:val="00376BC1"/>
    <w:rsid w:val="003939F6"/>
    <w:rsid w:val="003A4852"/>
    <w:rsid w:val="003C0D41"/>
    <w:rsid w:val="003D5DBC"/>
    <w:rsid w:val="003E2B95"/>
    <w:rsid w:val="003F2986"/>
    <w:rsid w:val="004068C6"/>
    <w:rsid w:val="0041376F"/>
    <w:rsid w:val="00422D11"/>
    <w:rsid w:val="00424D2C"/>
    <w:rsid w:val="004555E3"/>
    <w:rsid w:val="004A678B"/>
    <w:rsid w:val="004B2493"/>
    <w:rsid w:val="004D08FB"/>
    <w:rsid w:val="004D2755"/>
    <w:rsid w:val="004F3602"/>
    <w:rsid w:val="005249AF"/>
    <w:rsid w:val="005361EB"/>
    <w:rsid w:val="0054085D"/>
    <w:rsid w:val="005628F1"/>
    <w:rsid w:val="005970D2"/>
    <w:rsid w:val="005A7211"/>
    <w:rsid w:val="005B5621"/>
    <w:rsid w:val="005D2FB9"/>
    <w:rsid w:val="005E6657"/>
    <w:rsid w:val="0060728D"/>
    <w:rsid w:val="0063175E"/>
    <w:rsid w:val="00635041"/>
    <w:rsid w:val="006561E2"/>
    <w:rsid w:val="006608FD"/>
    <w:rsid w:val="00663CE6"/>
    <w:rsid w:val="006745B3"/>
    <w:rsid w:val="00676048"/>
    <w:rsid w:val="00697806"/>
    <w:rsid w:val="00697D56"/>
    <w:rsid w:val="006C12D2"/>
    <w:rsid w:val="006D351A"/>
    <w:rsid w:val="006F4A41"/>
    <w:rsid w:val="00701946"/>
    <w:rsid w:val="00712851"/>
    <w:rsid w:val="00723FF0"/>
    <w:rsid w:val="00743538"/>
    <w:rsid w:val="00754614"/>
    <w:rsid w:val="00766AC8"/>
    <w:rsid w:val="00790839"/>
    <w:rsid w:val="007A7205"/>
    <w:rsid w:val="007B0F7F"/>
    <w:rsid w:val="007B3F22"/>
    <w:rsid w:val="007D2BC0"/>
    <w:rsid w:val="007F6D29"/>
    <w:rsid w:val="00804E0B"/>
    <w:rsid w:val="00822A79"/>
    <w:rsid w:val="0084006D"/>
    <w:rsid w:val="008551EE"/>
    <w:rsid w:val="008641AF"/>
    <w:rsid w:val="008A7322"/>
    <w:rsid w:val="008A7938"/>
    <w:rsid w:val="008C59B9"/>
    <w:rsid w:val="008D5003"/>
    <w:rsid w:val="008F7C4C"/>
    <w:rsid w:val="00904245"/>
    <w:rsid w:val="00923EEB"/>
    <w:rsid w:val="009313A4"/>
    <w:rsid w:val="009376AD"/>
    <w:rsid w:val="00947334"/>
    <w:rsid w:val="009576EF"/>
    <w:rsid w:val="00961460"/>
    <w:rsid w:val="0096474C"/>
    <w:rsid w:val="00967DEF"/>
    <w:rsid w:val="00991C2E"/>
    <w:rsid w:val="009926C8"/>
    <w:rsid w:val="00994733"/>
    <w:rsid w:val="009948EB"/>
    <w:rsid w:val="009B2A7F"/>
    <w:rsid w:val="009C378B"/>
    <w:rsid w:val="009D3913"/>
    <w:rsid w:val="009E69B7"/>
    <w:rsid w:val="009E7AF1"/>
    <w:rsid w:val="009F3D01"/>
    <w:rsid w:val="00A169BE"/>
    <w:rsid w:val="00A25113"/>
    <w:rsid w:val="00A30BB5"/>
    <w:rsid w:val="00A40D87"/>
    <w:rsid w:val="00A522BA"/>
    <w:rsid w:val="00A62026"/>
    <w:rsid w:val="00A87661"/>
    <w:rsid w:val="00AC30FA"/>
    <w:rsid w:val="00AC706A"/>
    <w:rsid w:val="00AE0BE8"/>
    <w:rsid w:val="00AE43FF"/>
    <w:rsid w:val="00B122F7"/>
    <w:rsid w:val="00B1239F"/>
    <w:rsid w:val="00B14291"/>
    <w:rsid w:val="00B46434"/>
    <w:rsid w:val="00B65E35"/>
    <w:rsid w:val="00B776D0"/>
    <w:rsid w:val="00BA3DD2"/>
    <w:rsid w:val="00BA5939"/>
    <w:rsid w:val="00BB005A"/>
    <w:rsid w:val="00BC116E"/>
    <w:rsid w:val="00BD4D6A"/>
    <w:rsid w:val="00BE6197"/>
    <w:rsid w:val="00BE7D0D"/>
    <w:rsid w:val="00BF3FA4"/>
    <w:rsid w:val="00BF5861"/>
    <w:rsid w:val="00C06C03"/>
    <w:rsid w:val="00C07D82"/>
    <w:rsid w:val="00C17F9B"/>
    <w:rsid w:val="00C3478E"/>
    <w:rsid w:val="00C407CD"/>
    <w:rsid w:val="00C44297"/>
    <w:rsid w:val="00C45E94"/>
    <w:rsid w:val="00C64554"/>
    <w:rsid w:val="00C844CF"/>
    <w:rsid w:val="00C84B2A"/>
    <w:rsid w:val="00C90E91"/>
    <w:rsid w:val="00CA37F6"/>
    <w:rsid w:val="00CA3DEA"/>
    <w:rsid w:val="00CA62EC"/>
    <w:rsid w:val="00CB6A19"/>
    <w:rsid w:val="00CC6678"/>
    <w:rsid w:val="00CD0DAD"/>
    <w:rsid w:val="00CE0A9A"/>
    <w:rsid w:val="00CE48A9"/>
    <w:rsid w:val="00CE4C74"/>
    <w:rsid w:val="00CF2753"/>
    <w:rsid w:val="00CF4982"/>
    <w:rsid w:val="00D0031B"/>
    <w:rsid w:val="00D06DC9"/>
    <w:rsid w:val="00D1585F"/>
    <w:rsid w:val="00D162D3"/>
    <w:rsid w:val="00D30079"/>
    <w:rsid w:val="00D34194"/>
    <w:rsid w:val="00D361F5"/>
    <w:rsid w:val="00D57164"/>
    <w:rsid w:val="00D67B5F"/>
    <w:rsid w:val="00D819ED"/>
    <w:rsid w:val="00D94EE7"/>
    <w:rsid w:val="00DC4D73"/>
    <w:rsid w:val="00DC4E97"/>
    <w:rsid w:val="00DE247D"/>
    <w:rsid w:val="00DE3F36"/>
    <w:rsid w:val="00DE449D"/>
    <w:rsid w:val="00E04324"/>
    <w:rsid w:val="00E24150"/>
    <w:rsid w:val="00E27BD3"/>
    <w:rsid w:val="00E46288"/>
    <w:rsid w:val="00E71688"/>
    <w:rsid w:val="00E75F3F"/>
    <w:rsid w:val="00E82CD2"/>
    <w:rsid w:val="00E857A2"/>
    <w:rsid w:val="00E86839"/>
    <w:rsid w:val="00E90F2D"/>
    <w:rsid w:val="00EA526B"/>
    <w:rsid w:val="00EC3016"/>
    <w:rsid w:val="00ED0BB1"/>
    <w:rsid w:val="00ED568A"/>
    <w:rsid w:val="00F02106"/>
    <w:rsid w:val="00F04CBC"/>
    <w:rsid w:val="00F40F61"/>
    <w:rsid w:val="00F540F9"/>
    <w:rsid w:val="00F60DA3"/>
    <w:rsid w:val="00F767C7"/>
    <w:rsid w:val="00F94358"/>
    <w:rsid w:val="00FD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3A57A4D-5D83-44DE-92E5-65E3296B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bttulo">
    <w:name w:val="Subtitle"/>
    <w:basedOn w:val="Normal"/>
    <w:qFormat/>
    <w:rsid w:val="004B2493"/>
    <w:pPr>
      <w:spacing w:before="120" w:after="120" w:line="360" w:lineRule="auto"/>
      <w:jc w:val="center"/>
    </w:pPr>
    <w:rPr>
      <w:rFonts w:ascii="Arial" w:hAnsi="Arial" w:cs="Arial"/>
      <w:b/>
      <w:szCs w:val="28"/>
    </w:rPr>
  </w:style>
  <w:style w:type="paragraph" w:styleId="Rodap">
    <w:name w:val="footer"/>
    <w:basedOn w:val="Normal"/>
    <w:link w:val="RodapChar"/>
    <w:rsid w:val="00991C2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91C2E"/>
  </w:style>
  <w:style w:type="paragraph" w:styleId="Cabealho">
    <w:name w:val="header"/>
    <w:basedOn w:val="Normal"/>
    <w:link w:val="CabealhoChar"/>
    <w:rsid w:val="00CA37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37F6"/>
    <w:rPr>
      <w:sz w:val="24"/>
      <w:szCs w:val="24"/>
    </w:rPr>
  </w:style>
  <w:style w:type="character" w:customStyle="1" w:styleId="RodapChar">
    <w:name w:val="Rodapé Char"/>
    <w:link w:val="Rodap"/>
    <w:rsid w:val="007F6D29"/>
    <w:rPr>
      <w:sz w:val="24"/>
      <w:szCs w:val="24"/>
    </w:rPr>
  </w:style>
  <w:style w:type="paragraph" w:customStyle="1" w:styleId="Ementa">
    <w:name w:val="Ementa"/>
    <w:basedOn w:val="Normal"/>
    <w:rsid w:val="007F6D29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7F6D2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7F6D2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Recuodecorpodetexto3">
    <w:name w:val="Body Text Indent 3"/>
    <w:basedOn w:val="Normal"/>
    <w:link w:val="Recuodecorpodetexto3Char"/>
    <w:rsid w:val="007F6D29"/>
    <w:pPr>
      <w:ind w:firstLine="720"/>
      <w:jc w:val="both"/>
    </w:pPr>
    <w:rPr>
      <w:rFonts w:ascii="Arial" w:hAnsi="Arial"/>
      <w:color w:val="FF0000"/>
    </w:rPr>
  </w:style>
  <w:style w:type="character" w:customStyle="1" w:styleId="Recuodecorpodetexto3Char">
    <w:name w:val="Recuo de corpo de texto 3 Char"/>
    <w:link w:val="Recuodecorpodetexto3"/>
    <w:rsid w:val="007F6D29"/>
    <w:rPr>
      <w:rFonts w:ascii="Arial" w:hAnsi="Arial"/>
      <w:color w:val="FF0000"/>
      <w:sz w:val="24"/>
      <w:szCs w:val="24"/>
    </w:rPr>
  </w:style>
  <w:style w:type="paragraph" w:styleId="Corpodetexto">
    <w:name w:val="Body Text"/>
    <w:basedOn w:val="Normal"/>
    <w:link w:val="CorpodetextoChar"/>
    <w:rsid w:val="007F6D29"/>
    <w:pPr>
      <w:jc w:val="center"/>
    </w:pPr>
    <w:rPr>
      <w:rFonts w:ascii="Arial" w:hAnsi="Arial"/>
      <w:b/>
      <w:bCs/>
    </w:rPr>
  </w:style>
  <w:style w:type="character" w:customStyle="1" w:styleId="CorpodetextoChar">
    <w:name w:val="Corpo de texto Char"/>
    <w:link w:val="Corpodetexto"/>
    <w:rsid w:val="007F6D29"/>
    <w:rPr>
      <w:rFonts w:ascii="Arial" w:hAnsi="Arial"/>
      <w:b/>
      <w:bCs/>
      <w:sz w:val="24"/>
      <w:szCs w:val="24"/>
    </w:rPr>
  </w:style>
  <w:style w:type="paragraph" w:customStyle="1" w:styleId="SumrioSeo">
    <w:name w:val="Sumário Seção"/>
    <w:basedOn w:val="Recuodecorpodetexto3"/>
    <w:link w:val="SumrioSeoChar"/>
    <w:qFormat/>
    <w:rsid w:val="003A4852"/>
    <w:pPr>
      <w:spacing w:before="240"/>
      <w:ind w:firstLine="0"/>
      <w:jc w:val="center"/>
    </w:pPr>
    <w:rPr>
      <w:rFonts w:cs="Arial"/>
      <w:b/>
      <w:color w:val="000000"/>
    </w:rPr>
  </w:style>
  <w:style w:type="character" w:customStyle="1" w:styleId="SumrioSeoChar">
    <w:name w:val="Sumário Seção Char"/>
    <w:link w:val="SumrioSeo"/>
    <w:rsid w:val="003A4852"/>
    <w:rPr>
      <w:rFonts w:ascii="Arial" w:hAnsi="Arial" w:cs="Arial"/>
      <w:b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D67B5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67B5F"/>
  </w:style>
  <w:style w:type="character" w:styleId="Refdenotaderodap">
    <w:name w:val="footnote reference"/>
    <w:basedOn w:val="Fontepargpadro"/>
    <w:rsid w:val="00D67B5F"/>
    <w:rPr>
      <w:vertAlign w:val="superscript"/>
    </w:rPr>
  </w:style>
  <w:style w:type="character" w:styleId="Hyperlink">
    <w:name w:val="Hyperlink"/>
    <w:unhideWhenUsed/>
    <w:rsid w:val="00D67B5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7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4/3/pdf/0025599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914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instrução serviço</vt:lpstr>
    </vt:vector>
  </TitlesOfParts>
  <Company>TCE-PR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instrução serviço</dc:title>
  <dc:subject>Projeto de Instrução de Serviço</dc:subject>
  <dc:creator>tc508500</dc:creator>
  <cp:keywords/>
  <cp:lastModifiedBy>Yarusya Rohrich da Fonseca</cp:lastModifiedBy>
  <cp:revision>3</cp:revision>
  <cp:lastPrinted>2013-12-20T11:13:00Z</cp:lastPrinted>
  <dcterms:created xsi:type="dcterms:W3CDTF">2019-05-23T16:30:00Z</dcterms:created>
  <dcterms:modified xsi:type="dcterms:W3CDTF">2019-05-23T16:32:00Z</dcterms:modified>
</cp:coreProperties>
</file>