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D31E" w14:textId="18D66D63" w:rsidR="006F211B" w:rsidRDefault="006F211B" w:rsidP="006F211B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BD75B6">
        <w:rPr>
          <w:rFonts w:ascii="Arial" w:hAnsi="Arial" w:cs="Arial"/>
          <w:b/>
          <w:sz w:val="28"/>
          <w:szCs w:val="28"/>
        </w:rPr>
        <w:t>15</w:t>
      </w:r>
      <w:r w:rsidR="00FA009C">
        <w:rPr>
          <w:rFonts w:ascii="Arial" w:hAnsi="Arial" w:cs="Arial"/>
          <w:b/>
          <w:sz w:val="28"/>
          <w:szCs w:val="28"/>
        </w:rPr>
        <w:t>7</w:t>
      </w:r>
      <w:r w:rsidR="00BD75B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</w:t>
      </w:r>
      <w:r w:rsidR="0086705D">
        <w:rPr>
          <w:rFonts w:ascii="Arial" w:hAnsi="Arial" w:cs="Arial"/>
          <w:b/>
          <w:sz w:val="28"/>
          <w:szCs w:val="28"/>
        </w:rPr>
        <w:t>22</w:t>
      </w:r>
    </w:p>
    <w:p w14:paraId="2FA5FA6B" w14:textId="77777777" w:rsidR="006F211B" w:rsidRDefault="006F211B" w:rsidP="00BD75B6">
      <w:pPr>
        <w:autoSpaceDE w:val="0"/>
        <w:autoSpaceDN w:val="0"/>
        <w:adjustRightInd w:val="0"/>
        <w:spacing w:before="120" w:after="120" w:line="240" w:lineRule="auto"/>
        <w:ind w:left="4820"/>
        <w:rPr>
          <w:rFonts w:ascii="Arial,Italic" w:hAnsi="Arial,Italic" w:cs="Arial,Italic"/>
          <w:i/>
          <w:iCs/>
        </w:rPr>
      </w:pPr>
    </w:p>
    <w:p w14:paraId="0D84B084" w14:textId="281C4195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955EB4">
        <w:rPr>
          <w:rFonts w:ascii="Arial" w:hAnsi="Arial" w:cs="Arial"/>
          <w:i/>
          <w:iCs/>
          <w:sz w:val="24"/>
          <w:szCs w:val="24"/>
        </w:rPr>
        <w:t>Dispõe sobre a Delegação</w:t>
      </w:r>
      <w:r w:rsidR="0086705D" w:rsidRPr="00955EB4">
        <w:rPr>
          <w:rFonts w:ascii="Arial" w:hAnsi="Arial" w:cs="Arial"/>
          <w:i/>
          <w:iCs/>
          <w:sz w:val="24"/>
          <w:szCs w:val="24"/>
        </w:rPr>
        <w:t>,</w:t>
      </w:r>
      <w:r w:rsidRPr="00955EB4">
        <w:rPr>
          <w:rFonts w:ascii="Arial" w:hAnsi="Arial" w:cs="Arial"/>
          <w:i/>
          <w:iCs/>
          <w:sz w:val="24"/>
          <w:szCs w:val="24"/>
        </w:rPr>
        <w:t xml:space="preserve"> às Unidades Administrativas deste Tribunal, dos despachos iniciais de Citação ou de Intimação para o exercício do primeiro contraditório e de diligências, e dá outras providências.</w:t>
      </w:r>
    </w:p>
    <w:p w14:paraId="2ED3A3E6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rPr>
          <w:rFonts w:ascii="Arial,Italic" w:hAnsi="Arial,Italic" w:cs="Arial,Italic"/>
          <w:i/>
          <w:iCs/>
          <w:sz w:val="24"/>
          <w:szCs w:val="24"/>
        </w:rPr>
      </w:pPr>
    </w:p>
    <w:p w14:paraId="084367CE" w14:textId="745F2688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 xml:space="preserve">O CONSELHEIRO </w:t>
      </w:r>
      <w:r w:rsidR="0086705D" w:rsidRPr="00955EB4">
        <w:rPr>
          <w:rFonts w:ascii="Arial" w:hAnsi="Arial" w:cs="Arial"/>
          <w:b/>
          <w:bCs/>
          <w:sz w:val="24"/>
          <w:szCs w:val="24"/>
        </w:rPr>
        <w:t>MAURÍCIO REQUIÃO DE MELLO E SILVA</w:t>
      </w:r>
      <w:r w:rsidRPr="00955EB4">
        <w:rPr>
          <w:rFonts w:ascii="Arial" w:hAnsi="Arial" w:cs="Arial"/>
          <w:sz w:val="24"/>
          <w:szCs w:val="24"/>
        </w:rPr>
        <w:t xml:space="preserve">, no uso das atribuições que lhe são conferidas pelo artigo 32, inciso I, </w:t>
      </w:r>
      <w:r w:rsidR="00F242F6" w:rsidRPr="00955EB4">
        <w:rPr>
          <w:rFonts w:ascii="Arial" w:hAnsi="Arial" w:cs="Arial"/>
          <w:sz w:val="24"/>
          <w:szCs w:val="24"/>
        </w:rPr>
        <w:t>§§</w:t>
      </w:r>
      <w:r w:rsidRPr="00955EB4">
        <w:rPr>
          <w:rFonts w:ascii="Arial" w:hAnsi="Arial" w:cs="Arial"/>
          <w:sz w:val="24"/>
          <w:szCs w:val="24"/>
        </w:rPr>
        <w:t xml:space="preserve"> 7º e 9º, pelo artigo 33, III, e pelo artigo 197, todos do Regimento Interno deste Tribunal de Contas do Estado,</w:t>
      </w:r>
    </w:p>
    <w:p w14:paraId="1CF1F49F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94246BD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>RESOLVE</w:t>
      </w:r>
    </w:p>
    <w:p w14:paraId="4EA0855E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2956A3" w14:textId="15AEF5A6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955EB4">
        <w:rPr>
          <w:rFonts w:ascii="Arial" w:hAnsi="Arial" w:cs="Arial"/>
          <w:sz w:val="24"/>
          <w:szCs w:val="24"/>
        </w:rPr>
        <w:t xml:space="preserve">Na fase inicial da instrução processual, os despachos de Citação ou Intimação dos interessados para o exercício do </w:t>
      </w:r>
      <w:r w:rsidRPr="00955EB4">
        <w:rPr>
          <w:rFonts w:ascii="Arial" w:hAnsi="Arial" w:cs="Arial"/>
          <w:sz w:val="24"/>
          <w:szCs w:val="24"/>
          <w:u w:val="single"/>
        </w:rPr>
        <w:t>primeiro</w:t>
      </w:r>
      <w:r w:rsidRPr="00955EB4">
        <w:rPr>
          <w:rFonts w:ascii="Arial" w:hAnsi="Arial" w:cs="Arial"/>
          <w:sz w:val="24"/>
          <w:szCs w:val="24"/>
        </w:rPr>
        <w:t xml:space="preserve"> contraditório e a realização d</w:t>
      </w:r>
      <w:r w:rsidR="00133C0C" w:rsidRPr="00955EB4">
        <w:rPr>
          <w:rFonts w:ascii="Arial" w:hAnsi="Arial" w:cs="Arial"/>
          <w:sz w:val="24"/>
          <w:szCs w:val="24"/>
        </w:rPr>
        <w:t>a</w:t>
      </w:r>
      <w:r w:rsidRPr="00955EB4">
        <w:rPr>
          <w:rFonts w:ascii="Arial" w:hAnsi="Arial" w:cs="Arial"/>
          <w:sz w:val="24"/>
          <w:szCs w:val="24"/>
        </w:rPr>
        <w:t xml:space="preserve"> </w:t>
      </w:r>
      <w:r w:rsidRPr="00955EB4">
        <w:rPr>
          <w:rFonts w:ascii="Arial" w:hAnsi="Arial" w:cs="Arial"/>
          <w:sz w:val="24"/>
          <w:szCs w:val="24"/>
          <w:u w:val="single"/>
        </w:rPr>
        <w:t>primeira</w:t>
      </w:r>
      <w:r w:rsidRPr="00955EB4">
        <w:rPr>
          <w:rFonts w:ascii="Arial" w:hAnsi="Arial" w:cs="Arial"/>
          <w:sz w:val="24"/>
          <w:szCs w:val="24"/>
        </w:rPr>
        <w:t xml:space="preserve"> diligência para a juntada de documentos obrigatórios ficam delegados às Unidades Administrativas deste Tribunal de Contas do Estado, na forma do disposto no § 7º do art. 32, e nos </w:t>
      </w:r>
      <w:proofErr w:type="spellStart"/>
      <w:r w:rsidRPr="00955EB4">
        <w:rPr>
          <w:rFonts w:ascii="Arial" w:hAnsi="Arial" w:cs="Arial"/>
          <w:sz w:val="24"/>
          <w:szCs w:val="24"/>
        </w:rPr>
        <w:t>arts</w:t>
      </w:r>
      <w:proofErr w:type="spellEnd"/>
      <w:r w:rsidRPr="00955EB4">
        <w:rPr>
          <w:rFonts w:ascii="Arial" w:hAnsi="Arial" w:cs="Arial"/>
          <w:sz w:val="24"/>
          <w:szCs w:val="24"/>
        </w:rPr>
        <w:t>. 168, XIII, 351 e 380 a 384 do Regimento Interno deste Tribunal de Contas.</w:t>
      </w:r>
    </w:p>
    <w:p w14:paraId="6FEDB634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>§ 1º Quando a parte ou interessado estiver representada por advogado, com poderes específicos para receber intimações, o ato eletrônico será realizado exclusivamente ao seu procurador, nos termos do § 3º, do art. 383, do Regimento Interno.</w:t>
      </w:r>
    </w:p>
    <w:p w14:paraId="0D73E700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 xml:space="preserve">§ 2º Os despachos citados no </w:t>
      </w:r>
      <w:r w:rsidRPr="00955EB4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955EB4">
        <w:rPr>
          <w:rFonts w:ascii="Arial" w:hAnsi="Arial" w:cs="Arial"/>
          <w:sz w:val="24"/>
          <w:szCs w:val="24"/>
        </w:rPr>
        <w:t>serão encaminhados para publicação no Diário Eletrônico do Tribunal, seguindo os autos imediatamente à Diretoria de Protocolo para comunicação aos sujeitos dos processos, nos termos regimentais.</w:t>
      </w:r>
    </w:p>
    <w:p w14:paraId="32719316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>§ 3º Realizada a comunicação processual, havendo resposta protocolada no prazo regimental ou o decurso do prazo sem envio de resposta, os autos serão encaminhados à Unidade competente para instrução conclusiva, conforme parágrafo único do art. 353, do Regimento Interno.</w:t>
      </w:r>
    </w:p>
    <w:p w14:paraId="4A2493A6" w14:textId="785C213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>§ 4º Protocolada a resposta extemporaneamente, os autos serão encaminhados a</w:t>
      </w:r>
      <w:r w:rsidR="00133C0C" w:rsidRPr="00955EB4">
        <w:rPr>
          <w:rFonts w:ascii="Arial" w:hAnsi="Arial" w:cs="Arial"/>
          <w:sz w:val="24"/>
          <w:szCs w:val="24"/>
        </w:rPr>
        <w:t>o</w:t>
      </w:r>
      <w:r w:rsidRPr="00955EB4">
        <w:rPr>
          <w:rFonts w:ascii="Arial" w:hAnsi="Arial" w:cs="Arial"/>
          <w:sz w:val="24"/>
          <w:szCs w:val="24"/>
        </w:rPr>
        <w:t xml:space="preserve"> Gabinete de</w:t>
      </w:r>
      <w:r w:rsidR="00133C0C" w:rsidRPr="00955EB4">
        <w:rPr>
          <w:rFonts w:ascii="Arial" w:hAnsi="Arial" w:cs="Arial"/>
          <w:sz w:val="24"/>
          <w:szCs w:val="24"/>
        </w:rPr>
        <w:t>ste</w:t>
      </w:r>
      <w:r w:rsidRPr="00955EB4">
        <w:rPr>
          <w:rFonts w:ascii="Arial" w:hAnsi="Arial" w:cs="Arial"/>
          <w:sz w:val="24"/>
          <w:szCs w:val="24"/>
        </w:rPr>
        <w:t xml:space="preserve"> Conselheiro para juízo de admissibilidade, conforme o § 1º, do art. 357, do Regimento Interno.</w:t>
      </w:r>
    </w:p>
    <w:p w14:paraId="78412D47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>§ 5º Restando infrutífera a citação ou a intimação por meio eletrônico ou por via postal, os autos serão encaminhados ao Gabinete deste Conselheiro para apreciação.</w:t>
      </w:r>
    </w:p>
    <w:p w14:paraId="77730529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55EB4">
        <w:rPr>
          <w:rFonts w:ascii="Arial" w:hAnsi="Arial" w:cs="Arial"/>
          <w:sz w:val="24"/>
          <w:szCs w:val="24"/>
        </w:rPr>
        <w:t xml:space="preserve">Ocorrendo a juntada de documentos complementares antes da realização da primeira instrução, deverá a unidade administrativa competente instruir </w:t>
      </w:r>
      <w:r w:rsidRPr="00955EB4">
        <w:rPr>
          <w:rFonts w:ascii="Arial" w:hAnsi="Arial" w:cs="Arial"/>
          <w:sz w:val="24"/>
          <w:szCs w:val="24"/>
        </w:rPr>
        <w:lastRenderedPageBreak/>
        <w:t>o processo, sem prejuízo da indicação de eventuais atrasos em relação aos prazos regulamentares.</w:t>
      </w:r>
    </w:p>
    <w:p w14:paraId="1299E637" w14:textId="77777777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 xml:space="preserve">Art. 3° </w:t>
      </w:r>
      <w:r w:rsidRPr="00955EB4">
        <w:rPr>
          <w:rFonts w:ascii="Arial" w:hAnsi="Arial" w:cs="Arial"/>
          <w:sz w:val="24"/>
          <w:szCs w:val="24"/>
        </w:rPr>
        <w:t>Ocorrendo a juntada de instrumento procuratório quando o processo estiver em poder da unidade para instrução, esta deverá expedi-lo à Diretoria de Protocolo, para inclusão do(s) nome(s) do procurador(es) na autuação, com a subsequente devolução à unidade que o expediu.</w:t>
      </w:r>
    </w:p>
    <w:p w14:paraId="1380FECC" w14:textId="67F6AE61" w:rsidR="00EF39C4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 xml:space="preserve">Art. 4° </w:t>
      </w:r>
      <w:r w:rsidRPr="00955EB4">
        <w:rPr>
          <w:rFonts w:ascii="Arial" w:hAnsi="Arial" w:cs="Arial"/>
          <w:sz w:val="24"/>
          <w:szCs w:val="24"/>
        </w:rPr>
        <w:t>Delega-se à</w:t>
      </w:r>
      <w:r w:rsidR="00EF39C4" w:rsidRPr="00955EB4">
        <w:rPr>
          <w:rFonts w:ascii="Arial" w:hAnsi="Arial" w:cs="Arial"/>
          <w:sz w:val="24"/>
          <w:szCs w:val="24"/>
        </w:rPr>
        <w:t>s</w:t>
      </w:r>
      <w:r w:rsidRPr="00955EB4">
        <w:rPr>
          <w:rFonts w:ascii="Arial" w:hAnsi="Arial" w:cs="Arial"/>
          <w:sz w:val="24"/>
          <w:szCs w:val="24"/>
        </w:rPr>
        <w:t xml:space="preserve"> </w:t>
      </w:r>
      <w:r w:rsidR="00EF39C4" w:rsidRPr="00955EB4">
        <w:rPr>
          <w:rFonts w:ascii="Arial" w:hAnsi="Arial" w:cs="Arial"/>
          <w:sz w:val="24"/>
          <w:szCs w:val="24"/>
        </w:rPr>
        <w:t>Unidades Administrativas a determinação de apensamento d</w:t>
      </w:r>
      <w:r w:rsidR="00CE6E40" w:rsidRPr="00955EB4">
        <w:rPr>
          <w:rFonts w:ascii="Arial" w:hAnsi="Arial" w:cs="Arial"/>
          <w:sz w:val="24"/>
          <w:szCs w:val="24"/>
        </w:rPr>
        <w:t>e processos de admissão de pessoal e de prestação de contas de transferência, desde que tratem do mesmo objeto e que os expedientes já se encontrem regularmente distribuídos a este Conselheiro.</w:t>
      </w:r>
    </w:p>
    <w:p w14:paraId="312190FE" w14:textId="18298B4D" w:rsidR="006F211B" w:rsidRPr="00955EB4" w:rsidRDefault="006F211B" w:rsidP="00BD75B6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E6E40" w:rsidRPr="00955EB4">
        <w:rPr>
          <w:rFonts w:ascii="Arial" w:hAnsi="Arial" w:cs="Arial"/>
          <w:b/>
          <w:bCs/>
          <w:sz w:val="24"/>
          <w:szCs w:val="24"/>
        </w:rPr>
        <w:t>5</w:t>
      </w:r>
      <w:r w:rsidRPr="00955EB4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955EB4">
        <w:rPr>
          <w:rFonts w:ascii="Arial" w:hAnsi="Arial" w:cs="Arial"/>
          <w:sz w:val="24"/>
          <w:szCs w:val="24"/>
        </w:rPr>
        <w:t>Esta Instrução de Serviço entra em vigor na data de sua publicação.</w:t>
      </w:r>
    </w:p>
    <w:p w14:paraId="11228310" w14:textId="77777777" w:rsidR="00BD75B6" w:rsidRPr="00955EB4" w:rsidRDefault="00BD75B6" w:rsidP="00BD75B6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>Curitiba, 17 de novembro de 2022.</w:t>
      </w:r>
    </w:p>
    <w:p w14:paraId="740ABE72" w14:textId="77777777" w:rsidR="00BD75B6" w:rsidRPr="00955EB4" w:rsidRDefault="00BD75B6" w:rsidP="00BD75B6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39201C" w14:textId="77777777" w:rsidR="00BD75B6" w:rsidRPr="00955EB4" w:rsidRDefault="00BD75B6" w:rsidP="00BD7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7154111"/>
      <w:r w:rsidRPr="00955EB4">
        <w:rPr>
          <w:rFonts w:ascii="Arial" w:hAnsi="Arial" w:cs="Arial"/>
          <w:color w:val="808080"/>
          <w:sz w:val="24"/>
          <w:szCs w:val="24"/>
        </w:rPr>
        <w:t>- assinatura digital -</w:t>
      </w:r>
    </w:p>
    <w:bookmarkEnd w:id="0"/>
    <w:p w14:paraId="3991C663" w14:textId="77777777" w:rsidR="00BD75B6" w:rsidRPr="00955EB4" w:rsidRDefault="00BD75B6" w:rsidP="00BD75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5EB4">
        <w:rPr>
          <w:rFonts w:ascii="Arial" w:hAnsi="Arial" w:cs="Arial"/>
          <w:b/>
          <w:bCs/>
          <w:sz w:val="24"/>
          <w:szCs w:val="24"/>
        </w:rPr>
        <w:t>MAURÍCIO REQUIÃO DE MELLO E SILVA</w:t>
      </w:r>
    </w:p>
    <w:p w14:paraId="2874933E" w14:textId="77777777" w:rsidR="00BD75B6" w:rsidRPr="00955EB4" w:rsidRDefault="00BD75B6" w:rsidP="00BD7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EB4">
        <w:rPr>
          <w:rFonts w:ascii="Arial" w:hAnsi="Arial" w:cs="Arial"/>
          <w:sz w:val="24"/>
          <w:szCs w:val="24"/>
        </w:rPr>
        <w:t>Conselheiro</w:t>
      </w:r>
    </w:p>
    <w:p w14:paraId="4DE13819" w14:textId="77777777" w:rsidR="0015408B" w:rsidRPr="00955EB4" w:rsidRDefault="0015408B">
      <w:pPr>
        <w:rPr>
          <w:sz w:val="24"/>
          <w:szCs w:val="24"/>
        </w:rPr>
      </w:pPr>
    </w:p>
    <w:sectPr w:rsidR="0015408B" w:rsidRPr="00955EB4" w:rsidSect="00142ADD">
      <w:headerReference w:type="default" r:id="rId7"/>
      <w:footerReference w:type="even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FADA" w14:textId="77777777" w:rsidR="006F211B" w:rsidRDefault="006F211B" w:rsidP="006F211B">
      <w:pPr>
        <w:spacing w:after="0" w:line="240" w:lineRule="auto"/>
      </w:pPr>
      <w:r>
        <w:separator/>
      </w:r>
    </w:p>
  </w:endnote>
  <w:endnote w:type="continuationSeparator" w:id="0">
    <w:p w14:paraId="59C435F6" w14:textId="77777777" w:rsidR="006F211B" w:rsidRDefault="006F211B" w:rsidP="006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516D" w14:textId="77777777" w:rsidR="0066249C" w:rsidRDefault="0020421E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BCB29E" w14:textId="77777777" w:rsidR="0066249C" w:rsidRDefault="00C26819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8073" w14:textId="77777777" w:rsidR="0066249C" w:rsidRDefault="00C26819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E4A2" w14:textId="77777777" w:rsidR="006F211B" w:rsidRDefault="006F211B" w:rsidP="006F211B">
      <w:pPr>
        <w:spacing w:after="0" w:line="240" w:lineRule="auto"/>
      </w:pPr>
      <w:r>
        <w:separator/>
      </w:r>
    </w:p>
  </w:footnote>
  <w:footnote w:type="continuationSeparator" w:id="0">
    <w:p w14:paraId="06E11C1B" w14:textId="77777777" w:rsidR="006F211B" w:rsidRDefault="006F211B" w:rsidP="006F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3201" w14:textId="77777777" w:rsidR="005B0C09" w:rsidRPr="00FB1075" w:rsidRDefault="006F211B" w:rsidP="005B0C09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hAnsi="Arial" w:cs="Arial"/>
        <w:b/>
        <w:sz w:val="30"/>
        <w:szCs w:val="30"/>
        <w:lang w:eastAsia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386500" wp14:editId="5E877CE7">
          <wp:simplePos x="0" y="0"/>
          <wp:positionH relativeFrom="column">
            <wp:posOffset>-3175</wp:posOffset>
          </wp:positionH>
          <wp:positionV relativeFrom="paragraph">
            <wp:posOffset>207645</wp:posOffset>
          </wp:positionV>
          <wp:extent cx="605790" cy="712470"/>
          <wp:effectExtent l="0" t="0" r="0" b="0"/>
          <wp:wrapSquare wrapText="bothSides"/>
          <wp:docPr id="1" name="Imagem 4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21E" w:rsidRPr="00FB1075">
      <w:rPr>
        <w:rFonts w:ascii="Arial" w:hAnsi="Arial" w:cs="Arial"/>
        <w:b/>
        <w:sz w:val="30"/>
        <w:szCs w:val="30"/>
        <w:lang w:eastAsia="x-none"/>
      </w:rPr>
      <w:t xml:space="preserve">   </w:t>
    </w:r>
    <w:r w:rsidR="0020421E" w:rsidRPr="00FB1075">
      <w:rPr>
        <w:rFonts w:ascii="Arial" w:hAnsi="Arial" w:cs="Arial"/>
        <w:b/>
        <w:sz w:val="30"/>
        <w:szCs w:val="30"/>
        <w:lang w:val="x-none" w:eastAsia="x-none"/>
      </w:rPr>
      <w:t>TRIBUNAL DE CONTAS DO ESTADO DO PARANÁ</w:t>
    </w:r>
  </w:p>
  <w:p w14:paraId="0FE219F2" w14:textId="6D15C343" w:rsidR="000A1B86" w:rsidRPr="005B0C09" w:rsidRDefault="008E193B" w:rsidP="006F211B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>
      <w:rPr>
        <w:rFonts w:ascii="Arial" w:hAnsi="Arial"/>
        <w:sz w:val="28"/>
        <w:szCs w:val="28"/>
      </w:rPr>
      <w:t>Gabinete do Conselheiro Maurício Requião de Mello e Silva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1B"/>
    <w:rsid w:val="000A7545"/>
    <w:rsid w:val="00124B3C"/>
    <w:rsid w:val="00133C0C"/>
    <w:rsid w:val="0015408B"/>
    <w:rsid w:val="001B41AC"/>
    <w:rsid w:val="0020421E"/>
    <w:rsid w:val="002149D2"/>
    <w:rsid w:val="003C536B"/>
    <w:rsid w:val="006F211B"/>
    <w:rsid w:val="008054B3"/>
    <w:rsid w:val="0086705D"/>
    <w:rsid w:val="008A3FE0"/>
    <w:rsid w:val="008E193B"/>
    <w:rsid w:val="00955EB4"/>
    <w:rsid w:val="00987D2E"/>
    <w:rsid w:val="00B81F3F"/>
    <w:rsid w:val="00BD75B6"/>
    <w:rsid w:val="00C26819"/>
    <w:rsid w:val="00CA3E90"/>
    <w:rsid w:val="00CE6E40"/>
    <w:rsid w:val="00EF39C4"/>
    <w:rsid w:val="00F242F6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DAA84"/>
  <w15:chartTrackingRefBased/>
  <w15:docId w15:val="{04F10C18-1FCE-4194-AE53-3D5CF8D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F21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F211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6F211B"/>
  </w:style>
  <w:style w:type="paragraph" w:styleId="Cabealho">
    <w:name w:val="header"/>
    <w:basedOn w:val="Normal"/>
    <w:link w:val="CabealhoChar"/>
    <w:rsid w:val="006F21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F211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6F211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F211B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2042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0421E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20421E"/>
    <w:rPr>
      <w:vertAlign w:val="superscript"/>
    </w:rPr>
  </w:style>
  <w:style w:type="character" w:styleId="Hyperlink">
    <w:name w:val="Hyperlink"/>
    <w:uiPriority w:val="99"/>
    <w:unhideWhenUsed/>
    <w:rsid w:val="0020421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421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24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784C-3F13-4FE1-8AAE-490E64BC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Alice Soria Garcia</cp:lastModifiedBy>
  <cp:revision>2</cp:revision>
  <dcterms:created xsi:type="dcterms:W3CDTF">2022-11-24T17:12:00Z</dcterms:created>
  <dcterms:modified xsi:type="dcterms:W3CDTF">2022-11-24T17:12:00Z</dcterms:modified>
</cp:coreProperties>
</file>