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AD" w:rsidRDefault="001419AD" w:rsidP="001419AD">
      <w:pPr>
        <w:pStyle w:val="Ttulo1"/>
        <w:rPr>
          <w:b/>
          <w:shadow/>
        </w:rPr>
      </w:pPr>
      <w:r w:rsidRPr="005C606D">
        <w:rPr>
          <w:b/>
          <w:shadow/>
        </w:rPr>
        <w:t>INSTRUÇÃO DE SERVIÇO</w:t>
      </w:r>
      <w:r w:rsidR="00DD6C34" w:rsidRPr="005C606D">
        <w:rPr>
          <w:b/>
          <w:shadow/>
        </w:rPr>
        <w:t xml:space="preserve"> Nº </w:t>
      </w:r>
      <w:r w:rsidR="000E2108" w:rsidRPr="005C606D">
        <w:rPr>
          <w:b/>
          <w:shadow/>
        </w:rPr>
        <w:t>1</w:t>
      </w:r>
      <w:r w:rsidR="005C606D">
        <w:rPr>
          <w:b/>
          <w:shadow/>
        </w:rPr>
        <w:t>5</w:t>
      </w:r>
      <w:r w:rsidR="000E2108" w:rsidRPr="005C606D">
        <w:rPr>
          <w:b/>
          <w:shadow/>
        </w:rPr>
        <w:t>/201</w:t>
      </w:r>
      <w:r w:rsidR="00B878E3" w:rsidRPr="005C606D">
        <w:rPr>
          <w:b/>
          <w:shadow/>
        </w:rPr>
        <w:t>1</w:t>
      </w:r>
      <w:r w:rsidR="00A65119" w:rsidRPr="00A65119">
        <w:rPr>
          <w:rStyle w:val="Refdenotaderodap"/>
          <w:b/>
          <w:shadow/>
        </w:rPr>
        <w:footnoteReference w:customMarkFollows="1" w:id="1"/>
        <w:sym w:font="Symbol" w:char="F02A"/>
      </w:r>
    </w:p>
    <w:p w:rsidR="00A65119" w:rsidRDefault="00A65119" w:rsidP="00A65119"/>
    <w:p w:rsidR="00A65119" w:rsidRPr="00A65119" w:rsidRDefault="00A65119" w:rsidP="00A65119">
      <w:pPr>
        <w:jc w:val="center"/>
        <w:rPr>
          <w:sz w:val="28"/>
          <w:szCs w:val="28"/>
        </w:rPr>
      </w:pPr>
      <w:bookmarkStart w:id="0" w:name="_Hlk951643"/>
      <w:bookmarkStart w:id="1" w:name="_GoBack"/>
      <w:r w:rsidRPr="00A65119">
        <w:rPr>
          <w:sz w:val="28"/>
          <w:szCs w:val="28"/>
        </w:rPr>
        <w:t>Antiga Instrução nº 16/2011</w:t>
      </w:r>
      <w:bookmarkEnd w:id="0"/>
      <w:bookmarkEnd w:id="1"/>
    </w:p>
    <w:p w:rsidR="005C606D" w:rsidRDefault="005C606D" w:rsidP="005C606D"/>
    <w:p w:rsidR="001419AD" w:rsidRPr="00557C59" w:rsidRDefault="001419AD" w:rsidP="001539C9">
      <w:pPr>
        <w:rPr>
          <w:rFonts w:cs="Arial"/>
          <w:b/>
        </w:rPr>
      </w:pPr>
    </w:p>
    <w:p w:rsidR="004744E5" w:rsidRPr="001539C9" w:rsidRDefault="004744E5" w:rsidP="001539C9">
      <w:pPr>
        <w:pStyle w:val="Corpodetexto"/>
        <w:ind w:left="4536"/>
        <w:rPr>
          <w:rFonts w:cs="Arial"/>
          <w:i/>
          <w:sz w:val="22"/>
          <w:szCs w:val="22"/>
        </w:rPr>
      </w:pPr>
      <w:r w:rsidRPr="001539C9">
        <w:rPr>
          <w:rFonts w:cs="Arial"/>
          <w:i/>
          <w:sz w:val="22"/>
          <w:szCs w:val="22"/>
        </w:rPr>
        <w:t xml:space="preserve">Dispõe sobre </w:t>
      </w:r>
      <w:r w:rsidR="00171E94" w:rsidRPr="001539C9">
        <w:rPr>
          <w:rFonts w:cs="Arial"/>
          <w:i/>
          <w:sz w:val="22"/>
          <w:szCs w:val="22"/>
        </w:rPr>
        <w:t xml:space="preserve">a </w:t>
      </w:r>
      <w:r w:rsidR="00833A9E" w:rsidRPr="001539C9">
        <w:rPr>
          <w:rFonts w:cs="Arial"/>
          <w:i/>
          <w:sz w:val="22"/>
          <w:szCs w:val="22"/>
        </w:rPr>
        <w:t>instituição da Secretaria do Tribunal Pleno</w:t>
      </w:r>
      <w:r w:rsidR="007743BE" w:rsidRPr="001539C9">
        <w:rPr>
          <w:rFonts w:cs="Arial"/>
          <w:i/>
          <w:sz w:val="22"/>
          <w:szCs w:val="22"/>
        </w:rPr>
        <w:t>.</w:t>
      </w:r>
    </w:p>
    <w:p w:rsidR="001419AD" w:rsidRPr="00557C59" w:rsidRDefault="001419AD" w:rsidP="001419AD">
      <w:pPr>
        <w:pStyle w:val="Corpodetexto"/>
        <w:ind w:left="3540" w:firstLine="636"/>
        <w:rPr>
          <w:rFonts w:cs="Arial"/>
          <w:i/>
        </w:rPr>
      </w:pPr>
    </w:p>
    <w:p w:rsidR="001419AD" w:rsidRDefault="001419AD" w:rsidP="001419AD">
      <w:pPr>
        <w:rPr>
          <w:rFonts w:cs="Arial"/>
        </w:rPr>
      </w:pPr>
    </w:p>
    <w:p w:rsidR="001419AD" w:rsidRPr="00A65119" w:rsidRDefault="00171E94" w:rsidP="001539C9">
      <w:pPr>
        <w:spacing w:before="120"/>
        <w:ind w:firstLine="708"/>
        <w:jc w:val="both"/>
        <w:rPr>
          <w:rFonts w:cs="Arial"/>
          <w:sz w:val="24"/>
          <w:szCs w:val="24"/>
        </w:rPr>
      </w:pPr>
      <w:r w:rsidRPr="00A65119">
        <w:rPr>
          <w:rFonts w:cs="Arial"/>
          <w:sz w:val="24"/>
          <w:szCs w:val="24"/>
        </w:rPr>
        <w:t>A</w:t>
      </w:r>
      <w:r w:rsidR="001419AD" w:rsidRPr="00A65119">
        <w:rPr>
          <w:rFonts w:cs="Arial"/>
          <w:sz w:val="24"/>
          <w:szCs w:val="24"/>
        </w:rPr>
        <w:t xml:space="preserve"> </w:t>
      </w:r>
      <w:r w:rsidRPr="00A65119">
        <w:rPr>
          <w:rFonts w:cs="Arial"/>
          <w:b/>
          <w:caps/>
          <w:sz w:val="24"/>
          <w:szCs w:val="24"/>
        </w:rPr>
        <w:t>DIRETORA GERAL</w:t>
      </w:r>
      <w:r w:rsidR="001419AD" w:rsidRPr="00A65119">
        <w:rPr>
          <w:rFonts w:cs="Arial"/>
          <w:b/>
          <w:caps/>
          <w:sz w:val="24"/>
          <w:szCs w:val="24"/>
        </w:rPr>
        <w:t xml:space="preserve"> do Tribunal de Contas do Estado do Paraná</w:t>
      </w:r>
      <w:r w:rsidR="001419AD" w:rsidRPr="00A65119">
        <w:rPr>
          <w:rFonts w:cs="Arial"/>
          <w:sz w:val="24"/>
          <w:szCs w:val="24"/>
        </w:rPr>
        <w:t xml:space="preserve">, no uso das atribuições que lhe são conferidas no art. </w:t>
      </w:r>
      <w:r w:rsidRPr="00A65119">
        <w:rPr>
          <w:rFonts w:cs="Arial"/>
          <w:sz w:val="24"/>
          <w:szCs w:val="24"/>
        </w:rPr>
        <w:t>150</w:t>
      </w:r>
      <w:r w:rsidR="001419AD" w:rsidRPr="00A65119">
        <w:rPr>
          <w:rFonts w:cs="Arial"/>
          <w:sz w:val="24"/>
          <w:szCs w:val="24"/>
        </w:rPr>
        <w:t>, do Regimento Interno</w:t>
      </w:r>
      <w:r w:rsidRPr="00A65119">
        <w:rPr>
          <w:rFonts w:cs="Arial"/>
          <w:sz w:val="24"/>
          <w:szCs w:val="24"/>
        </w:rPr>
        <w:t xml:space="preserve"> e, considerando o disposto na Portaria n° 85/11 – GP,</w:t>
      </w:r>
    </w:p>
    <w:p w:rsidR="00171E94" w:rsidRPr="00A65119" w:rsidRDefault="00171E94" w:rsidP="001539C9">
      <w:pPr>
        <w:spacing w:before="120"/>
        <w:ind w:firstLine="708"/>
        <w:jc w:val="both"/>
        <w:rPr>
          <w:rFonts w:cs="Arial"/>
          <w:sz w:val="24"/>
          <w:szCs w:val="24"/>
        </w:rPr>
      </w:pPr>
    </w:p>
    <w:p w:rsidR="001419AD" w:rsidRPr="00A65119" w:rsidRDefault="001419AD" w:rsidP="001539C9">
      <w:pPr>
        <w:pStyle w:val="Corpodetexto"/>
        <w:spacing w:before="120"/>
        <w:ind w:firstLine="708"/>
        <w:rPr>
          <w:rFonts w:cs="Arial"/>
          <w:b/>
          <w:sz w:val="24"/>
          <w:szCs w:val="24"/>
        </w:rPr>
      </w:pPr>
      <w:r w:rsidRPr="00A65119">
        <w:rPr>
          <w:rFonts w:cs="Arial"/>
          <w:b/>
          <w:sz w:val="24"/>
          <w:szCs w:val="24"/>
        </w:rPr>
        <w:t>RESOLVE:</w:t>
      </w:r>
    </w:p>
    <w:p w:rsidR="00291D7A" w:rsidRPr="00A65119" w:rsidRDefault="00291D7A" w:rsidP="001539C9">
      <w:pPr>
        <w:pStyle w:val="Corpodetexto"/>
        <w:spacing w:before="120"/>
        <w:ind w:firstLine="708"/>
        <w:rPr>
          <w:rFonts w:cs="Arial"/>
          <w:b/>
          <w:sz w:val="24"/>
          <w:szCs w:val="24"/>
        </w:rPr>
      </w:pPr>
    </w:p>
    <w:p w:rsidR="00833A9E" w:rsidRPr="00A65119" w:rsidRDefault="00820476" w:rsidP="00157C14">
      <w:pPr>
        <w:spacing w:before="120"/>
        <w:ind w:firstLine="709"/>
        <w:jc w:val="both"/>
        <w:rPr>
          <w:rFonts w:cs="Arial"/>
          <w:sz w:val="24"/>
          <w:szCs w:val="24"/>
        </w:rPr>
      </w:pPr>
      <w:r w:rsidRPr="00A65119">
        <w:rPr>
          <w:rFonts w:cs="Arial"/>
          <w:b/>
          <w:sz w:val="24"/>
          <w:szCs w:val="24"/>
        </w:rPr>
        <w:t>Art. 1º</w:t>
      </w:r>
      <w:r w:rsidRPr="00A65119">
        <w:rPr>
          <w:rFonts w:cs="Arial"/>
          <w:sz w:val="24"/>
          <w:szCs w:val="24"/>
        </w:rPr>
        <w:t xml:space="preserve"> </w:t>
      </w:r>
      <w:r w:rsidR="00833A9E" w:rsidRPr="00A65119">
        <w:rPr>
          <w:rFonts w:cs="Arial"/>
          <w:sz w:val="24"/>
          <w:szCs w:val="24"/>
        </w:rPr>
        <w:t>Instituir o serviço de Secretaria do Tribunal Pleno no âmbito desta Diretoria, com as atribuições definidas no art. 12, do Regimento Interno.</w:t>
      </w:r>
    </w:p>
    <w:p w:rsidR="00833A9E" w:rsidRPr="00A65119" w:rsidRDefault="00833A9E" w:rsidP="00157C14">
      <w:pPr>
        <w:spacing w:before="120"/>
        <w:ind w:firstLine="709"/>
        <w:jc w:val="both"/>
        <w:rPr>
          <w:rFonts w:cs="Arial"/>
          <w:sz w:val="24"/>
          <w:szCs w:val="24"/>
        </w:rPr>
      </w:pPr>
      <w:r w:rsidRPr="00A65119">
        <w:rPr>
          <w:rFonts w:cs="Arial"/>
          <w:b/>
          <w:sz w:val="24"/>
          <w:szCs w:val="24"/>
        </w:rPr>
        <w:t xml:space="preserve">Art. 2º </w:t>
      </w:r>
      <w:r w:rsidRPr="00A65119">
        <w:rPr>
          <w:rFonts w:cs="Arial"/>
          <w:sz w:val="24"/>
          <w:szCs w:val="24"/>
        </w:rPr>
        <w:t>Fica designada a servidora SAMARA XAVIER DE ALENCAR LIMA, matrícula n° 51.501-9, ocupante do cargo em comissão de Assessor Técnico da Diretoria-Geral, símbolo DAS-2, do Quadro de Pessoal deste Tribunal para desempenhar as seguintes atividades:</w:t>
      </w:r>
    </w:p>
    <w:p w:rsidR="00171E94" w:rsidRPr="00A65119" w:rsidRDefault="00171E94" w:rsidP="00A65119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0" w:firstLine="709"/>
        <w:textAlignment w:val="baseline"/>
        <w:rPr>
          <w:rFonts w:cs="Arial"/>
          <w:sz w:val="24"/>
          <w:szCs w:val="24"/>
        </w:rPr>
      </w:pPr>
      <w:bookmarkStart w:id="2" w:name="_Hlk951588"/>
      <w:r w:rsidRPr="00A65119">
        <w:rPr>
          <w:rFonts w:cs="Arial"/>
          <w:sz w:val="24"/>
          <w:szCs w:val="24"/>
        </w:rPr>
        <w:t>coordenação dos serviços relativos à Secretaria do Tribunal Pleno;</w:t>
      </w:r>
    </w:p>
    <w:p w:rsidR="00171E94" w:rsidRPr="00A65119" w:rsidRDefault="00171E94" w:rsidP="00A65119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0" w:firstLine="709"/>
        <w:textAlignment w:val="baseline"/>
        <w:rPr>
          <w:rFonts w:cs="Arial"/>
          <w:sz w:val="24"/>
          <w:szCs w:val="24"/>
        </w:rPr>
      </w:pPr>
      <w:r w:rsidRPr="00A65119">
        <w:rPr>
          <w:rFonts w:cs="Arial"/>
          <w:sz w:val="24"/>
          <w:szCs w:val="24"/>
        </w:rPr>
        <w:t>secretariado das sessões do Tribunal Pleno;</w:t>
      </w:r>
    </w:p>
    <w:p w:rsidR="00171E94" w:rsidRPr="00A65119" w:rsidRDefault="00171E94" w:rsidP="00A65119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0" w:firstLine="709"/>
        <w:textAlignment w:val="baseline"/>
        <w:rPr>
          <w:rFonts w:cs="Arial"/>
          <w:sz w:val="24"/>
          <w:szCs w:val="24"/>
        </w:rPr>
      </w:pPr>
      <w:r w:rsidRPr="00A65119">
        <w:rPr>
          <w:rFonts w:cs="Arial"/>
          <w:sz w:val="24"/>
          <w:szCs w:val="24"/>
        </w:rPr>
        <w:t>execução das demais atividades relacionadas ao Órgão Colegiado;</w:t>
      </w:r>
    </w:p>
    <w:p w:rsidR="00171E94" w:rsidRPr="00A65119" w:rsidRDefault="00171E94" w:rsidP="00A65119">
      <w:pPr>
        <w:numPr>
          <w:ilvl w:val="0"/>
          <w:numId w:val="2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after="60"/>
        <w:ind w:left="0" w:firstLine="709"/>
        <w:textAlignment w:val="baseline"/>
        <w:rPr>
          <w:rFonts w:cs="Arial"/>
          <w:sz w:val="24"/>
          <w:szCs w:val="24"/>
        </w:rPr>
      </w:pPr>
      <w:r w:rsidRPr="00A65119">
        <w:rPr>
          <w:rFonts w:cs="Arial"/>
          <w:sz w:val="24"/>
          <w:szCs w:val="24"/>
        </w:rPr>
        <w:t>expedição e assinatura de certidões durante os impedimentos da Diretora-Geral.</w:t>
      </w:r>
    </w:p>
    <w:bookmarkEnd w:id="2"/>
    <w:p w:rsidR="00912AE2" w:rsidRPr="00A65119" w:rsidRDefault="00820476" w:rsidP="00157C14">
      <w:pPr>
        <w:spacing w:before="120"/>
        <w:ind w:firstLine="709"/>
        <w:jc w:val="both"/>
        <w:rPr>
          <w:rFonts w:cs="Arial"/>
          <w:sz w:val="24"/>
          <w:szCs w:val="24"/>
        </w:rPr>
      </w:pPr>
      <w:r w:rsidRPr="00A65119">
        <w:rPr>
          <w:rFonts w:cs="Arial"/>
          <w:b/>
          <w:sz w:val="24"/>
          <w:szCs w:val="24"/>
        </w:rPr>
        <w:t xml:space="preserve">Art. </w:t>
      </w:r>
      <w:r w:rsidR="00833A9E" w:rsidRPr="00A65119">
        <w:rPr>
          <w:rFonts w:cs="Arial"/>
          <w:b/>
          <w:sz w:val="24"/>
          <w:szCs w:val="24"/>
        </w:rPr>
        <w:t>3</w:t>
      </w:r>
      <w:r w:rsidRPr="00A65119">
        <w:rPr>
          <w:rFonts w:cs="Arial"/>
          <w:b/>
          <w:sz w:val="24"/>
          <w:szCs w:val="24"/>
        </w:rPr>
        <w:t xml:space="preserve">º </w:t>
      </w:r>
      <w:r w:rsidR="00171E94" w:rsidRPr="00A65119">
        <w:rPr>
          <w:rFonts w:cs="Arial"/>
          <w:color w:val="000000"/>
          <w:sz w:val="24"/>
          <w:szCs w:val="24"/>
        </w:rPr>
        <w:t>Esta Instrução de Serviço entrará em vigor na data de sua publicação.</w:t>
      </w:r>
    </w:p>
    <w:p w:rsidR="000A6ABB" w:rsidRPr="00A65119" w:rsidRDefault="000A6ABB" w:rsidP="001539C9">
      <w:pPr>
        <w:spacing w:before="120"/>
        <w:jc w:val="both"/>
        <w:rPr>
          <w:rFonts w:cs="Arial"/>
          <w:sz w:val="24"/>
          <w:szCs w:val="24"/>
        </w:rPr>
      </w:pPr>
    </w:p>
    <w:p w:rsidR="00DF3E0D" w:rsidRPr="00A65119" w:rsidRDefault="00DF3E0D" w:rsidP="001539C9">
      <w:pPr>
        <w:pStyle w:val="Corpodetexto"/>
        <w:spacing w:before="120"/>
        <w:jc w:val="center"/>
        <w:rPr>
          <w:rFonts w:cs="Arial"/>
          <w:sz w:val="24"/>
          <w:szCs w:val="24"/>
        </w:rPr>
      </w:pPr>
      <w:r w:rsidRPr="00A65119">
        <w:rPr>
          <w:rFonts w:cs="Arial"/>
          <w:sz w:val="24"/>
          <w:szCs w:val="24"/>
        </w:rPr>
        <w:t xml:space="preserve">Curitiba, </w:t>
      </w:r>
      <w:r w:rsidR="00171E94" w:rsidRPr="00A65119">
        <w:rPr>
          <w:rFonts w:cs="Arial"/>
          <w:sz w:val="24"/>
          <w:szCs w:val="24"/>
        </w:rPr>
        <w:t>19 de janeiro de 2011</w:t>
      </w:r>
      <w:r w:rsidRPr="00A65119">
        <w:rPr>
          <w:rFonts w:cs="Arial"/>
          <w:sz w:val="24"/>
          <w:szCs w:val="24"/>
        </w:rPr>
        <w:t>.</w:t>
      </w:r>
    </w:p>
    <w:p w:rsidR="00171E94" w:rsidRPr="00A65119" w:rsidRDefault="00171E94" w:rsidP="001539C9">
      <w:pPr>
        <w:spacing w:before="120"/>
        <w:jc w:val="center"/>
        <w:rPr>
          <w:rFonts w:cs="Arial"/>
          <w:sz w:val="24"/>
          <w:szCs w:val="24"/>
        </w:rPr>
      </w:pPr>
    </w:p>
    <w:p w:rsidR="00DF3E0D" w:rsidRPr="00A65119" w:rsidRDefault="00171E94" w:rsidP="001539C9">
      <w:pPr>
        <w:pStyle w:val="Ttulo1"/>
        <w:spacing w:before="120"/>
        <w:rPr>
          <w:rFonts w:cs="Arial"/>
          <w:b/>
          <w:bCs/>
          <w:i/>
          <w:sz w:val="24"/>
          <w:szCs w:val="24"/>
        </w:rPr>
      </w:pPr>
      <w:r w:rsidRPr="00A65119">
        <w:rPr>
          <w:rFonts w:cs="Arial"/>
          <w:b/>
          <w:bCs/>
          <w:i/>
          <w:sz w:val="24"/>
          <w:szCs w:val="24"/>
        </w:rPr>
        <w:t>SIMONE DE SOUZA PINTO MANASSÉS</w:t>
      </w:r>
    </w:p>
    <w:p w:rsidR="00DF3E0D" w:rsidRPr="00A65119" w:rsidRDefault="00171E94" w:rsidP="001539C9">
      <w:pPr>
        <w:autoSpaceDE w:val="0"/>
        <w:autoSpaceDN w:val="0"/>
        <w:adjustRightInd w:val="0"/>
        <w:spacing w:before="120"/>
        <w:jc w:val="center"/>
        <w:rPr>
          <w:rFonts w:cs="Arial"/>
          <w:sz w:val="24"/>
          <w:szCs w:val="24"/>
        </w:rPr>
      </w:pPr>
      <w:r w:rsidRPr="00A65119">
        <w:rPr>
          <w:rFonts w:cs="Arial"/>
          <w:bCs/>
          <w:i/>
          <w:sz w:val="24"/>
          <w:szCs w:val="24"/>
        </w:rPr>
        <w:t>Diretora-Geral</w:t>
      </w:r>
    </w:p>
    <w:sectPr w:rsidR="00DF3E0D" w:rsidRPr="00A65119" w:rsidSect="00C67E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12" w:rsidRDefault="00D70812" w:rsidP="004C1579">
      <w:r>
        <w:separator/>
      </w:r>
    </w:p>
  </w:endnote>
  <w:endnote w:type="continuationSeparator" w:id="0">
    <w:p w:rsidR="00D70812" w:rsidRDefault="00D70812" w:rsidP="004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12" w:rsidRDefault="00D70812" w:rsidP="004C1579">
      <w:r>
        <w:separator/>
      </w:r>
    </w:p>
  </w:footnote>
  <w:footnote w:type="continuationSeparator" w:id="0">
    <w:p w:rsidR="00D70812" w:rsidRDefault="00D70812" w:rsidP="004C1579">
      <w:r>
        <w:continuationSeparator/>
      </w:r>
    </w:p>
  </w:footnote>
  <w:footnote w:id="1">
    <w:p w:rsidR="00A65119" w:rsidRPr="00A87D9E" w:rsidRDefault="00A65119" w:rsidP="00A65119">
      <w:pPr>
        <w:pStyle w:val="Textodenotaderodap"/>
        <w:rPr>
          <w:rFonts w:cs="Arial"/>
        </w:rPr>
      </w:pPr>
      <w:r w:rsidRPr="00A65119">
        <w:rPr>
          <w:rStyle w:val="Refdenotaderodap"/>
        </w:rPr>
        <w:sym w:font="Symbol" w:char="F02A"/>
      </w:r>
      <w:r>
        <w:t xml:space="preserve"> </w:t>
      </w:r>
      <w:r w:rsidRPr="00A87D9E">
        <w:rPr>
          <w:rFonts w:cs="Arial"/>
        </w:rPr>
        <w:t xml:space="preserve"> </w:t>
      </w:r>
      <w:r w:rsidRPr="00A87D9E">
        <w:rPr>
          <w:rFonts w:cs="Arial"/>
          <w:b/>
        </w:rPr>
        <w:t>Notas da Biblioteca:</w:t>
      </w:r>
    </w:p>
    <w:p w:rsidR="00A65119" w:rsidRPr="00E45159" w:rsidRDefault="00A65119" w:rsidP="00A65119">
      <w:pPr>
        <w:pStyle w:val="NormalWeb"/>
        <w:numPr>
          <w:ilvl w:val="0"/>
          <w:numId w:val="3"/>
        </w:numPr>
        <w:spacing w:before="0" w:beforeAutospacing="0" w:after="0" w:line="240" w:lineRule="auto"/>
        <w:ind w:left="426" w:hanging="284"/>
        <w:textAlignment w:val="top"/>
        <w:rPr>
          <w:rStyle w:val="Hyperlink"/>
          <w:rFonts w:cs="Arial"/>
          <w:color w:val="auto"/>
          <w:u w:val="none"/>
        </w:rPr>
      </w:pPr>
      <w:r w:rsidRPr="00A87D9E">
        <w:rPr>
          <w:rFonts w:cs="Arial"/>
        </w:rPr>
        <w:t xml:space="preserve">Renumerada de acordo com a </w:t>
      </w:r>
      <w:hyperlink r:id="rId1" w:history="1">
        <w:r w:rsidRPr="00A87D9E">
          <w:rPr>
            <w:rStyle w:val="Hyperlink"/>
            <w:rFonts w:cs="Arial"/>
          </w:rPr>
          <w:t>Instrução de Serviço n. 16, de 14 de abril de 2011</w:t>
        </w:r>
      </w:hyperlink>
      <w:r>
        <w:rPr>
          <w:rStyle w:val="Hyperlink"/>
          <w:rFonts w:cs="Arial"/>
        </w:rPr>
        <w:t>.</w:t>
      </w:r>
    </w:p>
    <w:p w:rsidR="00A65119" w:rsidRDefault="00A65119" w:rsidP="00A65119">
      <w:pPr>
        <w:pStyle w:val="NormalWeb"/>
        <w:numPr>
          <w:ilvl w:val="0"/>
          <w:numId w:val="3"/>
        </w:numPr>
        <w:spacing w:before="0" w:beforeAutospacing="0" w:after="0" w:line="240" w:lineRule="auto"/>
        <w:ind w:left="426" w:hanging="284"/>
        <w:textAlignment w:val="top"/>
        <w:rPr>
          <w:rFonts w:cs="Arial"/>
        </w:rPr>
      </w:pPr>
      <w:r w:rsidRPr="00A87D9E">
        <w:rPr>
          <w:rFonts w:cs="Arial"/>
        </w:rPr>
        <w:t xml:space="preserve">Este texto não substitui o publicado no periódico: </w:t>
      </w:r>
      <w:hyperlink r:id="rId2" w:history="1">
        <w:r w:rsidRPr="00A87D9E">
          <w:rPr>
            <w:rStyle w:val="Hyperlink"/>
            <w:rFonts w:cs="Arial"/>
          </w:rPr>
          <w:t>Atos Oficiais do Tribunal de Contas do Estado do Paraná, Curitiba, PR, n. 283, 21 jan. 2011, p. 95</w:t>
        </w:r>
      </w:hyperlink>
      <w:r w:rsidRPr="00A87D9E">
        <w:rPr>
          <w:rFonts w:cs="Arial"/>
        </w:rPr>
        <w:t>.</w:t>
      </w:r>
    </w:p>
    <w:p w:rsidR="00A65119" w:rsidRPr="00A87D9E" w:rsidRDefault="00A65119" w:rsidP="00A65119">
      <w:pPr>
        <w:pStyle w:val="NormalWeb"/>
        <w:numPr>
          <w:ilvl w:val="0"/>
          <w:numId w:val="3"/>
        </w:numPr>
        <w:spacing w:before="0" w:beforeAutospacing="0" w:after="0" w:line="240" w:lineRule="auto"/>
        <w:ind w:left="426" w:hanging="284"/>
        <w:textAlignment w:val="top"/>
        <w:rPr>
          <w:rFonts w:cs="Arial"/>
        </w:rPr>
      </w:pPr>
      <w:r w:rsidRPr="00A87D9E">
        <w:rPr>
          <w:rStyle w:val="Forte"/>
          <w:rFonts w:cs="Arial"/>
          <w:color w:val="FF0000"/>
        </w:rPr>
        <w:t>Revogada</w:t>
      </w:r>
      <w:r w:rsidRPr="00A87D9E">
        <w:rPr>
          <w:rFonts w:cs="Arial"/>
        </w:rPr>
        <w:t xml:space="preserve"> por: </w:t>
      </w:r>
      <w:hyperlink r:id="rId3" w:history="1">
        <w:r w:rsidRPr="00A87D9E">
          <w:rPr>
            <w:rStyle w:val="Hyperlink"/>
            <w:rFonts w:cs="Arial"/>
          </w:rPr>
          <w:t>Instrução de Serviço n. 18, de 4 de maio de 2011</w:t>
        </w:r>
      </w:hyperlink>
      <w:r w:rsidRPr="00A87D9E">
        <w:rPr>
          <w:rFonts w:cs="Arial"/>
        </w:rPr>
        <w:t>.</w:t>
      </w:r>
    </w:p>
    <w:p w:rsidR="00A65119" w:rsidRDefault="00A65119" w:rsidP="00A6511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53" w:rsidRDefault="002A6153" w:rsidP="002A6153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015D8D" wp14:editId="0F6EB9F3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2A6153" w:rsidRDefault="002A6153" w:rsidP="002A6153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AD78E1" w:rsidRDefault="00AD78E1" w:rsidP="004C1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E50"/>
    <w:multiLevelType w:val="hybridMultilevel"/>
    <w:tmpl w:val="26A881C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D87089D"/>
    <w:multiLevelType w:val="hybridMultilevel"/>
    <w:tmpl w:val="6C26741C"/>
    <w:lvl w:ilvl="0" w:tplc="335CDDF4">
      <w:start w:val="1"/>
      <w:numFmt w:val="upperRoman"/>
      <w:lvlText w:val="%1."/>
      <w:lvlJc w:val="left"/>
      <w:pPr>
        <w:ind w:left="248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B044979"/>
    <w:multiLevelType w:val="hybridMultilevel"/>
    <w:tmpl w:val="E4263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9AD"/>
    <w:rsid w:val="00003EE9"/>
    <w:rsid w:val="000118E6"/>
    <w:rsid w:val="000153D3"/>
    <w:rsid w:val="00034D66"/>
    <w:rsid w:val="0005166B"/>
    <w:rsid w:val="000633F2"/>
    <w:rsid w:val="00066E32"/>
    <w:rsid w:val="000A6ABB"/>
    <w:rsid w:val="000B5091"/>
    <w:rsid w:val="000C0771"/>
    <w:rsid w:val="000D264E"/>
    <w:rsid w:val="000D3ACE"/>
    <w:rsid w:val="000E2108"/>
    <w:rsid w:val="000E43B2"/>
    <w:rsid w:val="00131B40"/>
    <w:rsid w:val="001412D7"/>
    <w:rsid w:val="001419AD"/>
    <w:rsid w:val="00143B7A"/>
    <w:rsid w:val="001539C9"/>
    <w:rsid w:val="0015466A"/>
    <w:rsid w:val="00157C14"/>
    <w:rsid w:val="00157CF3"/>
    <w:rsid w:val="00167937"/>
    <w:rsid w:val="00171E94"/>
    <w:rsid w:val="001D5C75"/>
    <w:rsid w:val="001E090C"/>
    <w:rsid w:val="002020E8"/>
    <w:rsid w:val="00210E27"/>
    <w:rsid w:val="00224057"/>
    <w:rsid w:val="0024448B"/>
    <w:rsid w:val="0025120D"/>
    <w:rsid w:val="002805DA"/>
    <w:rsid w:val="00291D7A"/>
    <w:rsid w:val="002A6153"/>
    <w:rsid w:val="002A6CC9"/>
    <w:rsid w:val="002A7F66"/>
    <w:rsid w:val="002D777D"/>
    <w:rsid w:val="002F1A42"/>
    <w:rsid w:val="00315E0E"/>
    <w:rsid w:val="00342048"/>
    <w:rsid w:val="00376358"/>
    <w:rsid w:val="003925D6"/>
    <w:rsid w:val="00392E88"/>
    <w:rsid w:val="00393AF3"/>
    <w:rsid w:val="003A6B9A"/>
    <w:rsid w:val="003B041D"/>
    <w:rsid w:val="004024CC"/>
    <w:rsid w:val="00407AC7"/>
    <w:rsid w:val="00425E9B"/>
    <w:rsid w:val="004266D5"/>
    <w:rsid w:val="00432FE9"/>
    <w:rsid w:val="00433EBC"/>
    <w:rsid w:val="0045016A"/>
    <w:rsid w:val="00464F7E"/>
    <w:rsid w:val="00474187"/>
    <w:rsid w:val="004744E5"/>
    <w:rsid w:val="004920D5"/>
    <w:rsid w:val="004C1579"/>
    <w:rsid w:val="004C3E79"/>
    <w:rsid w:val="004E725B"/>
    <w:rsid w:val="004F0726"/>
    <w:rsid w:val="004F150D"/>
    <w:rsid w:val="004F3760"/>
    <w:rsid w:val="0050785F"/>
    <w:rsid w:val="00514375"/>
    <w:rsid w:val="00514CE2"/>
    <w:rsid w:val="00524F09"/>
    <w:rsid w:val="00531FF8"/>
    <w:rsid w:val="00554BFC"/>
    <w:rsid w:val="00561E82"/>
    <w:rsid w:val="0056347F"/>
    <w:rsid w:val="00565DA6"/>
    <w:rsid w:val="00572472"/>
    <w:rsid w:val="005A3835"/>
    <w:rsid w:val="005A5D3E"/>
    <w:rsid w:val="005C606D"/>
    <w:rsid w:val="005F3869"/>
    <w:rsid w:val="00601EBA"/>
    <w:rsid w:val="006119DB"/>
    <w:rsid w:val="00614363"/>
    <w:rsid w:val="00635FA3"/>
    <w:rsid w:val="00653D94"/>
    <w:rsid w:val="006549D6"/>
    <w:rsid w:val="006607D4"/>
    <w:rsid w:val="006635A3"/>
    <w:rsid w:val="00673F84"/>
    <w:rsid w:val="006B77EC"/>
    <w:rsid w:val="006C4D29"/>
    <w:rsid w:val="00711AB8"/>
    <w:rsid w:val="00712061"/>
    <w:rsid w:val="00737000"/>
    <w:rsid w:val="00752A40"/>
    <w:rsid w:val="007627BA"/>
    <w:rsid w:val="0076514F"/>
    <w:rsid w:val="007743BE"/>
    <w:rsid w:val="0079206A"/>
    <w:rsid w:val="007969D7"/>
    <w:rsid w:val="007B589A"/>
    <w:rsid w:val="007C2E47"/>
    <w:rsid w:val="007C6CAA"/>
    <w:rsid w:val="007F7A81"/>
    <w:rsid w:val="00820476"/>
    <w:rsid w:val="00830873"/>
    <w:rsid w:val="00833A9E"/>
    <w:rsid w:val="00834449"/>
    <w:rsid w:val="00845B62"/>
    <w:rsid w:val="0084639D"/>
    <w:rsid w:val="00863B30"/>
    <w:rsid w:val="00883C52"/>
    <w:rsid w:val="008A23D8"/>
    <w:rsid w:val="008B27C5"/>
    <w:rsid w:val="008C13C4"/>
    <w:rsid w:val="008D5307"/>
    <w:rsid w:val="008E2B9C"/>
    <w:rsid w:val="009123C2"/>
    <w:rsid w:val="00912AE2"/>
    <w:rsid w:val="00915EFD"/>
    <w:rsid w:val="00932A2F"/>
    <w:rsid w:val="00946CB6"/>
    <w:rsid w:val="00956230"/>
    <w:rsid w:val="009567FC"/>
    <w:rsid w:val="009928B3"/>
    <w:rsid w:val="009A3143"/>
    <w:rsid w:val="009B2F68"/>
    <w:rsid w:val="009C7A84"/>
    <w:rsid w:val="009D02EF"/>
    <w:rsid w:val="009D12C3"/>
    <w:rsid w:val="009D60C8"/>
    <w:rsid w:val="009D65B2"/>
    <w:rsid w:val="009E06D5"/>
    <w:rsid w:val="00A60228"/>
    <w:rsid w:val="00A65119"/>
    <w:rsid w:val="00A87D9E"/>
    <w:rsid w:val="00AC6136"/>
    <w:rsid w:val="00AD78E1"/>
    <w:rsid w:val="00B17391"/>
    <w:rsid w:val="00B27062"/>
    <w:rsid w:val="00B66B1D"/>
    <w:rsid w:val="00B71358"/>
    <w:rsid w:val="00B80198"/>
    <w:rsid w:val="00B83B19"/>
    <w:rsid w:val="00B878E3"/>
    <w:rsid w:val="00B87E9B"/>
    <w:rsid w:val="00B94247"/>
    <w:rsid w:val="00B970CB"/>
    <w:rsid w:val="00BA2FFE"/>
    <w:rsid w:val="00BD1286"/>
    <w:rsid w:val="00BD5838"/>
    <w:rsid w:val="00BE18F3"/>
    <w:rsid w:val="00BE2CE3"/>
    <w:rsid w:val="00C24D6C"/>
    <w:rsid w:val="00C514CE"/>
    <w:rsid w:val="00C55296"/>
    <w:rsid w:val="00C6307D"/>
    <w:rsid w:val="00C6331C"/>
    <w:rsid w:val="00C67E51"/>
    <w:rsid w:val="00C75726"/>
    <w:rsid w:val="00C80351"/>
    <w:rsid w:val="00C822FF"/>
    <w:rsid w:val="00CA2A31"/>
    <w:rsid w:val="00CD36B2"/>
    <w:rsid w:val="00CE1BDF"/>
    <w:rsid w:val="00CE510E"/>
    <w:rsid w:val="00CF10EC"/>
    <w:rsid w:val="00D0510A"/>
    <w:rsid w:val="00D147CA"/>
    <w:rsid w:val="00D2159B"/>
    <w:rsid w:val="00D236FD"/>
    <w:rsid w:val="00D4167F"/>
    <w:rsid w:val="00D5074D"/>
    <w:rsid w:val="00D66DE7"/>
    <w:rsid w:val="00D70812"/>
    <w:rsid w:val="00D739FA"/>
    <w:rsid w:val="00D843A2"/>
    <w:rsid w:val="00D869F8"/>
    <w:rsid w:val="00D91AA6"/>
    <w:rsid w:val="00DA6316"/>
    <w:rsid w:val="00DA782D"/>
    <w:rsid w:val="00DB5A2D"/>
    <w:rsid w:val="00DC5389"/>
    <w:rsid w:val="00DD6C34"/>
    <w:rsid w:val="00DF08A3"/>
    <w:rsid w:val="00DF1EF2"/>
    <w:rsid w:val="00DF39FB"/>
    <w:rsid w:val="00DF3E0D"/>
    <w:rsid w:val="00E267A3"/>
    <w:rsid w:val="00E26B8C"/>
    <w:rsid w:val="00E45159"/>
    <w:rsid w:val="00E86A07"/>
    <w:rsid w:val="00EA08B7"/>
    <w:rsid w:val="00EA32ED"/>
    <w:rsid w:val="00EB2447"/>
    <w:rsid w:val="00EC01D8"/>
    <w:rsid w:val="00EC5C2B"/>
    <w:rsid w:val="00ED4D85"/>
    <w:rsid w:val="00EE4931"/>
    <w:rsid w:val="00EE6A3F"/>
    <w:rsid w:val="00F11CE0"/>
    <w:rsid w:val="00F322E0"/>
    <w:rsid w:val="00F8546E"/>
    <w:rsid w:val="00F91F22"/>
    <w:rsid w:val="00FA321A"/>
    <w:rsid w:val="00FC37E2"/>
    <w:rsid w:val="00FC5759"/>
    <w:rsid w:val="00FC68EA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1EE9"/>
  <w15:docId w15:val="{F574CD67-B337-40EC-9D30-09B42337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AD"/>
  </w:style>
  <w:style w:type="paragraph" w:styleId="Ttulo1">
    <w:name w:val="heading 1"/>
    <w:basedOn w:val="Normal"/>
    <w:next w:val="Normal"/>
    <w:link w:val="Ttulo1Char"/>
    <w:qFormat/>
    <w:rsid w:val="001419AD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9A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419A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41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1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C157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57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034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6B8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1539C9"/>
  </w:style>
  <w:style w:type="character" w:customStyle="1" w:styleId="TextodenotaderodapChar">
    <w:name w:val="Texto de nota de rodapé Char"/>
    <w:basedOn w:val="Fontepargpadro"/>
    <w:link w:val="Textodenotaderodap"/>
    <w:semiHidden/>
    <w:rsid w:val="001539C9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1539C9"/>
    <w:rPr>
      <w:vertAlign w:val="superscript"/>
    </w:rPr>
  </w:style>
  <w:style w:type="character" w:styleId="Forte">
    <w:name w:val="Strong"/>
    <w:basedOn w:val="Fontepargpadro"/>
    <w:uiPriority w:val="22"/>
    <w:qFormat/>
    <w:rsid w:val="001539C9"/>
    <w:rPr>
      <w:b/>
      <w:bCs/>
    </w:rPr>
  </w:style>
  <w:style w:type="paragraph" w:styleId="NormalWeb">
    <w:name w:val="Normal (Web)"/>
    <w:basedOn w:val="Normal"/>
    <w:uiPriority w:val="99"/>
    <w:unhideWhenUsed/>
    <w:rsid w:val="001539C9"/>
    <w:pPr>
      <w:spacing w:before="100" w:beforeAutospacing="1" w:after="180" w:line="300" w:lineRule="atLeast"/>
    </w:pPr>
  </w:style>
  <w:style w:type="paragraph" w:styleId="PargrafodaLista">
    <w:name w:val="List Paragraph"/>
    <w:basedOn w:val="Normal"/>
    <w:uiPriority w:val="34"/>
    <w:qFormat/>
    <w:rsid w:val="00A8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&#186;-182011/1300/area/10" TargetMode="External"/><Relationship Id="rId2" Type="http://schemas.openxmlformats.org/officeDocument/2006/relationships/hyperlink" Target="http://www1.tce.pr.gov.br/multimidia/2011/1/pdf/00000323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6FD2E-3325-453C-9CD5-14DED676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13/2010</vt:lpstr>
    </vt:vector>
  </TitlesOfParts>
  <Company>TCEPR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13/2010</dc:title>
  <dc:subject/>
  <dc:creator>tc506117</dc:creator>
  <cp:keywords/>
  <cp:lastModifiedBy>Yarusya Rohrich da Fonseca</cp:lastModifiedBy>
  <cp:revision>9</cp:revision>
  <cp:lastPrinted>2010-10-25T17:48:00Z</cp:lastPrinted>
  <dcterms:created xsi:type="dcterms:W3CDTF">2011-04-25T13:47:00Z</dcterms:created>
  <dcterms:modified xsi:type="dcterms:W3CDTF">2019-02-13T14:04:00Z</dcterms:modified>
</cp:coreProperties>
</file>