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0E" w:rsidRPr="00CA3A21" w:rsidRDefault="00E46E0E" w:rsidP="00E46E0E">
      <w:pPr>
        <w:jc w:val="center"/>
        <w:rPr>
          <w:rFonts w:ascii="Arial" w:hAnsi="Arial" w:cs="Arial"/>
          <w:sz w:val="28"/>
          <w:szCs w:val="28"/>
        </w:rPr>
      </w:pPr>
      <w:r w:rsidRPr="00CA3A21">
        <w:rPr>
          <w:rFonts w:ascii="Arial" w:hAnsi="Arial" w:cs="Arial"/>
          <w:b/>
          <w:bCs/>
          <w:sz w:val="28"/>
          <w:szCs w:val="28"/>
        </w:rPr>
        <w:t>INSTRUÇÃO DE SERVIÇO Nº 12/2010</w:t>
      </w:r>
      <w:r w:rsidR="00CA3A21" w:rsidRPr="00CA3A21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E46E0E" w:rsidRDefault="00E46E0E" w:rsidP="001419AD">
      <w:pPr>
        <w:pStyle w:val="Ttulo1"/>
        <w:rPr>
          <w:rFonts w:ascii="Arial" w:hAnsi="Arial" w:cs="Arial"/>
          <w:shadow/>
          <w:sz w:val="28"/>
          <w:szCs w:val="28"/>
        </w:rPr>
      </w:pPr>
    </w:p>
    <w:p w:rsidR="001419AD" w:rsidRPr="002C4520" w:rsidRDefault="00E46E0E" w:rsidP="001419AD">
      <w:pPr>
        <w:pStyle w:val="Ttulo1"/>
        <w:rPr>
          <w:rFonts w:ascii="Arial" w:hAnsi="Arial" w:cs="Arial"/>
          <w:sz w:val="28"/>
          <w:szCs w:val="28"/>
        </w:rPr>
      </w:pPr>
      <w:r w:rsidRPr="002C4520">
        <w:rPr>
          <w:rFonts w:ascii="Arial" w:hAnsi="Arial" w:cs="Arial"/>
          <w:sz w:val="28"/>
          <w:szCs w:val="28"/>
        </w:rPr>
        <w:t xml:space="preserve">Antiga Instrução de Serviço </w:t>
      </w:r>
      <w:r w:rsidR="002C4520" w:rsidRPr="002C4520">
        <w:rPr>
          <w:rFonts w:ascii="Arial" w:hAnsi="Arial" w:cs="Arial"/>
          <w:sz w:val="28"/>
          <w:szCs w:val="28"/>
        </w:rPr>
        <w:t>n</w:t>
      </w:r>
      <w:r w:rsidRPr="002C4520">
        <w:rPr>
          <w:rFonts w:ascii="Arial" w:hAnsi="Arial" w:cs="Arial"/>
          <w:sz w:val="28"/>
          <w:szCs w:val="28"/>
        </w:rPr>
        <w:t>º 13/2010</w:t>
      </w:r>
    </w:p>
    <w:p w:rsidR="001419AD" w:rsidRPr="00557C59" w:rsidRDefault="001419AD" w:rsidP="001419AD">
      <w:pPr>
        <w:ind w:left="-540"/>
        <w:rPr>
          <w:rFonts w:ascii="Arial" w:hAnsi="Arial" w:cs="Arial"/>
        </w:rPr>
      </w:pPr>
    </w:p>
    <w:p w:rsidR="001419AD" w:rsidRPr="00557C59" w:rsidRDefault="001419AD" w:rsidP="00CA3A21">
      <w:pPr>
        <w:pStyle w:val="Corpodetexto"/>
        <w:ind w:left="4536"/>
        <w:rPr>
          <w:rFonts w:ascii="Arial" w:hAnsi="Arial" w:cs="Arial"/>
          <w:i/>
        </w:rPr>
      </w:pPr>
      <w:r w:rsidRPr="00557C59">
        <w:rPr>
          <w:rFonts w:ascii="Arial" w:hAnsi="Arial" w:cs="Arial"/>
          <w:i/>
        </w:rPr>
        <w:t xml:space="preserve">Dispõe sobre </w:t>
      </w:r>
      <w:r>
        <w:rPr>
          <w:rFonts w:ascii="Arial" w:hAnsi="Arial" w:cs="Arial"/>
          <w:i/>
        </w:rPr>
        <w:t>os procedimentos a serem adotados na fase de transição de migração de plataforma do sistema de trâmite para fins de implantação do processo eletrônico, conforme previsto na Lei Complementar nº 126/2009</w:t>
      </w:r>
      <w:r w:rsidRPr="00557C59">
        <w:rPr>
          <w:rFonts w:ascii="Arial" w:hAnsi="Arial" w:cs="Arial"/>
          <w:i/>
        </w:rPr>
        <w:t>.</w:t>
      </w:r>
    </w:p>
    <w:p w:rsidR="001419AD" w:rsidRDefault="001419AD" w:rsidP="001419AD">
      <w:pPr>
        <w:rPr>
          <w:rFonts w:ascii="Arial" w:hAnsi="Arial" w:cs="Arial"/>
        </w:rPr>
      </w:pPr>
    </w:p>
    <w:p w:rsidR="001419AD" w:rsidRPr="00557C59" w:rsidRDefault="001419AD" w:rsidP="001419AD">
      <w:pPr>
        <w:rPr>
          <w:rFonts w:ascii="Arial" w:hAnsi="Arial" w:cs="Arial"/>
        </w:rPr>
      </w:pPr>
    </w:p>
    <w:p w:rsidR="001419AD" w:rsidRDefault="001419AD" w:rsidP="001419AD">
      <w:pPr>
        <w:ind w:firstLine="708"/>
        <w:jc w:val="both"/>
        <w:rPr>
          <w:rFonts w:ascii="Arial" w:hAnsi="Arial" w:cs="Arial"/>
        </w:rPr>
      </w:pPr>
      <w:r w:rsidRPr="006D3401">
        <w:rPr>
          <w:rFonts w:ascii="Arial" w:hAnsi="Arial" w:cs="Arial"/>
        </w:rPr>
        <w:t xml:space="preserve">O </w:t>
      </w:r>
      <w:r w:rsidRPr="00635FA3">
        <w:rPr>
          <w:rFonts w:ascii="Arial" w:hAnsi="Arial" w:cs="Arial"/>
          <w:b/>
          <w:caps/>
        </w:rPr>
        <w:t>Presidente do Tribunal de Contas do Estado do Paraná</w:t>
      </w:r>
      <w:r w:rsidRPr="006D3401">
        <w:rPr>
          <w:rFonts w:ascii="Arial" w:hAnsi="Arial" w:cs="Arial"/>
        </w:rPr>
        <w:t xml:space="preserve">, no uso das atribuições que lhe são conferidas no art. 122, I, da Lei Complementar nº 113/2005, e pelo art. 16, XXXIII e XXXIV, do Regimento Interno c/c o art. 197, </w:t>
      </w:r>
      <w:r w:rsidR="00DD6C34">
        <w:rPr>
          <w:rFonts w:ascii="Arial" w:hAnsi="Arial" w:cs="Arial"/>
        </w:rPr>
        <w:t xml:space="preserve">e comunicado </w:t>
      </w:r>
      <w:r w:rsidR="000E2108">
        <w:rPr>
          <w:rFonts w:ascii="Arial" w:hAnsi="Arial" w:cs="Arial"/>
        </w:rPr>
        <w:t xml:space="preserve">em sessão do </w:t>
      </w:r>
      <w:r w:rsidR="000E2108" w:rsidRPr="00DD6C34">
        <w:rPr>
          <w:rFonts w:ascii="Arial" w:hAnsi="Arial" w:cs="Arial"/>
        </w:rPr>
        <w:t>Tribunal Pleno</w:t>
      </w:r>
      <w:r w:rsidR="000E2108">
        <w:rPr>
          <w:rFonts w:ascii="Arial" w:hAnsi="Arial" w:cs="Arial"/>
        </w:rPr>
        <w:t xml:space="preserve"> </w:t>
      </w:r>
      <w:r w:rsidR="00DD6C34">
        <w:rPr>
          <w:rFonts w:ascii="Arial" w:hAnsi="Arial" w:cs="Arial"/>
        </w:rPr>
        <w:t>nesta data,</w:t>
      </w:r>
    </w:p>
    <w:p w:rsidR="001419AD" w:rsidRPr="00557C59" w:rsidRDefault="001419AD" w:rsidP="001419AD">
      <w:pPr>
        <w:pStyle w:val="Corpodetexto"/>
        <w:ind w:firstLine="708"/>
        <w:rPr>
          <w:rFonts w:ascii="Arial" w:hAnsi="Arial" w:cs="Arial"/>
          <w:b/>
        </w:rPr>
      </w:pPr>
    </w:p>
    <w:p w:rsidR="001419AD" w:rsidRPr="00557C59" w:rsidRDefault="001419AD" w:rsidP="00CA3A21">
      <w:pPr>
        <w:pStyle w:val="Corpodetexto"/>
        <w:ind w:firstLine="851"/>
        <w:rPr>
          <w:rFonts w:ascii="Arial" w:hAnsi="Arial" w:cs="Arial"/>
          <w:b/>
        </w:rPr>
      </w:pPr>
      <w:r w:rsidRPr="00557C59">
        <w:rPr>
          <w:rFonts w:ascii="Arial" w:hAnsi="Arial" w:cs="Arial"/>
          <w:b/>
        </w:rPr>
        <w:t>RESOLVE:</w:t>
      </w:r>
    </w:p>
    <w:p w:rsidR="001419AD" w:rsidRPr="00557C59" w:rsidRDefault="001419AD" w:rsidP="001419AD">
      <w:pPr>
        <w:jc w:val="both"/>
        <w:rPr>
          <w:rFonts w:ascii="Arial" w:hAnsi="Arial" w:cs="Arial"/>
        </w:rPr>
      </w:pPr>
    </w:p>
    <w:p w:rsidR="001419AD" w:rsidRPr="00557C59" w:rsidRDefault="001419AD" w:rsidP="001419AD">
      <w:pPr>
        <w:jc w:val="both"/>
        <w:rPr>
          <w:rFonts w:ascii="Arial" w:hAnsi="Arial" w:cs="Arial"/>
        </w:rPr>
      </w:pPr>
    </w:p>
    <w:p w:rsidR="001419AD" w:rsidRPr="00433EBC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C92938">
        <w:rPr>
          <w:rFonts w:ascii="Arial" w:hAnsi="Arial" w:cs="Arial"/>
          <w:b/>
        </w:rPr>
        <w:t>Art. 1º</w:t>
      </w:r>
      <w:r w:rsidRPr="003D3E56">
        <w:rPr>
          <w:rFonts w:ascii="Arial" w:hAnsi="Arial" w:cs="Arial"/>
        </w:rPr>
        <w:t xml:space="preserve"> Esta Instrução</w:t>
      </w:r>
      <w:r>
        <w:rPr>
          <w:rFonts w:ascii="Arial" w:hAnsi="Arial" w:cs="Arial"/>
        </w:rPr>
        <w:t xml:space="preserve"> de Serviço</w:t>
      </w:r>
      <w:r w:rsidRPr="003D3E56">
        <w:rPr>
          <w:rFonts w:ascii="Arial" w:hAnsi="Arial" w:cs="Arial"/>
        </w:rPr>
        <w:t xml:space="preserve"> regulamenta</w:t>
      </w:r>
      <w:r>
        <w:rPr>
          <w:rFonts w:ascii="Arial" w:hAnsi="Arial" w:cs="Arial"/>
        </w:rPr>
        <w:t xml:space="preserve">, até a implantação do sistema </w:t>
      </w:r>
      <w:proofErr w:type="spellStart"/>
      <w:r w:rsidRPr="00433EBC">
        <w:rPr>
          <w:rFonts w:ascii="Arial" w:hAnsi="Arial" w:cs="Arial"/>
          <w:i/>
        </w:rPr>
        <w:t>e</w:t>
      </w:r>
      <w:r w:rsidRPr="00433EBC">
        <w:rPr>
          <w:rFonts w:ascii="Arial" w:hAnsi="Arial" w:cs="Arial"/>
        </w:rPr>
        <w:t>ContasPR</w:t>
      </w:r>
      <w:proofErr w:type="spellEnd"/>
      <w:r w:rsidRPr="00433EBC">
        <w:rPr>
          <w:rFonts w:ascii="Arial" w:hAnsi="Arial" w:cs="Arial"/>
        </w:rPr>
        <w:t xml:space="preserve">, a conversão dos processos </w:t>
      </w:r>
      <w:r w:rsidR="004F0726" w:rsidRPr="00433EBC">
        <w:rPr>
          <w:rFonts w:ascii="Arial" w:hAnsi="Arial" w:cs="Arial"/>
        </w:rPr>
        <w:t>de</w:t>
      </w:r>
      <w:r w:rsidRPr="00433EBC">
        <w:rPr>
          <w:rFonts w:ascii="Arial" w:hAnsi="Arial" w:cs="Arial"/>
        </w:rPr>
        <w:t xml:space="preserve"> autos físicos para o meio eletrônico, a digitalização dos novos feitos</w:t>
      </w:r>
      <w:r w:rsidR="00393AF3" w:rsidRPr="00433EBC">
        <w:rPr>
          <w:rFonts w:ascii="Arial" w:hAnsi="Arial" w:cs="Arial"/>
        </w:rPr>
        <w:t xml:space="preserve"> e a tramitação processual, conforme previsto na Lei Complementar nº 126, de 7 de dezembro de 2009.</w:t>
      </w:r>
    </w:p>
    <w:p w:rsidR="001419AD" w:rsidRPr="003D3E56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C92938">
        <w:rPr>
          <w:rFonts w:ascii="Arial" w:hAnsi="Arial" w:cs="Arial"/>
          <w:b/>
        </w:rPr>
        <w:t>Parágrafo único.</w:t>
      </w:r>
      <w:r w:rsidRPr="003D3E56">
        <w:rPr>
          <w:rFonts w:ascii="Arial" w:hAnsi="Arial" w:cs="Arial"/>
        </w:rPr>
        <w:t xml:space="preserve"> Para esta fase </w:t>
      </w:r>
      <w:r>
        <w:rPr>
          <w:rFonts w:ascii="Arial" w:hAnsi="Arial" w:cs="Arial"/>
        </w:rPr>
        <w:t>de transição serão utilizada</w:t>
      </w:r>
      <w:r w:rsidRPr="003D3E56">
        <w:rPr>
          <w:rFonts w:ascii="Arial" w:hAnsi="Arial" w:cs="Arial"/>
        </w:rPr>
        <w:t xml:space="preserve">s as plataformas </w:t>
      </w:r>
      <w:proofErr w:type="spellStart"/>
      <w:r w:rsidRPr="003D3E56">
        <w:rPr>
          <w:rFonts w:ascii="Arial" w:hAnsi="Arial" w:cs="Arial"/>
        </w:rPr>
        <w:t>Centura</w:t>
      </w:r>
      <w:proofErr w:type="spellEnd"/>
      <w:r w:rsidRPr="003D3E56">
        <w:rPr>
          <w:rFonts w:ascii="Arial" w:hAnsi="Arial" w:cs="Arial"/>
        </w:rPr>
        <w:t xml:space="preserve"> e </w:t>
      </w:r>
      <w:proofErr w:type="spellStart"/>
      <w:r w:rsidRPr="003D3E56">
        <w:rPr>
          <w:rFonts w:ascii="Arial" w:hAnsi="Arial" w:cs="Arial"/>
        </w:rPr>
        <w:t>Ágiles</w:t>
      </w:r>
      <w:proofErr w:type="spellEnd"/>
      <w:r w:rsidRPr="003D3E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através do sistema de trâmite e o TCE Digital, </w:t>
      </w:r>
      <w:r w:rsidRPr="003D3E56">
        <w:rPr>
          <w:rFonts w:ascii="Arial" w:hAnsi="Arial" w:cs="Arial"/>
        </w:rPr>
        <w:t xml:space="preserve">até a migração </w:t>
      </w:r>
      <w:r>
        <w:rPr>
          <w:rFonts w:ascii="Arial" w:hAnsi="Arial" w:cs="Arial"/>
        </w:rPr>
        <w:t xml:space="preserve">definitiva </w:t>
      </w:r>
      <w:r w:rsidRPr="003D3E56">
        <w:rPr>
          <w:rFonts w:ascii="Arial" w:hAnsi="Arial" w:cs="Arial"/>
        </w:rPr>
        <w:t xml:space="preserve">para o novo sistema </w:t>
      </w:r>
      <w:r w:rsidRPr="00C92938">
        <w:rPr>
          <w:rFonts w:ascii="Arial" w:hAnsi="Arial" w:cs="Arial"/>
          <w:i/>
        </w:rPr>
        <w:t>e</w:t>
      </w:r>
      <w:r w:rsidRPr="003D3E56">
        <w:rPr>
          <w:rFonts w:ascii="Arial" w:hAnsi="Arial" w:cs="Arial"/>
        </w:rPr>
        <w:t>-</w:t>
      </w:r>
      <w:proofErr w:type="spellStart"/>
      <w:r w:rsidRPr="003D3E56">
        <w:rPr>
          <w:rFonts w:ascii="Arial" w:hAnsi="Arial" w:cs="Arial"/>
        </w:rPr>
        <w:t>ContasPR</w:t>
      </w:r>
      <w:proofErr w:type="spellEnd"/>
      <w:r w:rsidRPr="003D3E56">
        <w:rPr>
          <w:rFonts w:ascii="Arial" w:hAnsi="Arial" w:cs="Arial"/>
        </w:rPr>
        <w:t>.</w:t>
      </w:r>
    </w:p>
    <w:p w:rsidR="001419AD" w:rsidRPr="004E7B42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E9419D">
        <w:rPr>
          <w:rFonts w:ascii="Arial" w:hAnsi="Arial" w:cs="Arial"/>
          <w:b/>
        </w:rPr>
        <w:t>Art. 2º</w:t>
      </w:r>
      <w:r w:rsidRPr="004E7B42">
        <w:rPr>
          <w:rFonts w:ascii="Arial" w:hAnsi="Arial" w:cs="Arial"/>
        </w:rPr>
        <w:t xml:space="preserve"> Os processos em trâmite serão convertidos </w:t>
      </w:r>
      <w:r w:rsidR="00B94247">
        <w:rPr>
          <w:rFonts w:ascii="Arial" w:hAnsi="Arial" w:cs="Arial"/>
        </w:rPr>
        <w:t>para o</w:t>
      </w:r>
      <w:r w:rsidRPr="004E7B42">
        <w:rPr>
          <w:rFonts w:ascii="Arial" w:hAnsi="Arial" w:cs="Arial"/>
        </w:rPr>
        <w:t xml:space="preserve"> meio eletrônico, de acordo com o cronograma </w:t>
      </w:r>
      <w:r>
        <w:rPr>
          <w:rFonts w:ascii="Arial" w:hAnsi="Arial" w:cs="Arial"/>
        </w:rPr>
        <w:t>elaborado pela</w:t>
      </w:r>
      <w:r w:rsidRPr="004E7B42">
        <w:rPr>
          <w:rFonts w:ascii="Arial" w:hAnsi="Arial" w:cs="Arial"/>
        </w:rPr>
        <w:t xml:space="preserve"> Comissão </w:t>
      </w:r>
      <w:r>
        <w:rPr>
          <w:rFonts w:ascii="Arial" w:hAnsi="Arial" w:cs="Arial"/>
        </w:rPr>
        <w:t>do Programa TCE DIGITAL</w:t>
      </w:r>
      <w:r w:rsidRPr="004E7B42">
        <w:rPr>
          <w:rFonts w:ascii="Arial" w:hAnsi="Arial" w:cs="Arial"/>
        </w:rPr>
        <w:t xml:space="preserve">, oriunda da Portaria nº </w:t>
      </w:r>
      <w:r>
        <w:rPr>
          <w:rFonts w:ascii="Arial" w:hAnsi="Arial" w:cs="Arial"/>
        </w:rPr>
        <w:t>281, de 3 de junho de 2009</w:t>
      </w:r>
      <w:r w:rsidRPr="004E7B42">
        <w:rPr>
          <w:rFonts w:ascii="Arial" w:hAnsi="Arial" w:cs="Arial"/>
        </w:rPr>
        <w:t>.</w:t>
      </w:r>
    </w:p>
    <w:p w:rsidR="001419AD" w:rsidRPr="004E7B42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t>Art. 3º</w:t>
      </w:r>
      <w:r w:rsidRPr="004E7B42">
        <w:rPr>
          <w:rFonts w:ascii="Arial" w:hAnsi="Arial" w:cs="Arial"/>
        </w:rPr>
        <w:t xml:space="preserve"> As unidades administrativas designarão servidores para acompanhar e autenticar, mediante certificação digital, a digitalização dos autos físicos que estão em trâmite na respectiva unidade.</w:t>
      </w:r>
    </w:p>
    <w:p w:rsidR="001419AD" w:rsidRPr="004E7B42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Aos servidores designados para os trabalhos de acompanhamento e autenticação cabe a conferência dos autos digitalizados </w:t>
      </w:r>
      <w:r>
        <w:rPr>
          <w:rFonts w:ascii="Arial" w:hAnsi="Arial" w:cs="Arial"/>
        </w:rPr>
        <w:lastRenderedPageBreak/>
        <w:t xml:space="preserve">com os documentos físicos, a identificação de inconformidades relativas </w:t>
      </w:r>
      <w:r w:rsidR="00C8035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numeração, documentos ilegíveis e outras hipóteses tidas como relevantes, mediante certificação nos autos digitais.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2B1F1E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Constará dos autos físicos remetidos à origem, após a digitalização, informação relativa à conversão do feito em meio eletrônico e que a guarda de eventuais documentos originais contidos no processo deverão ser preservados até o trânsito em julgado da decisão e</w:t>
      </w:r>
      <w:r w:rsidR="00863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admitido, até o final do prazo para interposição de Pedido de Rescisão, nos termos d</w:t>
      </w:r>
      <w:r>
        <w:rPr>
          <w:rFonts w:ascii="Arial" w:eastAsia="Calibri" w:hAnsi="Arial" w:cs="Arial"/>
          <w:bCs/>
        </w:rPr>
        <w:t>o art. 11, § 1º, da Lei nº 11.419/2006.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2C761E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 partir de </w:t>
      </w:r>
      <w:r w:rsidRPr="00822FDF">
        <w:rPr>
          <w:rFonts w:ascii="Arial" w:hAnsi="Arial" w:cs="Arial"/>
          <w:b/>
        </w:rPr>
        <w:t>5 de julho de 2010</w:t>
      </w:r>
      <w:r>
        <w:rPr>
          <w:rFonts w:ascii="Arial" w:hAnsi="Arial" w:cs="Arial"/>
        </w:rPr>
        <w:t xml:space="preserve"> os novos feitos serão autuados</w:t>
      </w:r>
      <w:r w:rsidR="00830873">
        <w:rPr>
          <w:rFonts w:ascii="Arial" w:hAnsi="Arial" w:cs="Arial"/>
        </w:rPr>
        <w:t xml:space="preserve">, digitalizados </w:t>
      </w:r>
      <w:r>
        <w:rPr>
          <w:rFonts w:ascii="Arial" w:hAnsi="Arial" w:cs="Arial"/>
        </w:rPr>
        <w:t xml:space="preserve">e processados </w:t>
      </w:r>
      <w:r w:rsidR="00C80351">
        <w:rPr>
          <w:rFonts w:ascii="Arial" w:hAnsi="Arial" w:cs="Arial"/>
        </w:rPr>
        <w:t>exclusivamente em meio eletrônico</w:t>
      </w:r>
      <w:r>
        <w:rPr>
          <w:rFonts w:ascii="Arial" w:hAnsi="Arial" w:cs="Arial"/>
        </w:rPr>
        <w:t>.</w:t>
      </w:r>
    </w:p>
    <w:p w:rsidR="00BD1286" w:rsidRDefault="00BE18F3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="00BD1286" w:rsidRPr="00BD1286">
        <w:rPr>
          <w:rFonts w:ascii="Arial" w:hAnsi="Arial" w:cs="Arial"/>
        </w:rPr>
        <w:t xml:space="preserve"> </w:t>
      </w:r>
      <w:r w:rsidR="00BD1286">
        <w:rPr>
          <w:rFonts w:ascii="Arial" w:hAnsi="Arial" w:cs="Arial"/>
        </w:rPr>
        <w:t xml:space="preserve">Após a protocolização e autuação, quando houver, os </w:t>
      </w:r>
      <w:r w:rsidR="00BD1286" w:rsidRPr="003A6B9A">
        <w:rPr>
          <w:rFonts w:ascii="Arial" w:hAnsi="Arial" w:cs="Arial"/>
        </w:rPr>
        <w:t>documentos impressos deverão</w:t>
      </w:r>
      <w:r w:rsidR="00BD1286">
        <w:rPr>
          <w:rFonts w:ascii="Arial" w:hAnsi="Arial" w:cs="Arial"/>
        </w:rPr>
        <w:t xml:space="preserve"> ser retirados na Diretoria de Protocolo pelos respectivos interessados, no prazo máximo de </w:t>
      </w:r>
      <w:r w:rsidR="00D869F8">
        <w:rPr>
          <w:rFonts w:ascii="Arial" w:hAnsi="Arial" w:cs="Arial"/>
        </w:rPr>
        <w:t>1</w:t>
      </w:r>
      <w:r w:rsidR="00131B40">
        <w:rPr>
          <w:rFonts w:ascii="Arial" w:hAnsi="Arial" w:cs="Arial"/>
        </w:rPr>
        <w:t>0</w:t>
      </w:r>
      <w:r w:rsidR="00BD1286">
        <w:rPr>
          <w:rFonts w:ascii="Arial" w:hAnsi="Arial" w:cs="Arial"/>
        </w:rPr>
        <w:t xml:space="preserve"> (</w:t>
      </w:r>
      <w:r w:rsidR="00131B40">
        <w:rPr>
          <w:rFonts w:ascii="Arial" w:hAnsi="Arial" w:cs="Arial"/>
        </w:rPr>
        <w:t>dez</w:t>
      </w:r>
      <w:r w:rsidR="00BD1286">
        <w:rPr>
          <w:rFonts w:ascii="Arial" w:hAnsi="Arial" w:cs="Arial"/>
        </w:rPr>
        <w:t>) dias, contados da data do protocolo, sob pena de serem encaminhados ao programa de reciclagem do Tribunal.</w:t>
      </w:r>
    </w:p>
    <w:p w:rsidR="00BE18F3" w:rsidRPr="00883C52" w:rsidRDefault="00BE18F3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883C52">
        <w:rPr>
          <w:rFonts w:ascii="Arial" w:hAnsi="Arial" w:cs="Arial"/>
        </w:rPr>
        <w:t>§ 2º Fica a Diretoria de Protocolo autorizada a</w:t>
      </w:r>
      <w:r w:rsidR="00CD36B2" w:rsidRPr="00883C52">
        <w:rPr>
          <w:rFonts w:ascii="Arial" w:hAnsi="Arial" w:cs="Arial"/>
        </w:rPr>
        <w:t>dotar procedimentos</w:t>
      </w:r>
      <w:r w:rsidRPr="00883C52">
        <w:rPr>
          <w:rFonts w:ascii="Arial" w:hAnsi="Arial" w:cs="Arial"/>
        </w:rPr>
        <w:t xml:space="preserve"> </w:t>
      </w:r>
      <w:r w:rsidR="00CD36B2" w:rsidRPr="00883C52">
        <w:rPr>
          <w:rFonts w:ascii="Arial" w:hAnsi="Arial" w:cs="Arial"/>
        </w:rPr>
        <w:t xml:space="preserve">e </w:t>
      </w:r>
      <w:r w:rsidRPr="00883C52">
        <w:rPr>
          <w:rFonts w:ascii="Arial" w:hAnsi="Arial" w:cs="Arial"/>
        </w:rPr>
        <w:t>providências administrativas para a devolução dos documentos de que trata o § 1º.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  <w:color w:val="FF0000"/>
        </w:rPr>
      </w:pPr>
      <w:r w:rsidRPr="002C761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C761E">
        <w:rPr>
          <w:rFonts w:ascii="Arial" w:hAnsi="Arial" w:cs="Arial"/>
          <w:b/>
        </w:rPr>
        <w:t>6º</w:t>
      </w:r>
      <w:r w:rsidRPr="00C319D9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>atos</w:t>
      </w:r>
      <w:r w:rsidRPr="00C319D9">
        <w:rPr>
          <w:rFonts w:ascii="Arial" w:hAnsi="Arial" w:cs="Arial"/>
        </w:rPr>
        <w:t xml:space="preserve"> produzidos </w:t>
      </w:r>
      <w:r>
        <w:rPr>
          <w:rFonts w:ascii="Arial" w:hAnsi="Arial" w:cs="Arial"/>
        </w:rPr>
        <w:t xml:space="preserve">pelas unidades administrativas, </w:t>
      </w:r>
      <w:r w:rsidRPr="00C319D9">
        <w:rPr>
          <w:rFonts w:ascii="Arial" w:hAnsi="Arial" w:cs="Arial"/>
        </w:rPr>
        <w:t>de forma eletrônica</w:t>
      </w:r>
      <w:r>
        <w:rPr>
          <w:rFonts w:ascii="Arial" w:hAnsi="Arial" w:cs="Arial"/>
        </w:rPr>
        <w:t>,</w:t>
      </w:r>
      <w:r w:rsidRPr="00C319D9">
        <w:rPr>
          <w:rFonts w:ascii="Arial" w:hAnsi="Arial" w:cs="Arial"/>
        </w:rPr>
        <w:t xml:space="preserve"> deverão ser assinados digitalmente, como garantia da origem e de seu signatário</w:t>
      </w:r>
      <w:r>
        <w:rPr>
          <w:rFonts w:ascii="Arial" w:hAnsi="Arial" w:cs="Arial"/>
        </w:rPr>
        <w:t>.</w:t>
      </w:r>
      <w:r w:rsidR="00946CB6">
        <w:rPr>
          <w:rFonts w:ascii="Arial" w:hAnsi="Arial" w:cs="Arial"/>
          <w:color w:val="FF0000"/>
        </w:rPr>
        <w:t xml:space="preserve"> </w:t>
      </w:r>
    </w:p>
    <w:p w:rsidR="001419AD" w:rsidRPr="00BD5838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BD5838">
        <w:rPr>
          <w:rFonts w:ascii="Arial" w:hAnsi="Arial" w:cs="Arial"/>
        </w:rPr>
        <w:t xml:space="preserve">§ 1º Os documentos digitais referidos no </w:t>
      </w:r>
      <w:r w:rsidRPr="00BD5838">
        <w:rPr>
          <w:rFonts w:ascii="Arial" w:hAnsi="Arial" w:cs="Arial"/>
          <w:i/>
        </w:rPr>
        <w:t>caput</w:t>
      </w:r>
      <w:r w:rsidRPr="00BD5838">
        <w:rPr>
          <w:rFonts w:ascii="Arial" w:hAnsi="Arial" w:cs="Arial"/>
        </w:rPr>
        <w:t xml:space="preserve"> deverão conter o brasão de armas do Estado do Paraná e deverão ser expedidos preferencialmente conforme padrão estabelecido no </w:t>
      </w:r>
      <w:r w:rsidR="00883C52" w:rsidRPr="00BD5838">
        <w:rPr>
          <w:rFonts w:ascii="Arial" w:hAnsi="Arial" w:cs="Arial"/>
        </w:rPr>
        <w:t>Caderno</w:t>
      </w:r>
      <w:r w:rsidR="00673F84" w:rsidRPr="00BD5838">
        <w:rPr>
          <w:rFonts w:ascii="Arial" w:hAnsi="Arial" w:cs="Arial"/>
        </w:rPr>
        <w:t xml:space="preserve"> de Padronização de Atos Processuais</w:t>
      </w:r>
      <w:r w:rsidR="000C0771" w:rsidRPr="00BD5838">
        <w:rPr>
          <w:rFonts w:ascii="Arial" w:hAnsi="Arial" w:cs="Arial"/>
        </w:rPr>
        <w:t xml:space="preserve"> e de Requerimentos</w:t>
      </w:r>
      <w:r w:rsidR="00673F84" w:rsidRPr="00BD5838">
        <w:rPr>
          <w:rFonts w:ascii="Arial" w:hAnsi="Arial" w:cs="Arial"/>
        </w:rPr>
        <w:t>, disponibilizado na intranet</w:t>
      </w:r>
      <w:r w:rsidRPr="00BD5838">
        <w:rPr>
          <w:rFonts w:ascii="Arial" w:hAnsi="Arial" w:cs="Arial"/>
        </w:rPr>
        <w:t>.</w:t>
      </w:r>
    </w:p>
    <w:p w:rsidR="001419AD" w:rsidRPr="002B6564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</w:t>
      </w:r>
      <w:r w:rsidRPr="002B6564">
        <w:rPr>
          <w:rFonts w:ascii="Arial" w:hAnsi="Arial" w:cs="Arial"/>
        </w:rPr>
        <w:t>Será permitida a aposição de mais de uma assinatura digital a um documento</w:t>
      </w:r>
      <w:r>
        <w:rPr>
          <w:rFonts w:ascii="Arial" w:hAnsi="Arial" w:cs="Arial"/>
        </w:rPr>
        <w:t>.</w:t>
      </w:r>
    </w:p>
    <w:p w:rsidR="001419AD" w:rsidRPr="00031485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</w:t>
      </w:r>
      <w:r w:rsidRPr="00031485">
        <w:rPr>
          <w:rFonts w:ascii="Arial" w:hAnsi="Arial" w:cs="Arial"/>
        </w:rPr>
        <w:t>Será considerada original a versão armazenada no servidor do Tribunal.</w:t>
      </w:r>
    </w:p>
    <w:p w:rsidR="001419AD" w:rsidRPr="00FC02B3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FC02B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4º</w:t>
      </w:r>
      <w:r w:rsidRPr="00FC02B3">
        <w:rPr>
          <w:rFonts w:ascii="Arial" w:hAnsi="Arial" w:cs="Arial"/>
        </w:rPr>
        <w:t xml:space="preserve"> Os autos digitalizados receberão numeração por ato ou peça processual em ordem cronológica em que forem juntados.</w:t>
      </w:r>
    </w:p>
    <w:p w:rsidR="0084639D" w:rsidRPr="006119DB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6119DB">
        <w:rPr>
          <w:rFonts w:ascii="Arial" w:hAnsi="Arial" w:cs="Arial"/>
        </w:rPr>
        <w:t xml:space="preserve">§ 5º </w:t>
      </w:r>
      <w:r w:rsidR="0084639D" w:rsidRPr="006119DB">
        <w:rPr>
          <w:rFonts w:ascii="Arial" w:hAnsi="Arial" w:cs="Arial"/>
        </w:rPr>
        <w:t>A nominaç</w:t>
      </w:r>
      <w:r w:rsidR="00C75726" w:rsidRPr="006119DB">
        <w:rPr>
          <w:rFonts w:ascii="Arial" w:hAnsi="Arial" w:cs="Arial"/>
        </w:rPr>
        <w:t>ão</w:t>
      </w:r>
      <w:r w:rsidR="0084639D" w:rsidRPr="006119DB">
        <w:rPr>
          <w:rFonts w:ascii="Arial" w:hAnsi="Arial" w:cs="Arial"/>
        </w:rPr>
        <w:t xml:space="preserve"> de atos e peças</w:t>
      </w:r>
      <w:r w:rsidR="006119DB" w:rsidRPr="006119DB">
        <w:rPr>
          <w:rFonts w:ascii="Arial" w:hAnsi="Arial" w:cs="Arial"/>
        </w:rPr>
        <w:t xml:space="preserve"> de processos e requerimentos, </w:t>
      </w:r>
      <w:r w:rsidR="00C75726" w:rsidRPr="006119DB">
        <w:rPr>
          <w:rFonts w:ascii="Arial" w:hAnsi="Arial" w:cs="Arial"/>
        </w:rPr>
        <w:t>ser</w:t>
      </w:r>
      <w:r w:rsidR="006119DB" w:rsidRPr="006119DB">
        <w:rPr>
          <w:rFonts w:ascii="Arial" w:hAnsi="Arial" w:cs="Arial"/>
        </w:rPr>
        <w:t>á regulamentada</w:t>
      </w:r>
      <w:r w:rsidR="0084639D" w:rsidRPr="006119DB">
        <w:rPr>
          <w:rFonts w:ascii="Arial" w:hAnsi="Arial" w:cs="Arial"/>
        </w:rPr>
        <w:t xml:space="preserve"> na forma do Anexo </w:t>
      </w:r>
      <w:r w:rsidR="006119DB" w:rsidRPr="006119DB">
        <w:rPr>
          <w:rFonts w:ascii="Arial" w:hAnsi="Arial" w:cs="Arial"/>
        </w:rPr>
        <w:t>I</w:t>
      </w:r>
      <w:r w:rsidR="0084639D" w:rsidRPr="006119DB">
        <w:rPr>
          <w:rFonts w:ascii="Arial" w:hAnsi="Arial" w:cs="Arial"/>
        </w:rPr>
        <w:t>, de</w:t>
      </w:r>
      <w:r w:rsidR="00167937">
        <w:rPr>
          <w:rFonts w:ascii="Arial" w:hAnsi="Arial" w:cs="Arial"/>
        </w:rPr>
        <w:t>sta Instrução</w:t>
      </w:r>
      <w:r w:rsidR="0025120D" w:rsidRPr="006119DB">
        <w:rPr>
          <w:rFonts w:ascii="Arial" w:hAnsi="Arial" w:cs="Arial"/>
        </w:rPr>
        <w:t>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6</w:t>
      </w:r>
      <w:r>
        <w:rPr>
          <w:rFonts w:ascii="Arial" w:hAnsi="Arial" w:cs="Arial"/>
        </w:rPr>
        <w:t>º Para os processos digitalizados não haverá mais a emissão de termos de remessa e recebimento e termos de juntada, abertura de volume e de anexos.</w:t>
      </w:r>
    </w:p>
    <w:p w:rsidR="001419AD" w:rsidRPr="00ED4D85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º A tramitação dos autos eletrônicos ocorrerá exclusivamente via sistema, identificando-se a sua localização através da ferramenta denominada Painel de </w:t>
      </w:r>
      <w:r w:rsidRPr="00ED4D85">
        <w:rPr>
          <w:rFonts w:ascii="Arial" w:hAnsi="Arial" w:cs="Arial"/>
        </w:rPr>
        <w:t>Controle</w:t>
      </w:r>
      <w:r w:rsidR="00B87E9B" w:rsidRPr="00ED4D85">
        <w:rPr>
          <w:rFonts w:ascii="Arial" w:hAnsi="Arial" w:cs="Arial"/>
        </w:rPr>
        <w:t xml:space="preserve"> de Processos da Unidade.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Executado o </w:t>
      </w:r>
      <w:r w:rsidRPr="005903C8">
        <w:rPr>
          <w:rFonts w:ascii="Arial" w:hAnsi="Arial" w:cs="Arial"/>
          <w:i/>
        </w:rPr>
        <w:t>login</w:t>
      </w:r>
      <w:r>
        <w:rPr>
          <w:rFonts w:ascii="Arial" w:hAnsi="Arial" w:cs="Arial"/>
        </w:rPr>
        <w:t xml:space="preserve"> no sistema o servidor receberá informações dos processos que lhe foram atribuídos</w:t>
      </w:r>
      <w:r w:rsidR="00ED4D85">
        <w:rPr>
          <w:rFonts w:ascii="Arial" w:hAnsi="Arial" w:cs="Arial"/>
        </w:rPr>
        <w:t xml:space="preserve">, </w:t>
      </w:r>
      <w:r w:rsidR="00ED4D85" w:rsidRPr="00ED4D85">
        <w:rPr>
          <w:rFonts w:ascii="Arial" w:hAnsi="Arial" w:cs="Arial"/>
        </w:rPr>
        <w:t>através do Painel de Controle.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2C761E">
        <w:rPr>
          <w:rFonts w:ascii="Arial" w:hAnsi="Arial" w:cs="Arial"/>
        </w:rPr>
        <w:lastRenderedPageBreak/>
        <w:t xml:space="preserve">§ </w:t>
      </w:r>
      <w:r w:rsidR="00433EBC">
        <w:rPr>
          <w:rFonts w:ascii="Arial" w:hAnsi="Arial" w:cs="Arial"/>
        </w:rPr>
        <w:t>9º</w:t>
      </w:r>
      <w:r>
        <w:rPr>
          <w:rFonts w:ascii="Arial" w:hAnsi="Arial" w:cs="Arial"/>
        </w:rPr>
        <w:t xml:space="preserve"> </w:t>
      </w:r>
      <w:r w:rsidRPr="002C761E">
        <w:rPr>
          <w:rFonts w:ascii="Arial" w:hAnsi="Arial" w:cs="Arial"/>
        </w:rPr>
        <w:t xml:space="preserve">Os atos processuais digitais serão editados no sistema </w:t>
      </w:r>
      <w:r w:rsidR="002F1A42">
        <w:rPr>
          <w:rFonts w:ascii="Arial" w:hAnsi="Arial" w:cs="Arial"/>
        </w:rPr>
        <w:t xml:space="preserve">de </w:t>
      </w:r>
      <w:r w:rsidRPr="002C761E">
        <w:rPr>
          <w:rFonts w:ascii="Arial" w:hAnsi="Arial" w:cs="Arial"/>
        </w:rPr>
        <w:t>trâmite</w:t>
      </w:r>
      <w:r w:rsidRPr="00ED4D85">
        <w:rPr>
          <w:rFonts w:ascii="Arial" w:hAnsi="Arial" w:cs="Arial"/>
        </w:rPr>
        <w:t xml:space="preserve">, </w:t>
      </w:r>
      <w:r w:rsidR="00ED4D85" w:rsidRPr="00ED4D85">
        <w:rPr>
          <w:rFonts w:ascii="Arial" w:hAnsi="Arial" w:cs="Arial"/>
        </w:rPr>
        <w:t>e disponibilizados no acervo digital para assinatura e composição do processo,</w:t>
      </w:r>
      <w:r w:rsidR="00ED4D85">
        <w:rPr>
          <w:rFonts w:ascii="Arial" w:hAnsi="Arial" w:cs="Arial"/>
        </w:rPr>
        <w:t xml:space="preserve"> </w:t>
      </w:r>
      <w:r w:rsidRPr="002C761E">
        <w:rPr>
          <w:rFonts w:ascii="Arial" w:hAnsi="Arial" w:cs="Arial"/>
        </w:rPr>
        <w:t>conforme disposto no respectivo Manual de Operações.</w:t>
      </w:r>
    </w:p>
    <w:p w:rsidR="00224057" w:rsidRPr="001D5C75" w:rsidRDefault="00224057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433EBC">
        <w:rPr>
          <w:rFonts w:ascii="Arial" w:hAnsi="Arial" w:cs="Arial"/>
        </w:rPr>
        <w:t>0</w:t>
      </w:r>
      <w:r>
        <w:rPr>
          <w:rFonts w:ascii="Arial" w:hAnsi="Arial" w:cs="Arial"/>
        </w:rPr>
        <w:t>. Os comandos processuais at</w:t>
      </w:r>
      <w:r w:rsidR="002020E8">
        <w:rPr>
          <w:rFonts w:ascii="Arial" w:hAnsi="Arial" w:cs="Arial"/>
        </w:rPr>
        <w:t xml:space="preserve">é então utilizados nos autos físicos, </w:t>
      </w:r>
      <w:r>
        <w:rPr>
          <w:rFonts w:ascii="Arial" w:hAnsi="Arial" w:cs="Arial"/>
        </w:rPr>
        <w:t>descritos em carimbos ou etiquetas</w:t>
      </w:r>
      <w:r w:rsidR="002020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</w:t>
      </w:r>
      <w:r w:rsidR="009E06D5">
        <w:rPr>
          <w:rFonts w:ascii="Arial" w:hAnsi="Arial" w:cs="Arial"/>
        </w:rPr>
        <w:t>rão</w:t>
      </w:r>
      <w:r>
        <w:rPr>
          <w:rFonts w:ascii="Arial" w:hAnsi="Arial" w:cs="Arial"/>
        </w:rPr>
        <w:t xml:space="preserve"> ser</w:t>
      </w:r>
      <w:r w:rsidR="009E06D5">
        <w:rPr>
          <w:rFonts w:ascii="Arial" w:hAnsi="Arial" w:cs="Arial"/>
        </w:rPr>
        <w:t xml:space="preserve"> emitidos via sistema TCE Digital</w:t>
      </w:r>
      <w:r w:rsidR="00DA782D">
        <w:rPr>
          <w:rFonts w:ascii="Arial" w:hAnsi="Arial" w:cs="Arial"/>
        </w:rPr>
        <w:t xml:space="preserve">, </w:t>
      </w:r>
      <w:r w:rsidR="005A5D3E" w:rsidRPr="001D5C75">
        <w:rPr>
          <w:rFonts w:ascii="Arial" w:hAnsi="Arial" w:cs="Arial"/>
        </w:rPr>
        <w:t>observada a padronização a que se refere o § 1º, do art. 6º.</w:t>
      </w:r>
    </w:p>
    <w:p w:rsidR="00DA782D" w:rsidRDefault="00DA782D" w:rsidP="00707CC6">
      <w:pPr>
        <w:spacing w:before="120" w:after="120"/>
        <w:ind w:firstLine="851"/>
        <w:jc w:val="both"/>
        <w:rPr>
          <w:rFonts w:ascii="Arial" w:hAnsi="Arial" w:cs="Arial"/>
        </w:rPr>
      </w:pP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</w:p>
    <w:p w:rsidR="00E86A07" w:rsidRPr="00BD5838" w:rsidRDefault="00D869F8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BD5838">
        <w:rPr>
          <w:rFonts w:ascii="Arial" w:hAnsi="Arial" w:cs="Arial"/>
          <w:b/>
        </w:rPr>
        <w:t>Art. 7º</w:t>
      </w:r>
      <w:r w:rsidRPr="00BD5838">
        <w:rPr>
          <w:rFonts w:ascii="Arial" w:hAnsi="Arial" w:cs="Arial"/>
        </w:rPr>
        <w:t xml:space="preserve"> </w:t>
      </w:r>
      <w:r w:rsidR="00E86A07" w:rsidRPr="00BD5838">
        <w:rPr>
          <w:rFonts w:ascii="Arial" w:hAnsi="Arial" w:cs="Arial"/>
        </w:rPr>
        <w:t>Será designada equipe para validar a implantação dos modelos de que trata o § 1º, do art. 6º, sob a responsabilidade da Diretoria Geral, a quem caberá definir e comunicar as unidades administrativas o conjunto de procedimentos, inclusive cronograma, via mensagem eletrônica aos respectivos gestores.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7E4E6B">
        <w:rPr>
          <w:rFonts w:ascii="Arial" w:hAnsi="Arial" w:cs="Arial"/>
          <w:b/>
        </w:rPr>
        <w:t xml:space="preserve">Art. </w:t>
      </w:r>
      <w:r w:rsidR="0084639D">
        <w:rPr>
          <w:rFonts w:ascii="Arial" w:hAnsi="Arial" w:cs="Arial"/>
          <w:b/>
        </w:rPr>
        <w:t>8</w:t>
      </w:r>
      <w:r w:rsidRPr="007E4E6B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EB230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eventual </w:t>
      </w:r>
      <w:r w:rsidRPr="00EB2301">
        <w:rPr>
          <w:rFonts w:ascii="Arial" w:hAnsi="Arial" w:cs="Arial"/>
        </w:rPr>
        <w:t xml:space="preserve">desentranhamento </w:t>
      </w:r>
      <w:r>
        <w:rPr>
          <w:rFonts w:ascii="Arial" w:hAnsi="Arial" w:cs="Arial"/>
        </w:rPr>
        <w:t xml:space="preserve">de peças digitais, quando autorizado pelo Relator, </w:t>
      </w:r>
      <w:r w:rsidRPr="00EB2301">
        <w:rPr>
          <w:rFonts w:ascii="Arial" w:hAnsi="Arial" w:cs="Arial"/>
        </w:rPr>
        <w:t xml:space="preserve">será certificado nos autos pelo Gabinete do Relator, sem alteração da numeração das peças processuais e </w:t>
      </w:r>
      <w:r w:rsidRPr="00EB2301">
        <w:rPr>
          <w:rFonts w:ascii="Arial" w:hAnsi="Arial" w:cs="Arial"/>
          <w:bCs/>
        </w:rPr>
        <w:t>registrado no sistema, mediante o respectivo termo, sem violação à base de dados, tornando indisponíveis para visualização as peças desentranhadas</w:t>
      </w:r>
      <w:r w:rsidRPr="00EB2301">
        <w:rPr>
          <w:rFonts w:ascii="Arial" w:hAnsi="Arial" w:cs="Arial"/>
        </w:rPr>
        <w:t xml:space="preserve">. 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FE4D09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 desentranhamento de documentos nos requerimentos será deferido pelo Presidente ou Corregedor-Geral, conforme a matéria de atribuição.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0B1FC2">
        <w:rPr>
          <w:rFonts w:ascii="Arial" w:hAnsi="Arial" w:cs="Arial"/>
          <w:b/>
        </w:rPr>
        <w:t xml:space="preserve">Art. </w:t>
      </w:r>
      <w:r w:rsidR="0084639D">
        <w:rPr>
          <w:rFonts w:ascii="Arial" w:hAnsi="Arial" w:cs="Arial"/>
          <w:b/>
        </w:rPr>
        <w:t>9</w:t>
      </w:r>
      <w:r w:rsidRPr="000B1FC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Caberá à Diretoria de Protocolo: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>
        <w:rPr>
          <w:rFonts w:ascii="Arial" w:hAnsi="Arial" w:cs="Arial"/>
        </w:rPr>
        <w:t>digitalizar, conferir</w:t>
      </w:r>
      <w:proofErr w:type="gramEnd"/>
      <w:r>
        <w:rPr>
          <w:rFonts w:ascii="Arial" w:hAnsi="Arial" w:cs="Arial"/>
        </w:rPr>
        <w:t xml:space="preserve"> e autenticar peças processuais e documentos, procedendo a autuação ou juntada, quando for o caso, aos respectivos autos eletrônicos;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spellStart"/>
      <w:proofErr w:type="gramStart"/>
      <w:r>
        <w:rPr>
          <w:rFonts w:ascii="Arial" w:hAnsi="Arial" w:cs="Arial"/>
        </w:rPr>
        <w:t>reautuar</w:t>
      </w:r>
      <w:proofErr w:type="spellEnd"/>
      <w:proofErr w:type="gramEnd"/>
      <w:r>
        <w:rPr>
          <w:rFonts w:ascii="Arial" w:hAnsi="Arial" w:cs="Arial"/>
        </w:rPr>
        <w:t xml:space="preserve"> os processos, de acordo com as normas regimentais, registrando nos autos mediante a lavratura de termo;</w:t>
      </w:r>
    </w:p>
    <w:p w:rsidR="00554BFC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proceder a devolução à origem dos autos físicos convertidos em meio eletrônico</w:t>
      </w:r>
      <w:r w:rsidR="00554BFC">
        <w:rPr>
          <w:rFonts w:ascii="Arial" w:hAnsi="Arial" w:cs="Arial"/>
        </w:rPr>
        <w:t>, observado o contido no art. 4º;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4BFC">
        <w:rPr>
          <w:rFonts w:ascii="Arial" w:hAnsi="Arial" w:cs="Arial"/>
        </w:rPr>
        <w:t xml:space="preserve">IV – </w:t>
      </w:r>
      <w:proofErr w:type="gramStart"/>
      <w:r w:rsidR="00554BFC">
        <w:rPr>
          <w:rFonts w:ascii="Arial" w:hAnsi="Arial" w:cs="Arial"/>
        </w:rPr>
        <w:t>proceder</w:t>
      </w:r>
      <w:proofErr w:type="gramEnd"/>
      <w:r w:rsidR="00554BFC">
        <w:rPr>
          <w:rFonts w:ascii="Arial" w:hAnsi="Arial" w:cs="Arial"/>
        </w:rPr>
        <w:t xml:space="preserve"> a entrega </w:t>
      </w:r>
      <w:r>
        <w:rPr>
          <w:rFonts w:ascii="Arial" w:hAnsi="Arial" w:cs="Arial"/>
        </w:rPr>
        <w:t xml:space="preserve">das peças e documentos físicos juntados aos autos eletrônicos, observado o contido no art. </w:t>
      </w:r>
      <w:r w:rsidR="00554BFC">
        <w:rPr>
          <w:rFonts w:ascii="Arial" w:hAnsi="Arial" w:cs="Arial"/>
        </w:rPr>
        <w:t xml:space="preserve">5º, </w:t>
      </w:r>
      <w:r w:rsidR="00FE4D09">
        <w:rPr>
          <w:rFonts w:ascii="Arial" w:hAnsi="Arial" w:cs="Arial"/>
        </w:rPr>
        <w:t>§ 1º</w:t>
      </w:r>
      <w:r>
        <w:rPr>
          <w:rFonts w:ascii="Arial" w:hAnsi="Arial" w:cs="Arial"/>
        </w:rPr>
        <w:t>;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proofErr w:type="gramStart"/>
      <w:r>
        <w:rPr>
          <w:rFonts w:ascii="Arial" w:hAnsi="Arial" w:cs="Arial"/>
        </w:rPr>
        <w:t>imprimir e expedir</w:t>
      </w:r>
      <w:proofErr w:type="gramEnd"/>
      <w:r>
        <w:rPr>
          <w:rFonts w:ascii="Arial" w:hAnsi="Arial" w:cs="Arial"/>
        </w:rPr>
        <w:t xml:space="preserve"> os atos de comunicação emitidos pelas unidades, nos autos eletrônicos, digitalizar, autenticar e juntar o aviso de recebimento dos Correios, quando de seu recebimento, e devolver os autos eletrônicos à unidade.</w:t>
      </w:r>
    </w:p>
    <w:p w:rsidR="001419AD" w:rsidRPr="00CF10EC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0B1FC2">
        <w:rPr>
          <w:rFonts w:ascii="Arial" w:hAnsi="Arial" w:cs="Arial"/>
          <w:b/>
        </w:rPr>
        <w:t xml:space="preserve">Art. </w:t>
      </w:r>
      <w:r w:rsidR="0084639D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Os processos arquivados na Diretoria de Protocolo a serem digitalizados, comporão o acervo digital do Tribunal, e suas peças </w:t>
      </w:r>
      <w:r w:rsidRPr="003F6FA3">
        <w:rPr>
          <w:rFonts w:ascii="Arial" w:hAnsi="Arial" w:cs="Arial"/>
        </w:rPr>
        <w:t xml:space="preserve">serão </w:t>
      </w:r>
      <w:r w:rsidRPr="00614363">
        <w:rPr>
          <w:rFonts w:ascii="Arial" w:hAnsi="Arial" w:cs="Arial"/>
        </w:rPr>
        <w:t xml:space="preserve">identificadas, observado o </w:t>
      </w:r>
      <w:r w:rsidRPr="00CF10EC">
        <w:rPr>
          <w:rFonts w:ascii="Arial" w:hAnsi="Arial" w:cs="Arial"/>
        </w:rPr>
        <w:t xml:space="preserve">contido na </w:t>
      </w:r>
      <w:r w:rsidR="00614363" w:rsidRPr="00CF10EC">
        <w:rPr>
          <w:rFonts w:ascii="Arial" w:hAnsi="Arial" w:cs="Arial"/>
        </w:rPr>
        <w:t xml:space="preserve">Tabela de Nominação de Peças de Processos e Requerimentos Encerrados, </w:t>
      </w:r>
      <w:r w:rsidRPr="00CF10EC">
        <w:rPr>
          <w:rFonts w:ascii="Arial" w:hAnsi="Arial" w:cs="Arial"/>
        </w:rPr>
        <w:t xml:space="preserve">conforme Anexo </w:t>
      </w:r>
      <w:r w:rsidR="00614363" w:rsidRPr="00CF10EC">
        <w:rPr>
          <w:rFonts w:ascii="Arial" w:hAnsi="Arial" w:cs="Arial"/>
        </w:rPr>
        <w:t>II</w:t>
      </w:r>
      <w:r w:rsidRPr="00CF10EC">
        <w:rPr>
          <w:rFonts w:ascii="Arial" w:hAnsi="Arial" w:cs="Arial"/>
        </w:rPr>
        <w:t>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D236FD">
        <w:rPr>
          <w:rFonts w:ascii="Arial" w:hAnsi="Arial" w:cs="Arial"/>
          <w:b/>
        </w:rPr>
        <w:lastRenderedPageBreak/>
        <w:t>Parágrafo único.</w:t>
      </w:r>
      <w:r>
        <w:rPr>
          <w:rFonts w:ascii="Arial" w:hAnsi="Arial" w:cs="Arial"/>
        </w:rPr>
        <w:t xml:space="preserve"> A conferência e autenticação das cópias digitais serão realizadas por servidores designados pela Diretoria Geral</w:t>
      </w:r>
      <w:r w:rsidR="00ED4D85">
        <w:rPr>
          <w:rFonts w:ascii="Arial" w:hAnsi="Arial" w:cs="Arial"/>
        </w:rPr>
        <w:t>, mediante Portaria da Presidência</w:t>
      </w:r>
      <w:r>
        <w:rPr>
          <w:rFonts w:ascii="Arial" w:hAnsi="Arial" w:cs="Arial"/>
        </w:rPr>
        <w:t>.</w:t>
      </w:r>
    </w:p>
    <w:p w:rsidR="008C13C4" w:rsidRDefault="00FC68EA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557C59">
          <w:rPr>
            <w:rFonts w:ascii="Arial" w:hAnsi="Arial" w:cs="Arial"/>
            <w:b/>
          </w:rPr>
          <w:t>1</w:t>
        </w:r>
        <w:r>
          <w:rPr>
            <w:rFonts w:ascii="Arial" w:hAnsi="Arial" w:cs="Arial"/>
            <w:b/>
          </w:rPr>
          <w:t>1</w:t>
        </w:r>
        <w:r w:rsidRPr="00557C59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 xml:space="preserve"> </w:t>
        </w:r>
        <w:r w:rsidR="008C13C4">
          <w:rPr>
            <w:rFonts w:ascii="Arial" w:hAnsi="Arial" w:cs="Arial"/>
          </w:rPr>
          <w:t>A</w:t>
        </w:r>
      </w:smartTag>
      <w:r w:rsidR="008C13C4">
        <w:rPr>
          <w:rFonts w:ascii="Arial" w:hAnsi="Arial" w:cs="Arial"/>
        </w:rPr>
        <w:t xml:space="preserve"> Diretoria Geral disponibilizará na intranet tabelas com o fluxo do </w:t>
      </w:r>
      <w:r>
        <w:rPr>
          <w:rFonts w:ascii="Arial" w:hAnsi="Arial" w:cs="Arial"/>
        </w:rPr>
        <w:t>andamento</w:t>
      </w:r>
      <w:r w:rsidR="008C13C4">
        <w:rPr>
          <w:rFonts w:ascii="Arial" w:hAnsi="Arial" w:cs="Arial"/>
        </w:rPr>
        <w:t xml:space="preserve"> processual dos respectivos assuntos de processos e requerimentos que ficará vigente até a aprovação da revisão do Regimento Interno.</w:t>
      </w:r>
    </w:p>
    <w:p w:rsidR="00432FE9" w:rsidRDefault="00432FE9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>Art. 1</w:t>
      </w:r>
      <w:r w:rsidR="00FC68EA">
        <w:rPr>
          <w:rFonts w:ascii="Arial" w:hAnsi="Arial" w:cs="Arial"/>
          <w:b/>
        </w:rPr>
        <w:t>2</w:t>
      </w:r>
      <w:r w:rsidRPr="00557C5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O Tribunal divulgará aos jurisdicionados o teor desta Instrução de Serviço, cabendo a Diretoria de Protocolo dar ciência do contido </w:t>
      </w:r>
      <w:r w:rsidR="008D5307">
        <w:rPr>
          <w:rFonts w:ascii="Arial" w:hAnsi="Arial" w:cs="Arial"/>
        </w:rPr>
        <w:t xml:space="preserve">no </w:t>
      </w:r>
      <w:r w:rsidR="003925D6">
        <w:rPr>
          <w:rFonts w:ascii="Arial" w:hAnsi="Arial" w:cs="Arial"/>
        </w:rPr>
        <w:t>parágrafo único</w:t>
      </w:r>
      <w:r>
        <w:rPr>
          <w:rFonts w:ascii="Arial" w:hAnsi="Arial" w:cs="Arial"/>
        </w:rPr>
        <w:t xml:space="preserve">, do art. 5º, aos interessados que se dirigirem diretamente </w:t>
      </w:r>
      <w:r w:rsidR="003925D6">
        <w:rPr>
          <w:rFonts w:ascii="Arial" w:hAnsi="Arial" w:cs="Arial"/>
        </w:rPr>
        <w:t>a</w:t>
      </w:r>
      <w:r>
        <w:rPr>
          <w:rFonts w:ascii="Arial" w:hAnsi="Arial" w:cs="Arial"/>
        </w:rPr>
        <w:t>o Tribunal.</w:t>
      </w:r>
    </w:p>
    <w:p w:rsidR="00845B62" w:rsidRPr="00653D94" w:rsidRDefault="00845B62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653D94">
        <w:rPr>
          <w:rFonts w:ascii="Arial" w:hAnsi="Arial" w:cs="Arial"/>
          <w:b/>
        </w:rPr>
        <w:t xml:space="preserve">Art. 13. </w:t>
      </w:r>
      <w:r w:rsidRPr="00653D94">
        <w:rPr>
          <w:rFonts w:ascii="Arial" w:hAnsi="Arial" w:cs="Arial"/>
        </w:rPr>
        <w:t>O Caderno e o Manual de que trata</w:t>
      </w:r>
      <w:r w:rsidR="005A3835" w:rsidRPr="00653D94">
        <w:rPr>
          <w:rFonts w:ascii="Arial" w:hAnsi="Arial" w:cs="Arial"/>
        </w:rPr>
        <w:t>m</w:t>
      </w:r>
      <w:r w:rsidRPr="00653D94">
        <w:rPr>
          <w:rFonts w:ascii="Arial" w:hAnsi="Arial" w:cs="Arial"/>
        </w:rPr>
        <w:t xml:space="preserve"> o</w:t>
      </w:r>
      <w:r w:rsidR="005A3835" w:rsidRPr="00653D94">
        <w:rPr>
          <w:rFonts w:ascii="Arial" w:hAnsi="Arial" w:cs="Arial"/>
        </w:rPr>
        <w:t>s</w:t>
      </w:r>
      <w:r w:rsidRPr="00653D94">
        <w:rPr>
          <w:rFonts w:ascii="Arial" w:hAnsi="Arial" w:cs="Arial"/>
        </w:rPr>
        <w:t xml:space="preserve"> </w:t>
      </w:r>
      <w:r w:rsidR="005A3835" w:rsidRPr="00653D94">
        <w:rPr>
          <w:rFonts w:ascii="Arial" w:hAnsi="Arial" w:cs="Arial"/>
        </w:rPr>
        <w:t>§</w:t>
      </w:r>
      <w:r w:rsidRPr="00653D94">
        <w:rPr>
          <w:rFonts w:ascii="Arial" w:hAnsi="Arial" w:cs="Arial"/>
        </w:rPr>
        <w:t>§ 1º e 10, do art. 6º, serão atualizados pela Diretoria Geral, sempre que necessário, e disponibilizados na intranet, com a devida identificação da sua versão.</w:t>
      </w:r>
    </w:p>
    <w:p w:rsidR="001419AD" w:rsidRDefault="001419AD" w:rsidP="00707CC6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>Art. 1</w:t>
      </w:r>
      <w:r w:rsidR="00845B62">
        <w:rPr>
          <w:rFonts w:ascii="Arial" w:hAnsi="Arial" w:cs="Arial"/>
          <w:b/>
        </w:rPr>
        <w:t>4</w:t>
      </w:r>
      <w:r w:rsidRPr="00557C59">
        <w:rPr>
          <w:rFonts w:ascii="Arial" w:hAnsi="Arial" w:cs="Arial"/>
          <w:b/>
        </w:rPr>
        <w:t>.</w:t>
      </w:r>
      <w:r w:rsidRPr="00557C59">
        <w:rPr>
          <w:rFonts w:ascii="Arial" w:hAnsi="Arial" w:cs="Arial"/>
        </w:rPr>
        <w:t xml:space="preserve"> 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Esta </w:t>
      </w:r>
      <w:r>
        <w:rPr>
          <w:rFonts w:ascii="Arial" w:hAnsi="Arial" w:cs="Arial"/>
          <w:color w:val="000000"/>
          <w:sz w:val="23"/>
          <w:szCs w:val="23"/>
        </w:rPr>
        <w:t xml:space="preserve">Instrução de Serviço </w:t>
      </w:r>
      <w:r w:rsidRPr="00A01E36">
        <w:rPr>
          <w:rFonts w:ascii="Arial" w:hAnsi="Arial" w:cs="Arial"/>
          <w:color w:val="000000"/>
          <w:sz w:val="23"/>
          <w:szCs w:val="23"/>
        </w:rPr>
        <w:t>entra</w:t>
      </w:r>
      <w:r>
        <w:rPr>
          <w:rFonts w:ascii="Arial" w:hAnsi="Arial" w:cs="Arial"/>
          <w:color w:val="000000"/>
          <w:sz w:val="23"/>
          <w:szCs w:val="23"/>
        </w:rPr>
        <w:t>rá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 em vigor n</w:t>
      </w:r>
      <w:r>
        <w:rPr>
          <w:rFonts w:ascii="Arial" w:hAnsi="Arial" w:cs="Arial"/>
          <w:color w:val="000000"/>
          <w:sz w:val="23"/>
          <w:szCs w:val="23"/>
        </w:rPr>
        <w:t>o dia 5 de julho de 2010</w:t>
      </w:r>
      <w:r w:rsidR="002A6CC9">
        <w:rPr>
          <w:rFonts w:ascii="Arial" w:hAnsi="Arial" w:cs="Arial"/>
        </w:rPr>
        <w:t>.</w:t>
      </w:r>
    </w:p>
    <w:p w:rsidR="00034D66" w:rsidRPr="00557C59" w:rsidRDefault="00034D66" w:rsidP="001419AD">
      <w:pPr>
        <w:jc w:val="both"/>
        <w:rPr>
          <w:rFonts w:ascii="Arial" w:hAnsi="Arial" w:cs="Arial"/>
        </w:rPr>
      </w:pPr>
    </w:p>
    <w:p w:rsidR="001419AD" w:rsidRPr="00557C59" w:rsidRDefault="001419AD" w:rsidP="001419AD">
      <w:pPr>
        <w:jc w:val="both"/>
        <w:rPr>
          <w:rFonts w:ascii="Arial" w:hAnsi="Arial" w:cs="Arial"/>
        </w:rPr>
      </w:pPr>
    </w:p>
    <w:p w:rsidR="001419AD" w:rsidRPr="001412D7" w:rsidRDefault="001419AD" w:rsidP="007627BA">
      <w:pPr>
        <w:pStyle w:val="Corpodetexto"/>
        <w:jc w:val="center"/>
        <w:rPr>
          <w:rFonts w:ascii="Arial" w:hAnsi="Arial" w:cs="Arial"/>
        </w:rPr>
      </w:pPr>
      <w:r w:rsidRPr="001412D7">
        <w:rPr>
          <w:rFonts w:ascii="Arial" w:hAnsi="Arial" w:cs="Arial"/>
        </w:rPr>
        <w:t xml:space="preserve">Curitiba, </w:t>
      </w:r>
      <w:r w:rsidR="00034D66" w:rsidRPr="001412D7">
        <w:rPr>
          <w:rFonts w:ascii="Arial" w:hAnsi="Arial" w:cs="Arial"/>
        </w:rPr>
        <w:t>17</w:t>
      </w:r>
      <w:r w:rsidRPr="001412D7">
        <w:rPr>
          <w:rFonts w:ascii="Arial" w:hAnsi="Arial" w:cs="Arial"/>
        </w:rPr>
        <w:t xml:space="preserve"> de </w:t>
      </w:r>
      <w:r w:rsidR="00034D66" w:rsidRPr="001412D7">
        <w:rPr>
          <w:rFonts w:ascii="Arial" w:hAnsi="Arial" w:cs="Arial"/>
        </w:rPr>
        <w:t>junho</w:t>
      </w:r>
      <w:r w:rsidRPr="001412D7">
        <w:rPr>
          <w:rFonts w:ascii="Arial" w:hAnsi="Arial" w:cs="Arial"/>
        </w:rPr>
        <w:t xml:space="preserve"> de 2010.</w:t>
      </w:r>
    </w:p>
    <w:p w:rsidR="001419AD" w:rsidRDefault="001419AD" w:rsidP="007627BA">
      <w:pPr>
        <w:jc w:val="center"/>
        <w:rPr>
          <w:rFonts w:ascii="Arial" w:hAnsi="Arial" w:cs="Arial"/>
        </w:rPr>
      </w:pPr>
    </w:p>
    <w:p w:rsidR="001412D7" w:rsidRPr="00557C59" w:rsidRDefault="001412D7" w:rsidP="007627BA">
      <w:pPr>
        <w:jc w:val="center"/>
        <w:rPr>
          <w:rFonts w:ascii="Arial" w:hAnsi="Arial" w:cs="Arial"/>
        </w:rPr>
      </w:pPr>
    </w:p>
    <w:p w:rsidR="001419AD" w:rsidRPr="00557C59" w:rsidRDefault="001419AD" w:rsidP="007627BA">
      <w:pPr>
        <w:pStyle w:val="Ttulo1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HERMAS EURIDES BRANDÃO</w:t>
      </w:r>
    </w:p>
    <w:p w:rsidR="00034D66" w:rsidRDefault="001419AD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57C59">
        <w:rPr>
          <w:rFonts w:ascii="Arial" w:hAnsi="Arial" w:cs="Arial"/>
          <w:bCs/>
          <w:i/>
        </w:rPr>
        <w:t>Preside</w:t>
      </w:r>
      <w:r w:rsidR="00034D66" w:rsidRPr="00557C59">
        <w:rPr>
          <w:rFonts w:ascii="Arial" w:hAnsi="Arial" w:cs="Arial"/>
          <w:bCs/>
          <w:i/>
        </w:rPr>
        <w:t>nte</w:t>
      </w:r>
    </w:p>
    <w:p w:rsidR="001419AD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92"/>
      </w:tblGrid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769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 xml:space="preserve">TABELA DE NOMINAÇÃO DE ATOS E PEÇAS DE PROCESSOS E REQUERIMENTOS </w:t>
            </w:r>
            <w:r>
              <w:rPr>
                <w:rFonts w:ascii="Arial" w:hAnsi="Arial" w:cs="Arial"/>
                <w:sz w:val="20"/>
                <w:szCs w:val="20"/>
              </w:rPr>
              <w:t>EM ANDAMENTO</w:t>
            </w:r>
          </w:p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TABELA DE NOMINAÇÃO DE PEÇAS DE PROCESSOS E REQUERIMENTOS ENCERRADOS</w:t>
            </w:r>
          </w:p>
        </w:tc>
      </w:tr>
    </w:tbl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034D66" w:rsidRDefault="00034D66" w:rsidP="00034D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</w:rPr>
        <w:br w:type="page"/>
      </w:r>
      <w:r>
        <w:rPr>
          <w:rFonts w:ascii="Arial" w:hAnsi="Arial" w:cs="Arial"/>
          <w:b/>
        </w:rPr>
        <w:lastRenderedPageBreak/>
        <w:t>ANEXO I</w:t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</w:p>
    <w:p w:rsidR="00034D66" w:rsidRPr="00C6203B" w:rsidRDefault="00034D66" w:rsidP="00034D66">
      <w:pPr>
        <w:jc w:val="center"/>
        <w:rPr>
          <w:rFonts w:ascii="Arial" w:hAnsi="Arial" w:cs="Arial"/>
          <w:b/>
        </w:rPr>
      </w:pPr>
      <w:r w:rsidRPr="00C6203B">
        <w:rPr>
          <w:rFonts w:ascii="Arial" w:hAnsi="Arial" w:cs="Arial"/>
        </w:rPr>
        <w:t>TABELA DE NOMINAÇÃO DE ATOS E PEÇAS DE PROCESSOS E REQUERIMENTOS EM ANDAMENTO</w:t>
      </w:r>
    </w:p>
    <w:p w:rsidR="00034D66" w:rsidRDefault="00034D66" w:rsidP="00034D6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144"/>
      </w:tblGrid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Capa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inicial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 de distribuição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do relator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da unidade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Termos processuais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Informação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Instrução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Parecer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de diligência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Juntada de aviso de recebimento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Justificativa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de contraditório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Defesa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ministerial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Parecer ministerial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Proposta de voto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Acórdão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Decisão definitiva monocrática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Resolução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publicação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trânsito em julgado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Petição recursal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de recebimento de recurso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 de distribuição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Proposta de voto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Acórdão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Certidão de publicação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débito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 quitação de débito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Ofício de comunicação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Documentos juntados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Petições</w:t>
            </w:r>
          </w:p>
        </w:tc>
      </w:tr>
    </w:tbl>
    <w:p w:rsidR="00034D66" w:rsidRPr="00836BA7" w:rsidRDefault="00034D66" w:rsidP="00034D66">
      <w:pPr>
        <w:ind w:left="360"/>
      </w:pP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</w:p>
    <w:p w:rsidR="00034D66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6203B">
        <w:rPr>
          <w:rFonts w:ascii="Arial" w:hAnsi="Arial" w:cs="Arial"/>
        </w:rPr>
        <w:t>TABELA DE NOMINAÇÃO DE ATOS E PEÇAS DE PROCESSOS E REQUERIMENTOS</w:t>
      </w:r>
      <w:r>
        <w:rPr>
          <w:rFonts w:ascii="Arial" w:hAnsi="Arial" w:cs="Arial"/>
        </w:rPr>
        <w:t xml:space="preserve"> ENCERRADOS</w:t>
      </w:r>
    </w:p>
    <w:p w:rsidR="00034D66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144"/>
      </w:tblGrid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1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Capa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2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 xml:space="preserve">Lotes Documentais </w:t>
            </w:r>
          </w:p>
          <w:p w:rsidR="00034D66" w:rsidRPr="00565DA6" w:rsidRDefault="00034D66" w:rsidP="007651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5DA6">
              <w:rPr>
                <w:rFonts w:ascii="Arial" w:hAnsi="Arial" w:cs="Arial"/>
                <w:i/>
                <w:sz w:val="20"/>
                <w:szCs w:val="20"/>
              </w:rPr>
              <w:t>(onde estão incluídos documentos que instruem o processo excluindo-se os atos instrutivos e decisórios que estão indicados por peça)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3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Informação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4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Instrução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5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Parecer</w:t>
            </w:r>
          </w:p>
        </w:tc>
      </w:tr>
      <w:tr w:rsidR="00A60228" w:rsidRPr="00565DA6" w:rsidTr="0076514F">
        <w:trPr>
          <w:jc w:val="center"/>
        </w:trPr>
        <w:tc>
          <w:tcPr>
            <w:tcW w:w="725" w:type="dxa"/>
          </w:tcPr>
          <w:p w:rsidR="00A60228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144" w:type="dxa"/>
          </w:tcPr>
          <w:p w:rsidR="00A60228" w:rsidRPr="00565DA6" w:rsidRDefault="00A60228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Parecer</w:t>
            </w:r>
            <w:r>
              <w:rPr>
                <w:rFonts w:ascii="Arial" w:hAnsi="Arial" w:cs="Arial"/>
              </w:rPr>
              <w:t xml:space="preserve"> Ministerial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Resolução /Acórdão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144" w:type="dxa"/>
          </w:tcPr>
          <w:p w:rsidR="00034D66" w:rsidRPr="00565DA6" w:rsidRDefault="00034D66" w:rsidP="00565DA6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 xml:space="preserve">Decisão </w:t>
            </w:r>
            <w:r w:rsidR="00565DA6">
              <w:rPr>
                <w:rFonts w:ascii="Arial" w:hAnsi="Arial" w:cs="Arial"/>
              </w:rPr>
              <w:t>D</w:t>
            </w:r>
            <w:r w:rsidRPr="00565DA6">
              <w:rPr>
                <w:rFonts w:ascii="Arial" w:hAnsi="Arial" w:cs="Arial"/>
              </w:rPr>
              <w:t xml:space="preserve">efinitiva </w:t>
            </w:r>
            <w:r w:rsidR="00565DA6">
              <w:rPr>
                <w:rFonts w:ascii="Arial" w:hAnsi="Arial" w:cs="Arial"/>
              </w:rPr>
              <w:t>M</w:t>
            </w:r>
            <w:r w:rsidRPr="00565DA6">
              <w:rPr>
                <w:rFonts w:ascii="Arial" w:hAnsi="Arial" w:cs="Arial"/>
              </w:rPr>
              <w:t>o</w:t>
            </w:r>
            <w:r w:rsidR="00565DA6">
              <w:rPr>
                <w:rFonts w:ascii="Arial" w:hAnsi="Arial" w:cs="Arial"/>
              </w:rPr>
              <w:t>no</w:t>
            </w:r>
            <w:r w:rsidRPr="00565DA6">
              <w:rPr>
                <w:rFonts w:ascii="Arial" w:hAnsi="Arial" w:cs="Arial"/>
              </w:rPr>
              <w:t>crática</w:t>
            </w:r>
          </w:p>
        </w:tc>
      </w:tr>
    </w:tbl>
    <w:p w:rsidR="00034D66" w:rsidRPr="00557C59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sectPr w:rsidR="00034D66" w:rsidRPr="00557C59" w:rsidSect="00C67E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D3" w:rsidRDefault="000153D3" w:rsidP="004C1579">
      <w:r>
        <w:separator/>
      </w:r>
    </w:p>
  </w:endnote>
  <w:endnote w:type="continuationSeparator" w:id="0">
    <w:p w:rsidR="000153D3" w:rsidRDefault="000153D3" w:rsidP="004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E0E" w:rsidRDefault="00E46E0E">
    <w:pPr>
      <w:pStyle w:val="Rodap"/>
    </w:pPr>
  </w:p>
  <w:p w:rsidR="00E46E0E" w:rsidRDefault="00E46E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D3" w:rsidRDefault="000153D3" w:rsidP="004C1579">
      <w:r>
        <w:separator/>
      </w:r>
    </w:p>
  </w:footnote>
  <w:footnote w:type="continuationSeparator" w:id="0">
    <w:p w:rsidR="000153D3" w:rsidRDefault="000153D3" w:rsidP="004C1579">
      <w:r>
        <w:continuationSeparator/>
      </w:r>
    </w:p>
  </w:footnote>
  <w:footnote w:id="1">
    <w:p w:rsidR="00CA3A21" w:rsidRPr="00A22833" w:rsidRDefault="00CA3A21" w:rsidP="00CA3A21">
      <w:pPr>
        <w:pStyle w:val="Textodenotaderodap"/>
        <w:rPr>
          <w:rFonts w:ascii="Arial" w:hAnsi="Arial" w:cs="Arial"/>
        </w:rPr>
      </w:pPr>
      <w:r w:rsidRPr="00CA3A21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CA3A21" w:rsidRPr="00811C63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CA3A21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Atos Oficiais do Tribunal de Contas do </w:t>
        </w:r>
        <w:bookmarkStart w:id="0" w:name="_GoBack"/>
        <w:bookmarkEnd w:id="0"/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Estado do Paraná, </w:t>
        </w:r>
        <w:r w:rsidRPr="00CA3A21">
          <w:rPr>
            <w:rFonts w:ascii="Arial" w:hAnsi="Arial" w:cs="Arial"/>
            <w:color w:val="0000FF"/>
            <w:sz w:val="20"/>
            <w:szCs w:val="20"/>
            <w:u w:val="single"/>
          </w:rPr>
          <w:t>Curitiba</w:t>
        </w:r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, PR, n. 273, 29 out. 2010, p. 74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CA3A21" w:rsidRPr="00CA3A21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CA3A21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CA3A21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</w:t>
      </w:r>
      <w:r w:rsidRPr="00CA3A21">
        <w:rPr>
          <w:rFonts w:ascii="Arial" w:hAnsi="Arial" w:cs="Arial"/>
          <w:b/>
          <w:bCs/>
          <w:sz w:val="20"/>
          <w:szCs w:val="20"/>
        </w:rPr>
        <w:t>por:</w:t>
      </w:r>
    </w:p>
    <w:p w:rsidR="00CA3A21" w:rsidRPr="00CA3A21" w:rsidRDefault="00707CC6" w:rsidP="00CA3A21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="00CA3A21" w:rsidRPr="00CA3A21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14, de 26 de outubro de 2010</w:t>
        </w:r>
      </w:hyperlink>
      <w:r w:rsidR="00CA3A21" w:rsidRPr="00CA3A21">
        <w:rPr>
          <w:rFonts w:ascii="Arial" w:hAnsi="Arial" w:cs="Arial"/>
          <w:color w:val="0000FF"/>
          <w:sz w:val="20"/>
          <w:szCs w:val="20"/>
        </w:rPr>
        <w:t xml:space="preserve"> </w:t>
      </w:r>
      <w:r w:rsidR="00CA3A21" w:rsidRPr="00CA3A21">
        <w:rPr>
          <w:rFonts w:ascii="Arial" w:hAnsi="Arial" w:cs="Arial"/>
          <w:sz w:val="20"/>
          <w:szCs w:val="20"/>
        </w:rPr>
        <w:t>(antiga Instrução de Serviço n.</w:t>
      </w:r>
      <w:r w:rsidR="00CA3A21" w:rsidRPr="00CA3A21">
        <w:rPr>
          <w:rStyle w:val="Forte"/>
          <w:rFonts w:ascii="Arial" w:hAnsi="Arial" w:cs="Arial"/>
          <w:sz w:val="20"/>
          <w:szCs w:val="20"/>
        </w:rPr>
        <w:t xml:space="preserve"> </w:t>
      </w:r>
      <w:r w:rsidR="00CA3A21" w:rsidRPr="00CA3A21">
        <w:rPr>
          <w:rFonts w:ascii="Arial" w:hAnsi="Arial" w:cs="Arial"/>
          <w:sz w:val="20"/>
          <w:szCs w:val="20"/>
        </w:rPr>
        <w:t>15/2010).</w:t>
      </w:r>
    </w:p>
    <w:p w:rsidR="002C4520" w:rsidRDefault="002C4520" w:rsidP="002C4520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sz w:val="20"/>
          <w:szCs w:val="20"/>
        </w:rPr>
      </w:pPr>
      <w:hyperlink r:id="rId4" w:history="1">
        <w:r w:rsidRPr="00CA3A21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27, de 3 de outubro de 2011</w:t>
        </w:r>
        <w:r>
          <w:rPr>
            <w:rStyle w:val="Hyperlink"/>
            <w:rFonts w:ascii="Arial" w:hAnsi="Arial" w:cs="Arial"/>
            <w:color w:val="0000FF"/>
            <w:sz w:val="20"/>
            <w:szCs w:val="20"/>
          </w:rPr>
          <w:t>.</w:t>
        </w:r>
        <w:r w:rsidRPr="00CA3A21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</w:hyperlink>
    </w:p>
    <w:p w:rsidR="00CA3A21" w:rsidRPr="002C4520" w:rsidRDefault="002C4520" w:rsidP="002C4520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color w:val="0000FF"/>
          <w:sz w:val="20"/>
          <w:szCs w:val="20"/>
        </w:rPr>
      </w:pPr>
      <w:hyperlink r:id="rId5" w:history="1">
        <w:r w:rsidRPr="003F340C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39, de 26 de outubro de 2012</w:t>
        </w:r>
      </w:hyperlink>
      <w:r w:rsidRPr="003F340C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ABD" w:rsidRDefault="00155ABD" w:rsidP="00155ABD">
    <w:pPr>
      <w:pStyle w:val="Cabealho"/>
      <w:spacing w:before="240"/>
      <w:jc w:val="right"/>
      <w:rPr>
        <w:rFonts w:ascii="Arial" w:hAnsi="Arial" w:cs="Arial"/>
        <w:b/>
        <w:sz w:val="30"/>
        <w:szCs w:val="30"/>
      </w:rPr>
    </w:pPr>
    <w:r>
      <w:rPr>
        <w:noProof/>
        <w:lang w:val="x-none"/>
      </w:rPr>
      <w:drawing>
        <wp:anchor distT="0" distB="0" distL="114300" distR="114300" simplePos="0" relativeHeight="251659264" behindDoc="0" locked="0" layoutInCell="1" allowOverlap="1" wp14:anchorId="02C6B27B" wp14:editId="1BB9C844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2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155ABD" w:rsidRDefault="00155ABD" w:rsidP="00155ABD">
    <w:pPr>
      <w:pStyle w:val="Cabealho"/>
      <w:spacing w:before="240"/>
      <w:jc w:val="right"/>
      <w:rPr>
        <w:rFonts w:ascii="Arial" w:hAnsi="Arial" w:cs="Arial"/>
        <w:b/>
        <w:sz w:val="30"/>
        <w:szCs w:val="30"/>
      </w:rPr>
    </w:pPr>
  </w:p>
  <w:p w:rsidR="00433EBC" w:rsidRDefault="00433EBC" w:rsidP="004C1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9AD"/>
    <w:rsid w:val="000118E6"/>
    <w:rsid w:val="000153D3"/>
    <w:rsid w:val="00034D66"/>
    <w:rsid w:val="0005166B"/>
    <w:rsid w:val="00066E32"/>
    <w:rsid w:val="000B5091"/>
    <w:rsid w:val="000C0771"/>
    <w:rsid w:val="000D264E"/>
    <w:rsid w:val="000E2108"/>
    <w:rsid w:val="000E43B2"/>
    <w:rsid w:val="00131B40"/>
    <w:rsid w:val="001412D7"/>
    <w:rsid w:val="001419AD"/>
    <w:rsid w:val="00143B7A"/>
    <w:rsid w:val="0015466A"/>
    <w:rsid w:val="00155ABD"/>
    <w:rsid w:val="00157CF3"/>
    <w:rsid w:val="00167937"/>
    <w:rsid w:val="001D5C75"/>
    <w:rsid w:val="002020E8"/>
    <w:rsid w:val="00210E27"/>
    <w:rsid w:val="00224057"/>
    <w:rsid w:val="0024448B"/>
    <w:rsid w:val="0025120D"/>
    <w:rsid w:val="002A6CC9"/>
    <w:rsid w:val="002C4520"/>
    <w:rsid w:val="002F1A42"/>
    <w:rsid w:val="00315E0E"/>
    <w:rsid w:val="00342048"/>
    <w:rsid w:val="00376358"/>
    <w:rsid w:val="003925D6"/>
    <w:rsid w:val="00392E88"/>
    <w:rsid w:val="00393AF3"/>
    <w:rsid w:val="003A6B9A"/>
    <w:rsid w:val="00425E9B"/>
    <w:rsid w:val="004266D5"/>
    <w:rsid w:val="00432FE9"/>
    <w:rsid w:val="00433EBC"/>
    <w:rsid w:val="004920D5"/>
    <w:rsid w:val="004C1579"/>
    <w:rsid w:val="004C3E79"/>
    <w:rsid w:val="004E3D1E"/>
    <w:rsid w:val="004E725B"/>
    <w:rsid w:val="004F0726"/>
    <w:rsid w:val="004F150D"/>
    <w:rsid w:val="00514CE2"/>
    <w:rsid w:val="00531FF8"/>
    <w:rsid w:val="00554BFC"/>
    <w:rsid w:val="00561E82"/>
    <w:rsid w:val="00565DA6"/>
    <w:rsid w:val="005A3835"/>
    <w:rsid w:val="005A5D3E"/>
    <w:rsid w:val="006119DB"/>
    <w:rsid w:val="00614363"/>
    <w:rsid w:val="00635FA3"/>
    <w:rsid w:val="00653D94"/>
    <w:rsid w:val="006607D4"/>
    <w:rsid w:val="00673F84"/>
    <w:rsid w:val="006C4D29"/>
    <w:rsid w:val="00707CC6"/>
    <w:rsid w:val="00711AB8"/>
    <w:rsid w:val="00737000"/>
    <w:rsid w:val="007627BA"/>
    <w:rsid w:val="0076514F"/>
    <w:rsid w:val="0079206A"/>
    <w:rsid w:val="007B589A"/>
    <w:rsid w:val="007C2E47"/>
    <w:rsid w:val="00830873"/>
    <w:rsid w:val="00845B62"/>
    <w:rsid w:val="0084639D"/>
    <w:rsid w:val="00863B30"/>
    <w:rsid w:val="00883C52"/>
    <w:rsid w:val="008C13C4"/>
    <w:rsid w:val="008D5307"/>
    <w:rsid w:val="00932A2F"/>
    <w:rsid w:val="00946CB6"/>
    <w:rsid w:val="00956230"/>
    <w:rsid w:val="009A3143"/>
    <w:rsid w:val="009B2F68"/>
    <w:rsid w:val="009C7A84"/>
    <w:rsid w:val="009D12C3"/>
    <w:rsid w:val="009D60C8"/>
    <w:rsid w:val="009D65B2"/>
    <w:rsid w:val="009E06D5"/>
    <w:rsid w:val="00A60228"/>
    <w:rsid w:val="00B17391"/>
    <w:rsid w:val="00B66B1D"/>
    <w:rsid w:val="00B71358"/>
    <w:rsid w:val="00B83B19"/>
    <w:rsid w:val="00B87E9B"/>
    <w:rsid w:val="00B94247"/>
    <w:rsid w:val="00B970CB"/>
    <w:rsid w:val="00BA2FFE"/>
    <w:rsid w:val="00BD1286"/>
    <w:rsid w:val="00BD5838"/>
    <w:rsid w:val="00BE18F3"/>
    <w:rsid w:val="00C514CE"/>
    <w:rsid w:val="00C6307D"/>
    <w:rsid w:val="00C6331C"/>
    <w:rsid w:val="00C67E51"/>
    <w:rsid w:val="00C75726"/>
    <w:rsid w:val="00C80351"/>
    <w:rsid w:val="00C822FF"/>
    <w:rsid w:val="00CA2A31"/>
    <w:rsid w:val="00CA3A21"/>
    <w:rsid w:val="00CD36B2"/>
    <w:rsid w:val="00CE1BDF"/>
    <w:rsid w:val="00CE510E"/>
    <w:rsid w:val="00CF10EC"/>
    <w:rsid w:val="00D0510A"/>
    <w:rsid w:val="00D147CA"/>
    <w:rsid w:val="00D2159B"/>
    <w:rsid w:val="00D236FD"/>
    <w:rsid w:val="00D4167F"/>
    <w:rsid w:val="00D5074D"/>
    <w:rsid w:val="00D739FA"/>
    <w:rsid w:val="00D869F8"/>
    <w:rsid w:val="00DA782D"/>
    <w:rsid w:val="00DB5A2D"/>
    <w:rsid w:val="00DD6C34"/>
    <w:rsid w:val="00DF08A3"/>
    <w:rsid w:val="00DF39FB"/>
    <w:rsid w:val="00E267A3"/>
    <w:rsid w:val="00E46E0E"/>
    <w:rsid w:val="00E86A07"/>
    <w:rsid w:val="00EB2447"/>
    <w:rsid w:val="00EC01D8"/>
    <w:rsid w:val="00EC5C2B"/>
    <w:rsid w:val="00ED4D85"/>
    <w:rsid w:val="00EE4931"/>
    <w:rsid w:val="00EE6A3F"/>
    <w:rsid w:val="00F11CE0"/>
    <w:rsid w:val="00F322E0"/>
    <w:rsid w:val="00F8546E"/>
    <w:rsid w:val="00F91F22"/>
    <w:rsid w:val="00FC37E2"/>
    <w:rsid w:val="00FC68EA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107582"/>
  <w15:docId w15:val="{7E469C43-DAC3-4F18-9B04-BB8EAE0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419AD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9A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419A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41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57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034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CA3A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A3A2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CA3A2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CA3A21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CA3A21"/>
    <w:rPr>
      <w:b/>
      <w:bCs/>
    </w:rPr>
  </w:style>
  <w:style w:type="paragraph" w:styleId="NormalWeb">
    <w:name w:val="Normal (Web)"/>
    <w:basedOn w:val="Normal"/>
    <w:uiPriority w:val="99"/>
    <w:unhideWhenUsed/>
    <w:rsid w:val="00CA3A21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8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4-de-26-de-outubro-de-2010-ant-is-15-2010/1304/area/249" TargetMode="External"/><Relationship Id="rId2" Type="http://schemas.openxmlformats.org/officeDocument/2006/relationships/hyperlink" Target="http://www1.tce.pr.gov.br/multimidia/2010/10/pdf/00000333.pdf" TargetMode="External"/><Relationship Id="rId1" Type="http://schemas.openxmlformats.org/officeDocument/2006/relationships/hyperlink" Target="http://www1.tce.pr.gov.br/conteudo/instrucao-de-servico-n-16-de-8-de-abril-de-2011/1302/area/249" TargetMode="External"/><Relationship Id="rId5" Type="http://schemas.openxmlformats.org/officeDocument/2006/relationships/hyperlink" Target="http://www1.tce.pr.gov.br/conteudo/instrucao-de-servico-n-39-de-26-de-outubro-de-2012/237450/area/249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13/2010</vt:lpstr>
    </vt:vector>
  </TitlesOfParts>
  <Company>TCEPR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13/2010</dc:title>
  <dc:subject/>
  <dc:creator>tc506117</dc:creator>
  <cp:keywords/>
  <dc:description/>
  <cp:lastModifiedBy>Yarusya Rohrich da Fonseca</cp:lastModifiedBy>
  <cp:revision>5</cp:revision>
  <cp:lastPrinted>2010-06-09T17:53:00Z</cp:lastPrinted>
  <dcterms:created xsi:type="dcterms:W3CDTF">2019-06-18T16:33:00Z</dcterms:created>
  <dcterms:modified xsi:type="dcterms:W3CDTF">2019-06-19T14:37:00Z</dcterms:modified>
</cp:coreProperties>
</file>