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684" w:rsidRPr="006A4ED3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6A4ED3">
        <w:rPr>
          <w:rFonts w:cs="Arial"/>
          <w:b/>
          <w:bCs/>
          <w:sz w:val="28"/>
          <w:szCs w:val="28"/>
        </w:rPr>
        <w:t>INSTRUÇÃO DE SERVIÇO</w:t>
      </w:r>
      <w:r w:rsidR="000A1B86">
        <w:rPr>
          <w:rFonts w:cs="Arial"/>
          <w:b/>
          <w:bCs/>
          <w:sz w:val="28"/>
          <w:szCs w:val="28"/>
        </w:rPr>
        <w:t xml:space="preserve"> Nº </w:t>
      </w:r>
      <w:r w:rsidR="00504A91">
        <w:rPr>
          <w:rFonts w:cs="Arial"/>
          <w:b/>
          <w:color w:val="000000"/>
          <w:sz w:val="28"/>
          <w:szCs w:val="28"/>
        </w:rPr>
        <w:t>99</w:t>
      </w:r>
      <w:r w:rsidR="000A1B86" w:rsidRPr="000A1B86">
        <w:rPr>
          <w:rFonts w:cs="Arial"/>
          <w:b/>
          <w:sz w:val="28"/>
          <w:szCs w:val="28"/>
        </w:rPr>
        <w:t>/</w:t>
      </w:r>
      <w:r w:rsidR="00184B03">
        <w:rPr>
          <w:rFonts w:cs="Arial"/>
          <w:b/>
          <w:sz w:val="28"/>
          <w:szCs w:val="28"/>
        </w:rPr>
        <w:t>20</w:t>
      </w:r>
      <w:r>
        <w:rPr>
          <w:rFonts w:cs="Arial"/>
          <w:b/>
          <w:sz w:val="28"/>
          <w:szCs w:val="28"/>
        </w:rPr>
        <w:t>1</w:t>
      </w:r>
      <w:r w:rsidR="00100B13">
        <w:rPr>
          <w:rFonts w:cs="Arial"/>
          <w:b/>
          <w:sz w:val="28"/>
          <w:szCs w:val="28"/>
        </w:rPr>
        <w:t>5</w:t>
      </w:r>
      <w:r w:rsidR="00E72B3F" w:rsidRPr="00E72B3F">
        <w:rPr>
          <w:rStyle w:val="Refdenotaderodap"/>
          <w:rFonts w:cs="Arial"/>
          <w:b/>
          <w:sz w:val="28"/>
          <w:szCs w:val="28"/>
        </w:rPr>
        <w:footnoteReference w:customMarkFollows="1" w:id="2"/>
        <w:sym w:font="Symbol" w:char="F02A"/>
      </w:r>
    </w:p>
    <w:p w:rsidR="00FF6684" w:rsidRPr="006A4ED3" w:rsidRDefault="00FF6684" w:rsidP="00504A91">
      <w:pPr>
        <w:pStyle w:val="Ementa"/>
        <w:spacing w:before="360" w:after="360"/>
        <w:ind w:left="4536"/>
        <w:rPr>
          <w:rFonts w:cs="Arial"/>
          <w:i/>
          <w:sz w:val="24"/>
        </w:rPr>
      </w:pPr>
      <w:r w:rsidRPr="006A4ED3">
        <w:rPr>
          <w:rFonts w:cs="Arial"/>
          <w:i/>
          <w:sz w:val="24"/>
        </w:rPr>
        <w:t xml:space="preserve">Dispõe sobre </w:t>
      </w:r>
      <w:r w:rsidR="00605028" w:rsidRPr="00A031AE">
        <w:rPr>
          <w:rFonts w:eastAsia="Arial" w:cs="Arial"/>
          <w:i/>
          <w:sz w:val="24"/>
        </w:rPr>
        <w:t>o valor mínimo para processamento das prestações de contas de transferências voluntárias, nos termos do art</w:t>
      </w:r>
      <w:r w:rsidR="00605028">
        <w:rPr>
          <w:rFonts w:eastAsia="Arial" w:cs="Arial"/>
          <w:i/>
          <w:sz w:val="24"/>
        </w:rPr>
        <w:t>.</w:t>
      </w:r>
      <w:r w:rsidR="00605028" w:rsidRPr="00A031AE">
        <w:rPr>
          <w:rFonts w:eastAsia="Arial" w:cs="Arial"/>
          <w:i/>
          <w:sz w:val="24"/>
        </w:rPr>
        <w:t xml:space="preserve"> 26, §</w:t>
      </w:r>
      <w:r w:rsidR="00605028">
        <w:rPr>
          <w:rFonts w:eastAsia="Arial" w:cs="Arial"/>
          <w:i/>
          <w:sz w:val="24"/>
        </w:rPr>
        <w:t xml:space="preserve"> </w:t>
      </w:r>
      <w:r w:rsidR="00605028" w:rsidRPr="00A031AE">
        <w:rPr>
          <w:rFonts w:eastAsia="Arial" w:cs="Arial"/>
          <w:i/>
          <w:sz w:val="24"/>
        </w:rPr>
        <w:t>2º</w:t>
      </w:r>
      <w:r w:rsidR="00605028">
        <w:rPr>
          <w:rFonts w:eastAsia="Arial" w:cs="Arial"/>
          <w:i/>
          <w:sz w:val="24"/>
        </w:rPr>
        <w:t>,</w:t>
      </w:r>
      <w:r w:rsidR="00605028" w:rsidRPr="00A031AE">
        <w:rPr>
          <w:rFonts w:eastAsia="Arial" w:cs="Arial"/>
          <w:i/>
          <w:sz w:val="24"/>
        </w:rPr>
        <w:t xml:space="preserve"> da Resolução nº 28/2011.</w:t>
      </w:r>
    </w:p>
    <w:p w:rsidR="00FF6684" w:rsidRPr="006A4ED3" w:rsidRDefault="00FF6684" w:rsidP="00504A91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6A4ED3">
        <w:rPr>
          <w:rFonts w:cs="Arial"/>
          <w:b/>
          <w:sz w:val="24"/>
        </w:rPr>
        <w:t>O PRESIDENTE DO TRIBUNAL DE CONTAS DO ESTADO DO PARANÁ</w:t>
      </w:r>
      <w:r w:rsidRPr="006A4ED3">
        <w:rPr>
          <w:rFonts w:cs="Arial"/>
          <w:sz w:val="24"/>
        </w:rPr>
        <w:t xml:space="preserve">, no uso das atribuições </w:t>
      </w:r>
      <w:r w:rsidRPr="007C3209">
        <w:rPr>
          <w:rFonts w:cs="Arial"/>
          <w:color w:val="000000"/>
          <w:sz w:val="24"/>
        </w:rPr>
        <w:t>contidas no art. 122, I, da Lei Complementar nº 113, de 15 de dezembro de 2005, e no art. 16, XXXIII, c</w:t>
      </w:r>
      <w:r w:rsidRPr="006A4ED3">
        <w:rPr>
          <w:rFonts w:cs="Arial"/>
          <w:sz w:val="24"/>
        </w:rPr>
        <w:t>/c o art. 197, do Regimento Interno,</w:t>
      </w:r>
      <w:r w:rsidR="00BA6868">
        <w:rPr>
          <w:rFonts w:cs="Arial"/>
          <w:sz w:val="24"/>
        </w:rPr>
        <w:t xml:space="preserve"> </w:t>
      </w:r>
    </w:p>
    <w:p w:rsidR="00FF6684" w:rsidRPr="006A4ED3" w:rsidRDefault="00FF6684" w:rsidP="00504A91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rFonts w:cs="Arial"/>
          <w:b/>
          <w:bCs/>
          <w:sz w:val="24"/>
        </w:rPr>
      </w:pPr>
      <w:r w:rsidRPr="006A4ED3">
        <w:rPr>
          <w:rFonts w:cs="Arial"/>
          <w:b/>
          <w:bCs/>
          <w:sz w:val="24"/>
        </w:rPr>
        <w:t>RESOLVE</w:t>
      </w:r>
    </w:p>
    <w:p w:rsidR="00100B13" w:rsidRDefault="00FF6684" w:rsidP="00100B1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240"/>
        <w:ind w:firstLine="1134"/>
        <w:rPr>
          <w:rFonts w:eastAsia="Calibri" w:cs="Arial"/>
          <w:sz w:val="24"/>
          <w:lang w:eastAsia="en-US"/>
        </w:rPr>
      </w:pPr>
      <w:r w:rsidRPr="006A4ED3">
        <w:rPr>
          <w:rFonts w:cs="Arial"/>
          <w:b/>
          <w:sz w:val="24"/>
        </w:rPr>
        <w:t xml:space="preserve">Art. </w:t>
      </w:r>
      <w:r w:rsidR="00605028">
        <w:rPr>
          <w:rFonts w:cs="Arial"/>
          <w:b/>
          <w:sz w:val="24"/>
        </w:rPr>
        <w:t xml:space="preserve">1º </w:t>
      </w:r>
      <w:r w:rsidR="00184B03">
        <w:rPr>
          <w:rFonts w:eastAsia="Calibri" w:cs="Arial"/>
          <w:sz w:val="24"/>
          <w:lang w:eastAsia="en-US"/>
        </w:rPr>
        <w:t>O</w:t>
      </w:r>
      <w:r w:rsidR="00605028" w:rsidRPr="00A031AE">
        <w:rPr>
          <w:rFonts w:eastAsia="Calibri" w:cs="Arial"/>
          <w:sz w:val="24"/>
          <w:lang w:eastAsia="en-US"/>
        </w:rPr>
        <w:t xml:space="preserve"> valor mínimo para processamento </w:t>
      </w:r>
      <w:r w:rsidR="00BA6868">
        <w:rPr>
          <w:rFonts w:eastAsia="Calibri" w:cs="Arial"/>
          <w:sz w:val="24"/>
          <w:lang w:eastAsia="en-US"/>
        </w:rPr>
        <w:t xml:space="preserve">ordinário </w:t>
      </w:r>
      <w:r w:rsidR="00605028" w:rsidRPr="00A031AE">
        <w:rPr>
          <w:rFonts w:eastAsia="Calibri" w:cs="Arial"/>
          <w:sz w:val="24"/>
          <w:lang w:eastAsia="en-US"/>
        </w:rPr>
        <w:t>das prestações de contas de transferências voluntárias</w:t>
      </w:r>
      <w:r w:rsidR="00946ECD">
        <w:rPr>
          <w:rFonts w:eastAsia="Calibri" w:cs="Arial"/>
          <w:sz w:val="24"/>
          <w:lang w:eastAsia="en-US"/>
        </w:rPr>
        <w:t>,</w:t>
      </w:r>
      <w:r w:rsidR="00605028" w:rsidRPr="00A031AE">
        <w:rPr>
          <w:rFonts w:eastAsia="Calibri" w:cs="Arial"/>
          <w:sz w:val="24"/>
          <w:lang w:eastAsia="en-US"/>
        </w:rPr>
        <w:t xml:space="preserve"> no âmbito deste Tribunal</w:t>
      </w:r>
      <w:r w:rsidR="00946ECD">
        <w:rPr>
          <w:rFonts w:eastAsia="Calibri" w:cs="Arial"/>
          <w:sz w:val="24"/>
          <w:lang w:eastAsia="en-US"/>
        </w:rPr>
        <w:t>,</w:t>
      </w:r>
      <w:r w:rsidR="00605028" w:rsidRPr="00A031AE">
        <w:rPr>
          <w:rFonts w:eastAsia="Calibri" w:cs="Arial"/>
          <w:sz w:val="24"/>
          <w:lang w:eastAsia="en-US"/>
        </w:rPr>
        <w:t xml:space="preserve"> será de R$ </w:t>
      </w:r>
      <w:r w:rsidR="00B149D0">
        <w:rPr>
          <w:rFonts w:eastAsia="Calibri" w:cs="Arial"/>
          <w:sz w:val="24"/>
          <w:lang w:eastAsia="en-US"/>
        </w:rPr>
        <w:t>3</w:t>
      </w:r>
      <w:r w:rsidR="00100B13">
        <w:rPr>
          <w:rFonts w:eastAsia="Calibri" w:cs="Arial"/>
          <w:sz w:val="24"/>
          <w:lang w:eastAsia="en-US"/>
        </w:rPr>
        <w:t>00</w:t>
      </w:r>
      <w:r w:rsidR="00605028" w:rsidRPr="00A031AE">
        <w:rPr>
          <w:rFonts w:eastAsia="Calibri" w:cs="Arial"/>
          <w:sz w:val="24"/>
          <w:lang w:eastAsia="en-US"/>
        </w:rPr>
        <w:t>.000,00 (</w:t>
      </w:r>
      <w:r w:rsidR="00B149D0">
        <w:rPr>
          <w:rFonts w:eastAsia="Calibri" w:cs="Arial"/>
          <w:sz w:val="24"/>
          <w:lang w:eastAsia="en-US"/>
        </w:rPr>
        <w:t>trezentos</w:t>
      </w:r>
      <w:r w:rsidR="00100B13">
        <w:rPr>
          <w:rFonts w:eastAsia="Calibri" w:cs="Arial"/>
          <w:sz w:val="24"/>
          <w:lang w:eastAsia="en-US"/>
        </w:rPr>
        <w:t xml:space="preserve"> mil reais</w:t>
      </w:r>
      <w:r w:rsidR="00605028" w:rsidRPr="00A031AE">
        <w:rPr>
          <w:rFonts w:eastAsia="Calibri" w:cs="Arial"/>
          <w:sz w:val="24"/>
          <w:lang w:eastAsia="en-US"/>
        </w:rPr>
        <w:t>).</w:t>
      </w:r>
    </w:p>
    <w:p w:rsidR="002654E4" w:rsidRDefault="00100B13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eastAsia="Calibri" w:cs="Arial"/>
          <w:sz w:val="24"/>
          <w:lang w:eastAsia="en-US"/>
        </w:rPr>
      </w:pPr>
      <w:r>
        <w:rPr>
          <w:rFonts w:eastAsia="Calibri" w:cs="Arial"/>
          <w:b/>
          <w:sz w:val="24"/>
          <w:lang w:eastAsia="en-US"/>
        </w:rPr>
        <w:t xml:space="preserve">Art. 2º </w:t>
      </w:r>
      <w:r w:rsidR="000F1D97">
        <w:rPr>
          <w:rFonts w:eastAsia="Calibri" w:cs="Arial"/>
          <w:sz w:val="24"/>
          <w:lang w:eastAsia="en-US"/>
        </w:rPr>
        <w:t>As transferências registradas no S</w:t>
      </w:r>
      <w:r w:rsidR="00A36256">
        <w:rPr>
          <w:rFonts w:eastAsia="Calibri" w:cs="Arial"/>
          <w:sz w:val="24"/>
          <w:lang w:eastAsia="en-US"/>
        </w:rPr>
        <w:t>istema Integrado de Transferências – SIT,</w:t>
      </w:r>
      <w:r w:rsidR="000F1D97">
        <w:rPr>
          <w:rFonts w:eastAsia="Calibri" w:cs="Arial"/>
          <w:sz w:val="24"/>
          <w:lang w:eastAsia="en-US"/>
        </w:rPr>
        <w:t xml:space="preserve"> com</w:t>
      </w:r>
      <w:r>
        <w:rPr>
          <w:rFonts w:eastAsia="Calibri" w:cs="Arial"/>
          <w:sz w:val="24"/>
          <w:lang w:eastAsia="en-US"/>
        </w:rPr>
        <w:t xml:space="preserve"> valores inferiores ao referido no art. 1º</w:t>
      </w:r>
      <w:r w:rsidR="005E13A1">
        <w:rPr>
          <w:rFonts w:eastAsia="Calibri" w:cs="Arial"/>
          <w:sz w:val="24"/>
          <w:lang w:eastAsia="en-US"/>
        </w:rPr>
        <w:t>,</w:t>
      </w:r>
      <w:r>
        <w:rPr>
          <w:rFonts w:eastAsia="Calibri" w:cs="Arial"/>
          <w:sz w:val="24"/>
          <w:lang w:eastAsia="en-US"/>
        </w:rPr>
        <w:t xml:space="preserve"> deverão ser autuadas de ofício, pelo Tribunal de Contas,</w:t>
      </w:r>
      <w:r w:rsidR="004D5F4F">
        <w:rPr>
          <w:rFonts w:eastAsia="Calibri" w:cs="Arial"/>
          <w:sz w:val="24"/>
          <w:lang w:eastAsia="en-US"/>
        </w:rPr>
        <w:t xml:space="preserve"> por amostragem e </w:t>
      </w:r>
      <w:r>
        <w:rPr>
          <w:rFonts w:eastAsia="Calibri" w:cs="Arial"/>
          <w:sz w:val="24"/>
          <w:lang w:eastAsia="en-US"/>
        </w:rPr>
        <w:t xml:space="preserve">de acordo com os </w:t>
      </w:r>
      <w:r w:rsidR="000F1D97">
        <w:rPr>
          <w:rFonts w:eastAsia="Calibri" w:cs="Arial"/>
          <w:sz w:val="24"/>
          <w:lang w:eastAsia="en-US"/>
        </w:rPr>
        <w:t>seguintes percentuais mínimos:</w:t>
      </w:r>
    </w:p>
    <w:p w:rsidR="000F1D97" w:rsidRDefault="008E13BB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I - </w:t>
      </w:r>
      <w:r w:rsidR="00B149D0">
        <w:rPr>
          <w:rFonts w:eastAsia="Calibri" w:cs="Arial"/>
          <w:sz w:val="24"/>
          <w:lang w:eastAsia="en-US"/>
        </w:rPr>
        <w:t>10</w:t>
      </w:r>
      <w:r w:rsidR="000F1D97">
        <w:rPr>
          <w:rFonts w:eastAsia="Calibri" w:cs="Arial"/>
          <w:sz w:val="24"/>
          <w:lang w:eastAsia="en-US"/>
        </w:rPr>
        <w:t xml:space="preserve">% dos registros de transferência cujos valores sejam inferiores a R$ </w:t>
      </w:r>
      <w:r w:rsidR="00B149D0">
        <w:rPr>
          <w:rFonts w:eastAsia="Calibri" w:cs="Arial"/>
          <w:sz w:val="24"/>
          <w:lang w:eastAsia="en-US"/>
        </w:rPr>
        <w:t>100</w:t>
      </w:r>
      <w:r w:rsidR="000F1D97">
        <w:rPr>
          <w:rFonts w:eastAsia="Calibri" w:cs="Arial"/>
          <w:sz w:val="24"/>
          <w:lang w:eastAsia="en-US"/>
        </w:rPr>
        <w:t>.000,00 (</w:t>
      </w:r>
      <w:r w:rsidR="00B149D0">
        <w:rPr>
          <w:rFonts w:eastAsia="Calibri" w:cs="Arial"/>
          <w:sz w:val="24"/>
          <w:lang w:eastAsia="en-US"/>
        </w:rPr>
        <w:t>cem</w:t>
      </w:r>
      <w:r w:rsidR="000F1D97">
        <w:rPr>
          <w:rFonts w:eastAsia="Calibri" w:cs="Arial"/>
          <w:sz w:val="24"/>
          <w:lang w:eastAsia="en-US"/>
        </w:rPr>
        <w:t xml:space="preserve"> mil reais);</w:t>
      </w:r>
    </w:p>
    <w:p w:rsidR="000F1D97" w:rsidRPr="00E061EF" w:rsidRDefault="008E13BB" w:rsidP="00504A91">
      <w:pPr>
        <w:pStyle w:val="NormalWeb"/>
        <w:tabs>
          <w:tab w:val="left" w:pos="1701"/>
        </w:tabs>
        <w:spacing w:before="120" w:beforeAutospacing="0" w:after="0" w:afterAutospacing="0"/>
        <w:ind w:firstLine="1134"/>
        <w:jc w:val="both"/>
        <w:rPr>
          <w:rFonts w:eastAsia="Calibri" w:cs="Arial"/>
          <w:lang w:eastAsia="en-US"/>
        </w:rPr>
      </w:pPr>
      <w:r>
        <w:rPr>
          <w:rFonts w:ascii="Arial" w:hAnsi="Arial" w:cs="Arial"/>
          <w:color w:val="000000"/>
        </w:rPr>
        <w:t xml:space="preserve">II - </w:t>
      </w:r>
      <w:r w:rsidR="00B149D0">
        <w:rPr>
          <w:rFonts w:ascii="Arial" w:hAnsi="Arial" w:cs="Arial"/>
          <w:color w:val="000000"/>
        </w:rPr>
        <w:t>30</w:t>
      </w:r>
      <w:r w:rsidR="00E061EF" w:rsidRPr="00E061EF">
        <w:rPr>
          <w:rFonts w:ascii="Arial" w:hAnsi="Arial" w:cs="Arial"/>
          <w:color w:val="000000"/>
        </w:rPr>
        <w:t xml:space="preserve">% dos registros de transferência cujos valores estejam entre R$ </w:t>
      </w:r>
      <w:r w:rsidR="00B149D0">
        <w:rPr>
          <w:rFonts w:ascii="Arial" w:hAnsi="Arial" w:cs="Arial"/>
          <w:color w:val="000000"/>
        </w:rPr>
        <w:t>100</w:t>
      </w:r>
      <w:r w:rsidR="00E061EF" w:rsidRPr="00E061EF">
        <w:rPr>
          <w:rFonts w:ascii="Arial" w:hAnsi="Arial" w:cs="Arial"/>
          <w:color w:val="000000"/>
        </w:rPr>
        <w:t>.000,00</w:t>
      </w:r>
      <w:r w:rsidR="00E061EF">
        <w:rPr>
          <w:rFonts w:ascii="Arial" w:hAnsi="Arial" w:cs="Arial"/>
          <w:color w:val="000000"/>
        </w:rPr>
        <w:t xml:space="preserve"> </w:t>
      </w:r>
      <w:r w:rsidR="00E061EF" w:rsidRPr="00E061EF">
        <w:rPr>
          <w:rFonts w:ascii="Arial" w:hAnsi="Arial" w:cs="Arial"/>
          <w:color w:val="000000"/>
        </w:rPr>
        <w:t>(</w:t>
      </w:r>
      <w:r w:rsidR="00B149D0">
        <w:rPr>
          <w:rFonts w:ascii="Arial" w:hAnsi="Arial" w:cs="Arial"/>
          <w:color w:val="000000"/>
        </w:rPr>
        <w:t>cem</w:t>
      </w:r>
      <w:r w:rsidR="00E061EF" w:rsidRPr="00E061EF">
        <w:rPr>
          <w:rFonts w:ascii="Arial" w:hAnsi="Arial" w:cs="Arial"/>
          <w:color w:val="000000"/>
        </w:rPr>
        <w:t xml:space="preserve"> mil reais)</w:t>
      </w:r>
      <w:r w:rsidR="00E061EF" w:rsidRPr="004D5F4F">
        <w:rPr>
          <w:rFonts w:ascii="Arial" w:hAnsi="Arial" w:cs="Arial"/>
          <w:color w:val="000000"/>
        </w:rPr>
        <w:t>,</w:t>
      </w:r>
      <w:r w:rsidR="004D5F4F" w:rsidRPr="004D5F4F">
        <w:rPr>
          <w:rFonts w:ascii="Arial" w:hAnsi="Arial" w:cs="Arial"/>
          <w:color w:val="000000"/>
        </w:rPr>
        <w:t xml:space="preserve"> inclusive,</w:t>
      </w:r>
      <w:r w:rsidR="00A36256">
        <w:rPr>
          <w:rFonts w:ascii="Arial" w:hAnsi="Arial" w:cs="Arial"/>
          <w:color w:val="000000"/>
        </w:rPr>
        <w:t xml:space="preserve"> </w:t>
      </w:r>
      <w:r w:rsidR="00E061EF" w:rsidRPr="00E061EF">
        <w:rPr>
          <w:rFonts w:ascii="Arial" w:hAnsi="Arial" w:cs="Arial"/>
          <w:color w:val="000000"/>
        </w:rPr>
        <w:t>e R$ 199.999,99 (cento e noventa e nove mil, novecentos e noventa e nove reais e nov</w:t>
      </w:r>
      <w:r w:rsidR="0090016B">
        <w:rPr>
          <w:rFonts w:ascii="Arial" w:hAnsi="Arial" w:cs="Arial"/>
          <w:color w:val="000000"/>
        </w:rPr>
        <w:t>enta e nove centavos)</w:t>
      </w:r>
      <w:r w:rsidR="00E061EF" w:rsidRPr="00E061EF">
        <w:rPr>
          <w:rFonts w:ascii="Arial" w:hAnsi="Arial" w:cs="Arial"/>
          <w:color w:val="000000"/>
        </w:rPr>
        <w:t>;</w:t>
      </w:r>
    </w:p>
    <w:p w:rsidR="000F1D97" w:rsidRDefault="008E13BB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701"/>
        </w:tabs>
        <w:ind w:firstLine="1134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III - </w:t>
      </w:r>
      <w:r w:rsidR="00B149D0">
        <w:rPr>
          <w:rFonts w:eastAsia="Calibri" w:cs="Arial"/>
          <w:sz w:val="24"/>
          <w:lang w:eastAsia="en-US"/>
        </w:rPr>
        <w:t>6</w:t>
      </w:r>
      <w:r w:rsidR="000F1D97">
        <w:rPr>
          <w:rFonts w:eastAsia="Calibri" w:cs="Arial"/>
          <w:sz w:val="24"/>
          <w:lang w:eastAsia="en-US"/>
        </w:rPr>
        <w:t>0% dos registros de transferência cujos valores estejam entre R$ 200.000,00</w:t>
      </w:r>
      <w:r w:rsidR="00E061EF">
        <w:rPr>
          <w:rFonts w:eastAsia="Calibri" w:cs="Arial"/>
          <w:sz w:val="24"/>
          <w:lang w:eastAsia="en-US"/>
        </w:rPr>
        <w:t xml:space="preserve"> (duzentos mil reais)</w:t>
      </w:r>
      <w:r w:rsidR="004D5F4F">
        <w:rPr>
          <w:rFonts w:eastAsia="Calibri" w:cs="Arial"/>
          <w:sz w:val="24"/>
          <w:lang w:eastAsia="en-US"/>
        </w:rPr>
        <w:t xml:space="preserve">, </w:t>
      </w:r>
      <w:r w:rsidR="004D5F4F" w:rsidRPr="004D5F4F">
        <w:rPr>
          <w:rFonts w:eastAsia="Calibri" w:cs="Arial"/>
          <w:sz w:val="24"/>
          <w:lang w:eastAsia="en-US"/>
        </w:rPr>
        <w:t xml:space="preserve">inclusive, </w:t>
      </w:r>
      <w:r w:rsidR="000F1D97">
        <w:rPr>
          <w:rFonts w:eastAsia="Calibri" w:cs="Arial"/>
          <w:sz w:val="24"/>
          <w:lang w:eastAsia="en-US"/>
        </w:rPr>
        <w:t xml:space="preserve">e R$ </w:t>
      </w:r>
      <w:r w:rsidR="00B149D0">
        <w:rPr>
          <w:rFonts w:eastAsia="Calibri" w:cs="Arial"/>
          <w:sz w:val="24"/>
          <w:lang w:eastAsia="en-US"/>
        </w:rPr>
        <w:t>2</w:t>
      </w:r>
      <w:r w:rsidR="000F1D97">
        <w:rPr>
          <w:rFonts w:eastAsia="Calibri" w:cs="Arial"/>
          <w:sz w:val="24"/>
          <w:lang w:eastAsia="en-US"/>
        </w:rPr>
        <w:t>99.999,99 (</w:t>
      </w:r>
      <w:r w:rsidR="00B149D0">
        <w:rPr>
          <w:rFonts w:eastAsia="Calibri" w:cs="Arial"/>
          <w:sz w:val="24"/>
          <w:lang w:eastAsia="en-US"/>
        </w:rPr>
        <w:t>duzentos</w:t>
      </w:r>
      <w:r w:rsidR="000F1D97">
        <w:rPr>
          <w:rFonts w:eastAsia="Calibri" w:cs="Arial"/>
          <w:sz w:val="24"/>
          <w:lang w:eastAsia="en-US"/>
        </w:rPr>
        <w:t xml:space="preserve"> e noventa e nove mil, novecentos e noventa e nove r</w:t>
      </w:r>
      <w:r w:rsidR="00504A91">
        <w:rPr>
          <w:rFonts w:eastAsia="Calibri" w:cs="Arial"/>
          <w:sz w:val="24"/>
          <w:lang w:eastAsia="en-US"/>
        </w:rPr>
        <w:t>eais e noventa e nove centavos).</w:t>
      </w:r>
    </w:p>
    <w:p w:rsidR="002654E4" w:rsidRPr="002654E4" w:rsidRDefault="002654E4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eastAsia="Calibri"/>
        </w:rPr>
      </w:pPr>
      <w:r w:rsidRPr="002654E4">
        <w:rPr>
          <w:rFonts w:eastAsia="Calibri" w:cs="Arial"/>
          <w:b/>
          <w:sz w:val="24"/>
          <w:lang w:eastAsia="en-US"/>
        </w:rPr>
        <w:t xml:space="preserve">Art. </w:t>
      </w:r>
      <w:r w:rsidR="00BA6868">
        <w:rPr>
          <w:rFonts w:eastAsia="Calibri" w:cs="Arial"/>
          <w:b/>
          <w:sz w:val="24"/>
          <w:lang w:eastAsia="en-US"/>
        </w:rPr>
        <w:t>3</w:t>
      </w:r>
      <w:r w:rsidRPr="002654E4">
        <w:rPr>
          <w:rFonts w:eastAsia="Calibri" w:cs="Arial"/>
          <w:b/>
          <w:sz w:val="24"/>
          <w:lang w:eastAsia="en-US"/>
        </w:rPr>
        <w:t>º</w:t>
      </w:r>
      <w:r>
        <w:rPr>
          <w:rFonts w:eastAsia="Calibri" w:cs="Arial"/>
          <w:sz w:val="24"/>
          <w:lang w:eastAsia="en-US"/>
        </w:rPr>
        <w:t xml:space="preserve"> O atendimento dos percentuais mínimos por faixa de valores</w:t>
      </w:r>
      <w:r w:rsidR="009E17B4">
        <w:rPr>
          <w:rFonts w:eastAsia="Calibri" w:cs="Arial"/>
          <w:sz w:val="24"/>
          <w:lang w:eastAsia="en-US"/>
        </w:rPr>
        <w:t xml:space="preserve"> deverá ser verificado em periodicidade anual.</w:t>
      </w:r>
    </w:p>
    <w:p w:rsidR="00BA6868" w:rsidRPr="00A36256" w:rsidRDefault="00FF6684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eastAsia="Calibri" w:cs="Arial"/>
          <w:sz w:val="24"/>
          <w:lang w:eastAsia="en-US"/>
        </w:rPr>
      </w:pPr>
      <w:r w:rsidRPr="00A36256">
        <w:rPr>
          <w:rFonts w:cs="Arial"/>
          <w:b/>
          <w:color w:val="000000"/>
          <w:sz w:val="24"/>
        </w:rPr>
        <w:t xml:space="preserve">Art. </w:t>
      </w:r>
      <w:r w:rsidR="00BA6868" w:rsidRPr="00A36256">
        <w:rPr>
          <w:rFonts w:cs="Arial"/>
          <w:b/>
          <w:color w:val="000000"/>
          <w:sz w:val="24"/>
        </w:rPr>
        <w:t>4</w:t>
      </w:r>
      <w:r w:rsidR="00605028" w:rsidRPr="00A36256">
        <w:rPr>
          <w:rFonts w:cs="Arial"/>
          <w:b/>
          <w:color w:val="000000"/>
          <w:sz w:val="24"/>
        </w:rPr>
        <w:t>º</w:t>
      </w:r>
      <w:r w:rsidR="00A36256" w:rsidRPr="00A36256">
        <w:rPr>
          <w:rFonts w:cs="Arial"/>
          <w:color w:val="000000"/>
          <w:sz w:val="24"/>
        </w:rPr>
        <w:t xml:space="preserve"> Esta Instrução de Serviço entra em vigor na data de sua publicação, ficando revogada a Instrução de Serviço nº </w:t>
      </w:r>
      <w:r w:rsidR="00A36256" w:rsidRPr="00A36256">
        <w:rPr>
          <w:rFonts w:cs="Arial"/>
          <w:sz w:val="24"/>
        </w:rPr>
        <w:t>81/2014, disponibilizada no Diário Eletrônico do Tribunal de Contas nº 98</w:t>
      </w:r>
      <w:r w:rsidR="005E13A1">
        <w:rPr>
          <w:rFonts w:cs="Arial"/>
          <w:sz w:val="24"/>
        </w:rPr>
        <w:t>7</w:t>
      </w:r>
      <w:r w:rsidR="00A36256" w:rsidRPr="00A36256">
        <w:rPr>
          <w:rFonts w:cs="Arial"/>
          <w:sz w:val="24"/>
        </w:rPr>
        <w:t>, de 16 de outubro de 2014</w:t>
      </w:r>
      <w:r w:rsidR="00BA6868" w:rsidRPr="00A36256">
        <w:rPr>
          <w:rFonts w:eastAsia="Calibri" w:cs="Arial"/>
          <w:sz w:val="24"/>
          <w:lang w:eastAsia="en-US"/>
        </w:rPr>
        <w:t>.</w:t>
      </w:r>
    </w:p>
    <w:p w:rsidR="00423C8F" w:rsidRDefault="00FF6684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990354">
        <w:rPr>
          <w:rFonts w:cs="Arial"/>
          <w:color w:val="000000"/>
          <w:sz w:val="24"/>
        </w:rPr>
        <w:t>22</w:t>
      </w:r>
      <w:r>
        <w:rPr>
          <w:rFonts w:cs="Arial"/>
          <w:color w:val="000000"/>
          <w:sz w:val="24"/>
        </w:rPr>
        <w:t xml:space="preserve"> de </w:t>
      </w:r>
      <w:r w:rsidR="00A36256">
        <w:rPr>
          <w:rFonts w:cs="Arial"/>
          <w:color w:val="000000"/>
          <w:sz w:val="24"/>
        </w:rPr>
        <w:t>junho</w:t>
      </w:r>
      <w:r>
        <w:rPr>
          <w:rFonts w:cs="Arial"/>
          <w:color w:val="000000"/>
          <w:sz w:val="24"/>
        </w:rPr>
        <w:t xml:space="preserve"> de 201</w:t>
      </w:r>
      <w:r w:rsidR="009E17B4">
        <w:rPr>
          <w:rFonts w:cs="Arial"/>
          <w:color w:val="000000"/>
          <w:sz w:val="24"/>
        </w:rPr>
        <w:t>5</w:t>
      </w:r>
      <w:r w:rsidR="00184B03">
        <w:rPr>
          <w:rFonts w:cs="Arial"/>
          <w:color w:val="000000"/>
          <w:sz w:val="24"/>
        </w:rPr>
        <w:t>.</w:t>
      </w:r>
    </w:p>
    <w:p w:rsidR="00423C8F" w:rsidRDefault="00FF6684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lastRenderedPageBreak/>
        <w:t xml:space="preserve">Conselheiro </w:t>
      </w:r>
      <w:r w:rsidR="009E17B4">
        <w:rPr>
          <w:rFonts w:cs="Arial"/>
          <w:b/>
          <w:color w:val="000000"/>
          <w:sz w:val="24"/>
        </w:rPr>
        <w:t>IVAN LELIS BONILHA</w:t>
      </w:r>
    </w:p>
    <w:p w:rsidR="002654E4" w:rsidRPr="002654E4" w:rsidRDefault="00FF6684" w:rsidP="00504A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/>
        </w:rPr>
      </w:pPr>
      <w:r w:rsidRPr="006A4ED3">
        <w:rPr>
          <w:rFonts w:cs="Arial"/>
          <w:color w:val="000000"/>
          <w:sz w:val="24"/>
        </w:rPr>
        <w:t>Presidente</w:t>
      </w:r>
    </w:p>
    <w:sectPr w:rsidR="002654E4" w:rsidRPr="002654E4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D29" w:rsidRDefault="005B2D29">
      <w:r>
        <w:separator/>
      </w:r>
    </w:p>
  </w:endnote>
  <w:endnote w:type="continuationSeparator" w:id="0">
    <w:p w:rsidR="005B2D29" w:rsidRDefault="005B2D29">
      <w:r>
        <w:continuationSeparator/>
      </w:r>
    </w:p>
  </w:endnote>
  <w:endnote w:type="continuationNotice" w:id="1">
    <w:p w:rsidR="005B2D29" w:rsidRDefault="005B2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D29" w:rsidRDefault="005B2D29">
      <w:r>
        <w:separator/>
      </w:r>
    </w:p>
  </w:footnote>
  <w:footnote w:type="continuationSeparator" w:id="0">
    <w:p w:rsidR="005B2D29" w:rsidRDefault="005B2D29">
      <w:r>
        <w:continuationSeparator/>
      </w:r>
    </w:p>
  </w:footnote>
  <w:footnote w:type="continuationNotice" w:id="1">
    <w:p w:rsidR="005B2D29" w:rsidRDefault="005B2D29"/>
  </w:footnote>
  <w:footnote w:id="2">
    <w:p w:rsidR="00E72B3F" w:rsidRPr="00A22833" w:rsidRDefault="00E72B3F" w:rsidP="00E72B3F">
      <w:pPr>
        <w:pStyle w:val="Textodenotaderodap"/>
        <w:rPr>
          <w:rFonts w:ascii="Arial" w:hAnsi="Arial" w:cs="Arial"/>
        </w:rPr>
      </w:pPr>
      <w:r w:rsidRPr="00E72B3F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E72B3F" w:rsidRPr="00A22833" w:rsidRDefault="00E72B3F" w:rsidP="00E72B3F">
      <w:pPr>
        <w:pStyle w:val="Textodenotaderodap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A22833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72B3F">
          <w:rPr>
            <w:rStyle w:val="Hyperlink"/>
            <w:rFonts w:ascii="Arial" w:hAnsi="Arial" w:cs="Arial"/>
          </w:rPr>
          <w:t>Diário Eletrônico do Tribunal de Contas do Estado do Paraná, Curitiba, PR, n. 1146, 24 jun. 2015, p. 22</w:t>
        </w:r>
      </w:hyperlink>
      <w:r w:rsidRPr="00E72B3F">
        <w:rPr>
          <w:rFonts w:ascii="Arial" w:hAnsi="Arial" w:cs="Arial"/>
          <w:color w:val="0000FF"/>
          <w:u w:val="single"/>
        </w:rPr>
        <w:t>.</w:t>
      </w:r>
    </w:p>
    <w:p w:rsidR="00E72B3F" w:rsidRPr="00E72B3F" w:rsidRDefault="00E72B3F" w:rsidP="00E72B3F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A22833">
        <w:rPr>
          <w:rStyle w:val="Forte"/>
          <w:rFonts w:ascii="Arial" w:hAnsi="Arial" w:cs="Arial"/>
          <w:sz w:val="20"/>
          <w:szCs w:val="20"/>
        </w:rPr>
        <w:t>Revoga</w:t>
      </w:r>
      <w:r w:rsidRPr="00A22833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E72B3F">
          <w:rPr>
            <w:rStyle w:val="Hyperlink"/>
            <w:rFonts w:ascii="Arial" w:hAnsi="Arial" w:cs="Arial"/>
            <w:sz w:val="20"/>
            <w:szCs w:val="20"/>
          </w:rPr>
          <w:t>Instrução de Serviço n. 81, de 13 de outubro de 2014</w:t>
        </w:r>
      </w:hyperlink>
      <w:r w:rsidRPr="00E72B3F"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p w:rsidR="00E72B3F" w:rsidRPr="00A22833" w:rsidRDefault="00E72B3F" w:rsidP="00E72B3F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E72B3F">
        <w:rPr>
          <w:rFonts w:ascii="Arial" w:hAnsi="Arial" w:cs="Arial"/>
          <w:sz w:val="20"/>
          <w:szCs w:val="20"/>
        </w:rPr>
        <w:t xml:space="preserve">Ver também: </w:t>
      </w:r>
      <w:hyperlink r:id="rId3" w:history="1">
        <w:r w:rsidRPr="00E72B3F">
          <w:rPr>
            <w:rStyle w:val="Hyperlink"/>
            <w:rFonts w:ascii="Arial" w:hAnsi="Arial" w:cs="Arial"/>
            <w:sz w:val="20"/>
            <w:szCs w:val="20"/>
          </w:rPr>
          <w:t>Resolução n. 28, de 2 de outubro de 2011</w:t>
        </w:r>
      </w:hyperlink>
      <w:r w:rsidRPr="00E72B3F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E72B3F" w:rsidRDefault="00E72B3F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7C3209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7450D"/>
    <w:multiLevelType w:val="hybridMultilevel"/>
    <w:tmpl w:val="C31A786A"/>
    <w:lvl w:ilvl="0" w:tplc="1C7C0AD2">
      <w:start w:val="1"/>
      <w:numFmt w:val="upperRoman"/>
      <w:lvlText w:val="%1 - "/>
      <w:lvlJc w:val="left"/>
      <w:pPr>
        <w:ind w:left="1494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174F4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1D97"/>
    <w:rsid w:val="000F2716"/>
    <w:rsid w:val="001000B9"/>
    <w:rsid w:val="00100B13"/>
    <w:rsid w:val="001075BD"/>
    <w:rsid w:val="0011369C"/>
    <w:rsid w:val="00123DE1"/>
    <w:rsid w:val="0012745F"/>
    <w:rsid w:val="0013718B"/>
    <w:rsid w:val="00142ADD"/>
    <w:rsid w:val="00146978"/>
    <w:rsid w:val="00147824"/>
    <w:rsid w:val="001543CD"/>
    <w:rsid w:val="00155EC7"/>
    <w:rsid w:val="00184B03"/>
    <w:rsid w:val="001D07D2"/>
    <w:rsid w:val="001D0B09"/>
    <w:rsid w:val="001E2907"/>
    <w:rsid w:val="001F297B"/>
    <w:rsid w:val="00252933"/>
    <w:rsid w:val="002654E4"/>
    <w:rsid w:val="00283F4D"/>
    <w:rsid w:val="00291D10"/>
    <w:rsid w:val="002A15EE"/>
    <w:rsid w:val="002A7ADD"/>
    <w:rsid w:val="002E3E39"/>
    <w:rsid w:val="00300126"/>
    <w:rsid w:val="00334C7D"/>
    <w:rsid w:val="00352ECA"/>
    <w:rsid w:val="003705BD"/>
    <w:rsid w:val="00374244"/>
    <w:rsid w:val="003939F6"/>
    <w:rsid w:val="003B44D6"/>
    <w:rsid w:val="003C03F8"/>
    <w:rsid w:val="003C2825"/>
    <w:rsid w:val="00423C8F"/>
    <w:rsid w:val="004416A7"/>
    <w:rsid w:val="004505CE"/>
    <w:rsid w:val="004604F8"/>
    <w:rsid w:val="00460C5E"/>
    <w:rsid w:val="004B5683"/>
    <w:rsid w:val="004C7958"/>
    <w:rsid w:val="004D5F4F"/>
    <w:rsid w:val="00504A91"/>
    <w:rsid w:val="00506D3A"/>
    <w:rsid w:val="00516811"/>
    <w:rsid w:val="00542D6D"/>
    <w:rsid w:val="005955A5"/>
    <w:rsid w:val="005B2D29"/>
    <w:rsid w:val="005D42B6"/>
    <w:rsid w:val="005E13A1"/>
    <w:rsid w:val="005E595E"/>
    <w:rsid w:val="00605028"/>
    <w:rsid w:val="006509DA"/>
    <w:rsid w:val="0066249C"/>
    <w:rsid w:val="006817D5"/>
    <w:rsid w:val="006826EE"/>
    <w:rsid w:val="006A4ED3"/>
    <w:rsid w:val="006B3F7F"/>
    <w:rsid w:val="006E38B3"/>
    <w:rsid w:val="00701946"/>
    <w:rsid w:val="007362B6"/>
    <w:rsid w:val="00754614"/>
    <w:rsid w:val="00773F6B"/>
    <w:rsid w:val="00787410"/>
    <w:rsid w:val="00790839"/>
    <w:rsid w:val="007B541D"/>
    <w:rsid w:val="007B6480"/>
    <w:rsid w:val="007C3209"/>
    <w:rsid w:val="007F68E0"/>
    <w:rsid w:val="007F75CF"/>
    <w:rsid w:val="00871987"/>
    <w:rsid w:val="008719F5"/>
    <w:rsid w:val="00881F22"/>
    <w:rsid w:val="008A01F0"/>
    <w:rsid w:val="008A5461"/>
    <w:rsid w:val="008C4F25"/>
    <w:rsid w:val="008D5003"/>
    <w:rsid w:val="008E13BB"/>
    <w:rsid w:val="0090016B"/>
    <w:rsid w:val="00906E4D"/>
    <w:rsid w:val="00916D5F"/>
    <w:rsid w:val="00940DA6"/>
    <w:rsid w:val="00946ECD"/>
    <w:rsid w:val="00947334"/>
    <w:rsid w:val="00990354"/>
    <w:rsid w:val="009A1923"/>
    <w:rsid w:val="009B718E"/>
    <w:rsid w:val="009E17B4"/>
    <w:rsid w:val="009E44B6"/>
    <w:rsid w:val="00A36256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149D0"/>
    <w:rsid w:val="00B20D53"/>
    <w:rsid w:val="00B22DDC"/>
    <w:rsid w:val="00B33609"/>
    <w:rsid w:val="00B52B88"/>
    <w:rsid w:val="00B71E34"/>
    <w:rsid w:val="00B96EE0"/>
    <w:rsid w:val="00BA6868"/>
    <w:rsid w:val="00BE1DA2"/>
    <w:rsid w:val="00C0606B"/>
    <w:rsid w:val="00C17F9B"/>
    <w:rsid w:val="00C407CD"/>
    <w:rsid w:val="00C474AE"/>
    <w:rsid w:val="00C67EFA"/>
    <w:rsid w:val="00C84F53"/>
    <w:rsid w:val="00C87498"/>
    <w:rsid w:val="00CD0DAD"/>
    <w:rsid w:val="00CE0A9A"/>
    <w:rsid w:val="00CE5871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61EF"/>
    <w:rsid w:val="00E0734C"/>
    <w:rsid w:val="00E43470"/>
    <w:rsid w:val="00E43C43"/>
    <w:rsid w:val="00E72B3F"/>
    <w:rsid w:val="00EB38B6"/>
    <w:rsid w:val="00EC2AA7"/>
    <w:rsid w:val="00EC4961"/>
    <w:rsid w:val="00EF5FF1"/>
    <w:rsid w:val="00F40F61"/>
    <w:rsid w:val="00F50259"/>
    <w:rsid w:val="00F73D2F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8863D53"/>
  <w15:chartTrackingRefBased/>
  <w15:docId w15:val="{21413DB1-3DAA-4EF6-B832-68E5B858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uiPriority w:val="99"/>
    <w:unhideWhenUsed/>
    <w:rsid w:val="00E061E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061EF"/>
    <w:rPr>
      <w:b/>
      <w:bCs/>
    </w:rPr>
  </w:style>
  <w:style w:type="paragraph" w:styleId="Textodenotaderodap">
    <w:name w:val="footnote text"/>
    <w:basedOn w:val="Normal"/>
    <w:link w:val="TextodenotaderodapChar"/>
    <w:rsid w:val="00E72B3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72B3F"/>
  </w:style>
  <w:style w:type="character" w:styleId="Refdenotaderodap">
    <w:name w:val="footnote reference"/>
    <w:basedOn w:val="Fontepargpadro"/>
    <w:uiPriority w:val="99"/>
    <w:rsid w:val="00E72B3F"/>
    <w:rPr>
      <w:vertAlign w:val="superscript"/>
    </w:rPr>
  </w:style>
  <w:style w:type="character" w:styleId="Hyperlink">
    <w:name w:val="Hyperlink"/>
    <w:unhideWhenUsed/>
    <w:rsid w:val="00E72B3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2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28-de-2-de-outubro-de-2011/1376/area/10" TargetMode="External"/><Relationship Id="rId2" Type="http://schemas.openxmlformats.org/officeDocument/2006/relationships/hyperlink" Target="http://www1.tce.pr.gov.br/conteudo/instrucao-de-servico-n-81-de-13-de-outubro-de-2014/262569/area/10" TargetMode="External"/><Relationship Id="rId1" Type="http://schemas.openxmlformats.org/officeDocument/2006/relationships/hyperlink" Target="http://www1.tce.pr.gov.br/multimidia/2015/6/pdf/0027859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82D81-D4FF-4E9C-9B64-A51D27FDE11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C94B1C-AD6E-4D8F-B7C4-0937518A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Fonseca</cp:lastModifiedBy>
  <cp:revision>3</cp:revision>
  <cp:lastPrinted>2015-05-06T17:39:00Z</cp:lastPrinted>
  <dcterms:created xsi:type="dcterms:W3CDTF">2019-05-21T12:02:00Z</dcterms:created>
  <dcterms:modified xsi:type="dcterms:W3CDTF">2019-05-21T12:05:00Z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