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9BB" w:rsidRPr="00891554" w:rsidRDefault="00CC69BB" w:rsidP="00CC69BB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891554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891554">
        <w:rPr>
          <w:rFonts w:ascii="Arial" w:hAnsi="Arial" w:cs="Arial"/>
          <w:b/>
          <w:sz w:val="28"/>
          <w:szCs w:val="28"/>
        </w:rPr>
        <w:t>43/</w:t>
      </w:r>
      <w:r>
        <w:rPr>
          <w:rFonts w:ascii="Arial" w:hAnsi="Arial" w:cs="Arial"/>
          <w:b/>
          <w:sz w:val="28"/>
          <w:szCs w:val="28"/>
        </w:rPr>
        <w:t>20</w:t>
      </w:r>
      <w:r w:rsidRPr="00891554">
        <w:rPr>
          <w:rFonts w:ascii="Arial" w:hAnsi="Arial" w:cs="Arial"/>
          <w:b/>
          <w:sz w:val="28"/>
          <w:szCs w:val="28"/>
        </w:rPr>
        <w:t>12</w:t>
      </w:r>
      <w:r w:rsidRPr="00CC69BB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CC69BB" w:rsidRDefault="00CC69BB" w:rsidP="00CC69BB">
      <w:pPr>
        <w:pStyle w:val="Ementa"/>
        <w:spacing w:before="120" w:after="0"/>
        <w:ind w:left="4536"/>
        <w:rPr>
          <w:i/>
          <w:sz w:val="24"/>
        </w:rPr>
      </w:pPr>
    </w:p>
    <w:p w:rsidR="00CC69BB" w:rsidRDefault="00CC69BB" w:rsidP="00CC69BB">
      <w:pPr>
        <w:pStyle w:val="Ementa"/>
        <w:ind w:left="4536"/>
        <w:rPr>
          <w:i/>
          <w:sz w:val="24"/>
        </w:rPr>
      </w:pPr>
      <w:r>
        <w:rPr>
          <w:i/>
          <w:sz w:val="24"/>
        </w:rPr>
        <w:t>Dispõe sobre a tramitação eletrônica dos Requerimentos de Servidores, e dá outras providências.</w:t>
      </w:r>
    </w:p>
    <w:p w:rsidR="00CC69BB" w:rsidRDefault="00CC69BB" w:rsidP="00CC69BB">
      <w:pPr>
        <w:pStyle w:val="Ementa"/>
        <w:spacing w:before="120" w:after="0"/>
        <w:ind w:left="4536"/>
        <w:rPr>
          <w:i/>
          <w:sz w:val="24"/>
        </w:rPr>
      </w:pPr>
    </w:p>
    <w:p w:rsidR="00CC69BB" w:rsidRDefault="00CC69BB" w:rsidP="00CC69BB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 art. 197, também do Regimento Interno,</w:t>
      </w:r>
    </w:p>
    <w:p w:rsidR="00CC69BB" w:rsidRDefault="00CC69BB" w:rsidP="00CC69BB">
      <w:pPr>
        <w:pStyle w:val="Texto"/>
        <w:ind w:firstLine="1134"/>
        <w:rPr>
          <w:b/>
          <w:bCs/>
          <w:sz w:val="24"/>
        </w:rPr>
      </w:pPr>
    </w:p>
    <w:p w:rsidR="00CC69BB" w:rsidRDefault="00CC69BB" w:rsidP="00CC69BB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CC69BB" w:rsidRDefault="00CC69BB" w:rsidP="00CC69BB">
      <w:pPr>
        <w:pStyle w:val="Texto"/>
        <w:ind w:firstLine="1134"/>
        <w:rPr>
          <w:b/>
          <w:bCs/>
          <w:sz w:val="24"/>
        </w:rPr>
      </w:pPr>
    </w:p>
    <w:p w:rsidR="00CC69BB" w:rsidRPr="0007286B" w:rsidRDefault="00CC69BB" w:rsidP="00CC69BB">
      <w:pPr>
        <w:pStyle w:val="ArtigosOrdinais"/>
        <w:ind w:firstLine="1134"/>
        <w:rPr>
          <w:sz w:val="24"/>
        </w:rPr>
      </w:pPr>
      <w:r w:rsidRPr="0007286B">
        <w:rPr>
          <w:b/>
          <w:sz w:val="24"/>
        </w:rPr>
        <w:t xml:space="preserve">Art. 1º </w:t>
      </w:r>
      <w:r>
        <w:rPr>
          <w:sz w:val="24"/>
        </w:rPr>
        <w:t>Esta Instrução de Serviço disciplina</w:t>
      </w:r>
      <w:r w:rsidRPr="0007286B">
        <w:rPr>
          <w:sz w:val="24"/>
        </w:rPr>
        <w:t xml:space="preserve"> a tramitação dos Requerimentos de Servidores através do sistema de Procedimentos Administrativos</w:t>
      </w:r>
      <w:r>
        <w:rPr>
          <w:sz w:val="24"/>
        </w:rPr>
        <w:t xml:space="preserve"> Eletrônicos</w:t>
      </w:r>
      <w:r w:rsidRPr="0007286B">
        <w:rPr>
          <w:sz w:val="24"/>
        </w:rPr>
        <w:t>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 w:rsidRPr="0007286B">
        <w:rPr>
          <w:b/>
          <w:sz w:val="24"/>
        </w:rPr>
        <w:t>Art. 2º</w:t>
      </w:r>
      <w:r w:rsidRPr="0007286B">
        <w:rPr>
          <w:sz w:val="24"/>
        </w:rPr>
        <w:t xml:space="preserve"> Os Requerimentos para registros, controles ou alterações da Ficha Funcional, que não necessitam de apreciação por Órgão Colegiado, Presidente ou Diretor Geral, serão </w:t>
      </w:r>
      <w:r>
        <w:rPr>
          <w:sz w:val="24"/>
        </w:rPr>
        <w:t xml:space="preserve">instaurados pelo servidor e </w:t>
      </w:r>
      <w:r w:rsidRPr="0007286B">
        <w:rPr>
          <w:sz w:val="24"/>
        </w:rPr>
        <w:t>encaminhados à D</w:t>
      </w:r>
      <w:r>
        <w:rPr>
          <w:sz w:val="24"/>
        </w:rPr>
        <w:t>iretoria de Gestão de Pessoas – DGP</w:t>
      </w:r>
      <w:r w:rsidRPr="0007286B">
        <w:rPr>
          <w:sz w:val="24"/>
        </w:rPr>
        <w:t xml:space="preserve"> </w:t>
      </w:r>
      <w:r>
        <w:rPr>
          <w:sz w:val="24"/>
        </w:rPr>
        <w:t>para registro</w:t>
      </w:r>
      <w:r w:rsidRPr="0007286B">
        <w:rPr>
          <w:sz w:val="24"/>
        </w:rPr>
        <w:t xml:space="preserve"> e encerramento.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1º Os requerimentos citados no </w:t>
      </w:r>
      <w:r>
        <w:rPr>
          <w:i/>
          <w:sz w:val="24"/>
        </w:rPr>
        <w:t xml:space="preserve">caput </w:t>
      </w:r>
      <w:r>
        <w:rPr>
          <w:sz w:val="24"/>
        </w:rPr>
        <w:t>são os seguintes: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 – Alteração de Nome e Estado Civil;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II – Anotação de Conclusão de Curso, Certificados e Diplomas;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III – Anotação de Inclusão e Exclusão de Dependentes;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IV – Anotação de Publicações Técnicas em Ficha Funcional;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V – Anotação de Registro em Conselho Profissional;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VI – Férias;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VII – Licença Casamento;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VIII – Licença Luto;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IX – Licença Paternidade.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§ 2º Os documentos externos, necessários à instrução do pedido, devem ser digitalizados pelo requerente e anexados como peças na instauração do procedimento eletrônico. A pedido do requerente, a Diretoria de Gestão de Pessoas adota as providências para a digitalização e anexação ao procedimento.</w:t>
      </w:r>
      <w:bookmarkStart w:id="1" w:name="_GoBack"/>
      <w:bookmarkEnd w:id="1"/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§ 3º Os registros ou anotações de certificados de cursos, promovidos pelo Tribunal, serão providenciados pela Escola de Gestão Pública junto à Diretoria de Gestão de Pessoas, sem a necessidade de instauração de procedimento administrativo eletrônico pelo servidor.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3º </w:t>
      </w:r>
      <w:r w:rsidRPr="00EF34F0">
        <w:rPr>
          <w:sz w:val="24"/>
        </w:rPr>
        <w:t>Os</w:t>
      </w:r>
      <w:r>
        <w:rPr>
          <w:b/>
          <w:sz w:val="24"/>
        </w:rPr>
        <w:t xml:space="preserve"> </w:t>
      </w:r>
      <w:r w:rsidRPr="007D0F35">
        <w:rPr>
          <w:sz w:val="24"/>
        </w:rPr>
        <w:t xml:space="preserve">Requerimentos que necessitam de apreciação por Órgão Colegiado, Presidente ou Diretor Geral, serão </w:t>
      </w:r>
      <w:r>
        <w:rPr>
          <w:sz w:val="24"/>
        </w:rPr>
        <w:t xml:space="preserve">instaurados pelo servidor e </w:t>
      </w:r>
      <w:r w:rsidRPr="007D0F35">
        <w:rPr>
          <w:sz w:val="24"/>
        </w:rPr>
        <w:t>encaminhados à D</w:t>
      </w:r>
      <w:r>
        <w:rPr>
          <w:sz w:val="24"/>
        </w:rPr>
        <w:t>iretoria de Protocolo – D</w:t>
      </w:r>
      <w:r w:rsidRPr="007D0F35">
        <w:rPr>
          <w:sz w:val="24"/>
        </w:rPr>
        <w:t>P para autuação e tramitação</w:t>
      </w:r>
      <w:r>
        <w:rPr>
          <w:sz w:val="24"/>
        </w:rPr>
        <w:t xml:space="preserve"> pelo sistema de trâmite de processos</w:t>
      </w:r>
      <w:r w:rsidRPr="007D0F35">
        <w:rPr>
          <w:sz w:val="24"/>
        </w:rPr>
        <w:t>, conforme as normas previstas no Regimento Interno e nos demais atos normativos do Tribunal.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1º Os requerimentos citados no </w:t>
      </w:r>
      <w:r>
        <w:rPr>
          <w:i/>
          <w:sz w:val="24"/>
        </w:rPr>
        <w:t xml:space="preserve">caput </w:t>
      </w:r>
      <w:r>
        <w:rPr>
          <w:sz w:val="24"/>
        </w:rPr>
        <w:t>são os seguintes: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 – Abono de Permanência;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II – Atos de Inativação;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III – Averbação de Tempo de Serviço;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IV – Exoneração;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V – Férias não usufruídas há mais de 2(dois) anos;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VI – Licença Especial;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VII – Licença ao Adotante;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VIII – Licença para Cargo Eletivo;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IX – Licença para Curso de Aperfeiçoamento ou Especialização;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X – Licença sem Vencimentos;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XI – Verba de Representação.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§ 2º Os documentos externos, necessários à instrução do pedido, devem ser digitalizados e anexados como peças na instauração do procedimento eletrônico. A pedido do requerente, a Diretoria de Protocolo adota as providências para a digitalização e anexação ao requerimento ou processo a ser autuado.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§ 3º A autuação do Requerimento Interno ou do Processo de Servidor será realizada com a extração das peças digitais do procedimento administrativo eletrônico. Após a autuação, o procedimento administrativo deve ser vinculado ao processo ou requerimento respectivo e encaminhado para encerramento.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4º </w:t>
      </w:r>
      <w:r>
        <w:rPr>
          <w:sz w:val="24"/>
        </w:rPr>
        <w:t>Para a instauração do procedimento o servidor deve utilizar os modelos de requerimento ou ofício, disponíveis no sistema de procedimentos administrativos eletrônicos, podendo fazer as adaptações necessárias ao caso concreto.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Na falta de modelo especifico para o pedido, o servidor deve iniciar pela redação do requerimento ou ofício correspondente, com base nos modelos disponíveis no novo sistema.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§ 2º Os requerimentos de servidores, que necessitam do “nada a opor” ou “ciência” do gestor da unidade, serão assinados eletronicamente pelo requerente e pelo gestor, dispensando-se a elaboração de um ato adicional.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§ 3º Os requerimentos de férias devem reproduzir os dados constantes da ficha funcional do servidor, que deverá ser consultada quando da instauração do procedimento.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5º </w:t>
      </w:r>
      <w:r>
        <w:rPr>
          <w:sz w:val="24"/>
        </w:rPr>
        <w:t>Os modelos padronizados para a emissão de atos nos procedimentos eletrônicos referentes a servidores estarão disponíveis no sistema informatizado para utilização na data da entrada em vigor desta Instrução de Serviço.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devem ser preferencialmente adotados e servem como referência, podendo ser aperfeiçoados conforme o caso concreto e tendo a natureza exemplificativa.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 dos modelos constantes do sistema poderão ser feitas mediante autorização da Diretoria Geral.</w:t>
      </w:r>
    </w:p>
    <w:p w:rsidR="00CC69BB" w:rsidRDefault="00CC69BB" w:rsidP="00CC69BB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6º </w:t>
      </w:r>
      <w:r>
        <w:rPr>
          <w:sz w:val="24"/>
        </w:rPr>
        <w:t>O uso do meio eletrônico para a tramitação dos Procedimentos Administrativos, referentes a servidores, mediante certificação digital, observará as regras previstas no Regimento Interno para o uso do meio eletrônico referente aos processos e requerimentos.</w:t>
      </w:r>
    </w:p>
    <w:p w:rsidR="00CC69BB" w:rsidRDefault="00CC69BB" w:rsidP="00CC69BB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7º </w:t>
      </w:r>
      <w:r>
        <w:rPr>
          <w:sz w:val="24"/>
        </w:rPr>
        <w:t>Esta Instrução de Serviço entra em vigor na data de sua publicação.</w:t>
      </w:r>
    </w:p>
    <w:p w:rsidR="00CC69BB" w:rsidRDefault="00CC69BB" w:rsidP="00CC69BB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CC69BB" w:rsidRDefault="00CC69BB" w:rsidP="00CC69BB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Curitiba, em 4 dezembro de 2012.</w:t>
      </w:r>
    </w:p>
    <w:p w:rsidR="00CC69BB" w:rsidRDefault="00CC69BB" w:rsidP="00CC69BB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CC69BB" w:rsidRDefault="00CC69BB" w:rsidP="00CC69BB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Conselheiro FERNANDO AUGUSTO MELLO GUIMARÃES</w:t>
      </w:r>
    </w:p>
    <w:p w:rsidR="00CC69BB" w:rsidRDefault="00CC69BB" w:rsidP="00CC69BB">
      <w:pPr>
        <w:pStyle w:val="Recuodecorpodetexto3"/>
        <w:spacing w:before="120"/>
        <w:ind w:firstLine="1134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Presidente</w:t>
      </w:r>
    </w:p>
    <w:p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9BB" w:rsidRDefault="00CC69BB" w:rsidP="00CC69BB">
      <w:pPr>
        <w:spacing w:after="0" w:line="240" w:lineRule="auto"/>
      </w:pPr>
      <w:r>
        <w:separator/>
      </w:r>
    </w:p>
  </w:endnote>
  <w:endnote w:type="continuationSeparator" w:id="0">
    <w:p w:rsidR="00CC69BB" w:rsidRDefault="00CC69BB" w:rsidP="00CC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CC69B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CC69BB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CC69BB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9BB" w:rsidRDefault="00CC69BB" w:rsidP="00CC69BB">
      <w:pPr>
        <w:spacing w:after="0" w:line="240" w:lineRule="auto"/>
      </w:pPr>
      <w:r>
        <w:separator/>
      </w:r>
    </w:p>
  </w:footnote>
  <w:footnote w:type="continuationSeparator" w:id="0">
    <w:p w:rsidR="00CC69BB" w:rsidRDefault="00CC69BB" w:rsidP="00CC69BB">
      <w:pPr>
        <w:spacing w:after="0" w:line="240" w:lineRule="auto"/>
      </w:pPr>
      <w:r>
        <w:continuationSeparator/>
      </w:r>
    </w:p>
  </w:footnote>
  <w:footnote w:id="1">
    <w:p w:rsidR="00CC69BB" w:rsidRPr="00903F9E" w:rsidRDefault="00CC69BB" w:rsidP="00CC69BB">
      <w:pPr>
        <w:pStyle w:val="Textodenotaderodap"/>
        <w:spacing w:after="0" w:line="240" w:lineRule="auto"/>
        <w:rPr>
          <w:rFonts w:ascii="Arial" w:hAnsi="Arial" w:cs="Arial"/>
        </w:rPr>
      </w:pPr>
      <w:r w:rsidRPr="00CC69BB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:rsidR="00CC69BB" w:rsidRPr="00CC69BB" w:rsidRDefault="00CC69BB" w:rsidP="00CC69BB">
      <w:pPr>
        <w:pStyle w:val="Textodenotaderodap"/>
        <w:spacing w:after="0" w:line="240" w:lineRule="auto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bookmarkEnd w:id="0"/>
      <w:r w:rsidRPr="00CC69BB">
        <w:rPr>
          <w:rStyle w:val="Hyperlink"/>
          <w:rFonts w:ascii="Arial" w:hAnsi="Arial" w:cs="Arial"/>
        </w:rPr>
        <w:t>Diário Eletrônico do Tribunal de Contas do Estado do Paraná, Curitiba, PR, n. 541, 5 dez. 2012, p. 82.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CC69BB" w:rsidP="00891554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151765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BB"/>
    <w:rsid w:val="0015408B"/>
    <w:rsid w:val="003C536B"/>
    <w:rsid w:val="00CC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ADC36"/>
  <w15:chartTrackingRefBased/>
  <w15:docId w15:val="{D3FDC44A-659A-4553-806A-8F7CE9D6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CC69B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CC69BB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CC69BB"/>
  </w:style>
  <w:style w:type="paragraph" w:styleId="Cabealho">
    <w:name w:val="header"/>
    <w:basedOn w:val="Normal"/>
    <w:link w:val="CabealhoChar"/>
    <w:uiPriority w:val="99"/>
    <w:rsid w:val="00CC69B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CC69BB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Recuodecorpodetexto3">
    <w:name w:val="Body Text Indent 3"/>
    <w:basedOn w:val="Normal"/>
    <w:link w:val="Recuodecorpodetexto3Char"/>
    <w:unhideWhenUsed/>
    <w:rsid w:val="00CC69BB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C69BB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Ementa">
    <w:name w:val="Ementa"/>
    <w:basedOn w:val="Normal"/>
    <w:rsid w:val="00CC69BB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Paragrafo">
    <w:name w:val="Paragrafo"/>
    <w:basedOn w:val="Normal"/>
    <w:rsid w:val="00CC69BB"/>
    <w:pPr>
      <w:numPr>
        <w:numId w:val="1"/>
      </w:numPr>
      <w:spacing w:before="120" w:after="0" w:line="240" w:lineRule="auto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Texto">
    <w:name w:val="Texto"/>
    <w:basedOn w:val="Normal"/>
    <w:rsid w:val="00CC69B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CC69B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CC69B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C69BB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C69BB"/>
    <w:rPr>
      <w:vertAlign w:val="superscript"/>
    </w:rPr>
  </w:style>
  <w:style w:type="character" w:styleId="Hyperlink">
    <w:name w:val="Hyperlink"/>
    <w:unhideWhenUsed/>
    <w:rsid w:val="00CC69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322DB-0CFA-4B7A-AB23-89591348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1</cp:revision>
  <dcterms:created xsi:type="dcterms:W3CDTF">2019-06-14T14:17:00Z</dcterms:created>
  <dcterms:modified xsi:type="dcterms:W3CDTF">2019-06-14T14:42:00Z</dcterms:modified>
</cp:coreProperties>
</file>