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4E29" w14:textId="51F9EA70" w:rsidR="005E21E5" w:rsidRDefault="005E21E5" w:rsidP="008F08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A2560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7A2560">
        <w:rPr>
          <w:rFonts w:ascii="Arial" w:hAnsi="Arial" w:cs="Arial"/>
          <w:b/>
          <w:sz w:val="28"/>
          <w:szCs w:val="28"/>
        </w:rPr>
        <w:t>37/</w:t>
      </w:r>
      <w:r>
        <w:rPr>
          <w:rFonts w:ascii="Arial" w:hAnsi="Arial" w:cs="Arial"/>
          <w:b/>
          <w:sz w:val="28"/>
          <w:szCs w:val="28"/>
        </w:rPr>
        <w:t>20</w:t>
      </w:r>
      <w:r w:rsidRPr="007A2560">
        <w:rPr>
          <w:rFonts w:ascii="Arial" w:hAnsi="Arial" w:cs="Arial"/>
          <w:b/>
          <w:sz w:val="28"/>
          <w:szCs w:val="28"/>
        </w:rPr>
        <w:t>12</w:t>
      </w:r>
      <w:r w:rsidRPr="005E21E5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14:paraId="7BA3BBCA" w14:textId="07FE4EBC" w:rsidR="008F08E8" w:rsidRPr="008F08E8" w:rsidRDefault="008F08E8" w:rsidP="008F08E8">
      <w:pPr>
        <w:spacing w:after="0" w:line="240" w:lineRule="auto"/>
        <w:jc w:val="center"/>
        <w:rPr>
          <w:rFonts w:ascii="Arial" w:hAnsi="Arial" w:cs="Arial"/>
          <w:b/>
          <w:bCs/>
          <w:color w:val="0000FF"/>
          <w:sz w:val="26"/>
          <w:szCs w:val="26"/>
        </w:rPr>
      </w:pPr>
      <w:r w:rsidRPr="008F08E8">
        <w:rPr>
          <w:rFonts w:ascii="Arial" w:hAnsi="Arial" w:cs="Arial"/>
          <w:b/>
          <w:color w:val="0000FF"/>
          <w:sz w:val="26"/>
          <w:szCs w:val="26"/>
        </w:rPr>
        <w:t>CONSOLIDADA</w:t>
      </w:r>
    </w:p>
    <w:p w14:paraId="0DDE7A42" w14:textId="77777777" w:rsidR="005E21E5" w:rsidRDefault="005E21E5" w:rsidP="005E21E5">
      <w:pPr>
        <w:pStyle w:val="Ementa"/>
        <w:spacing w:before="0" w:after="0"/>
        <w:ind w:left="4536"/>
        <w:rPr>
          <w:i/>
          <w:sz w:val="24"/>
        </w:rPr>
      </w:pPr>
    </w:p>
    <w:p w14:paraId="2B04F12C" w14:textId="77777777" w:rsidR="005E21E5" w:rsidRPr="0093090D" w:rsidRDefault="005E21E5" w:rsidP="005E21E5">
      <w:pPr>
        <w:pStyle w:val="Ementa"/>
        <w:spacing w:before="0" w:after="0"/>
        <w:ind w:left="4536"/>
        <w:rPr>
          <w:i/>
          <w:szCs w:val="22"/>
        </w:rPr>
      </w:pPr>
      <w:r w:rsidRPr="0093090D">
        <w:rPr>
          <w:i/>
          <w:szCs w:val="22"/>
        </w:rPr>
        <w:t>Dispõe sobre a tramitação eletrônica dos Procedimentos Administrativos internos do Tribunal, e dá outras providências.</w:t>
      </w:r>
    </w:p>
    <w:p w14:paraId="77A4EB7D" w14:textId="77777777" w:rsidR="005E21E5" w:rsidRDefault="005E21E5" w:rsidP="005E21E5">
      <w:pPr>
        <w:pStyle w:val="Ementa"/>
        <w:spacing w:before="0" w:after="0"/>
        <w:ind w:left="4536"/>
        <w:rPr>
          <w:i/>
          <w:sz w:val="24"/>
        </w:rPr>
      </w:pPr>
    </w:p>
    <w:p w14:paraId="0CEB17B2" w14:textId="77777777" w:rsidR="005E21E5" w:rsidRDefault="005E21E5" w:rsidP="005E21E5">
      <w:pPr>
        <w:pStyle w:val="Texto"/>
        <w:ind w:firstLine="1134"/>
        <w:rPr>
          <w:sz w:val="24"/>
        </w:rPr>
      </w:pPr>
      <w:r w:rsidRPr="008F08E8">
        <w:rPr>
          <w:bCs/>
          <w:sz w:val="24"/>
        </w:rPr>
        <w:t>O</w:t>
      </w:r>
      <w:r>
        <w:rPr>
          <w:b/>
          <w:sz w:val="24"/>
        </w:rPr>
        <w:t xml:space="preserve"> PRESIDENTE DO TRIBUNAL DE CONTAS DO ESTADO DO PARANÁ</w:t>
      </w:r>
      <w:r>
        <w:rPr>
          <w:sz w:val="24"/>
        </w:rPr>
        <w:t>, no uso das atribuições contidas no art. 122, I, da Lei Complementar nº 113, de 15 de dezembro de 2005, e no art. 16, XXXIII, c/c o art. 197, também do Regimento Interno,</w:t>
      </w:r>
    </w:p>
    <w:p w14:paraId="31F8AFC0" w14:textId="77777777" w:rsidR="005E21E5" w:rsidRDefault="005E21E5" w:rsidP="005E21E5">
      <w:pPr>
        <w:pStyle w:val="Texto"/>
        <w:ind w:firstLine="1134"/>
        <w:rPr>
          <w:b/>
          <w:bCs/>
          <w:sz w:val="24"/>
        </w:rPr>
      </w:pPr>
    </w:p>
    <w:p w14:paraId="2C7B3969" w14:textId="77777777" w:rsidR="005E21E5" w:rsidRDefault="005E21E5" w:rsidP="005E21E5">
      <w:pPr>
        <w:pStyle w:val="Texto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14:paraId="0E5630C3" w14:textId="77777777" w:rsidR="005E21E5" w:rsidRDefault="005E21E5" w:rsidP="005E21E5">
      <w:pPr>
        <w:pStyle w:val="Texto"/>
        <w:ind w:firstLine="1134"/>
        <w:rPr>
          <w:b/>
          <w:bCs/>
          <w:sz w:val="24"/>
        </w:rPr>
      </w:pPr>
    </w:p>
    <w:p w14:paraId="1B99647C" w14:textId="77777777" w:rsidR="005E21E5" w:rsidRDefault="005E21E5" w:rsidP="005E21E5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>Esta Instrução de Serviço disciplina e orienta a tramitação eletrônica dos Procedimentos Administrativos internos do Tribunal.</w:t>
      </w:r>
    </w:p>
    <w:p w14:paraId="66B0B300" w14:textId="77777777" w:rsidR="005E21E5" w:rsidRDefault="005E21E5" w:rsidP="005E21E5">
      <w:pPr>
        <w:pStyle w:val="ArtigosOrdinais"/>
        <w:ind w:firstLine="1134"/>
        <w:rPr>
          <w:sz w:val="24"/>
        </w:rPr>
      </w:pPr>
      <w:r w:rsidRPr="00927028">
        <w:rPr>
          <w:sz w:val="24"/>
        </w:rPr>
        <w:t>Parágrafo único.</w:t>
      </w:r>
      <w:r>
        <w:rPr>
          <w:b/>
          <w:sz w:val="24"/>
        </w:rPr>
        <w:t xml:space="preserve"> </w:t>
      </w:r>
      <w:r>
        <w:rPr>
          <w:sz w:val="24"/>
        </w:rPr>
        <w:t>Para fins desta Instrução de Serviço entende-se como Procedimento Administrativo, em meio eletrônico, todo o trâmite de documentos destinado a suportar atividades administrativas internas, nos casos de Requerimentos de Viagens, Requerimentos de Pagamentos, Requerimentos de Servidores e demais procedimentos.</w:t>
      </w:r>
    </w:p>
    <w:p w14:paraId="23CFEB8E" w14:textId="77777777" w:rsidR="005E21E5" w:rsidRDefault="005E21E5" w:rsidP="005E21E5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2º </w:t>
      </w:r>
      <w:r>
        <w:rPr>
          <w:sz w:val="24"/>
        </w:rPr>
        <w:t>A primeira fase da implantação dos Procedimentos Administrativos Eletrônicos contemplará os Requerimentos de Viagens de Servidores, composto dos seguintes assuntos:</w:t>
      </w:r>
    </w:p>
    <w:p w14:paraId="7A8C7748" w14:textId="77777777" w:rsidR="005E21E5" w:rsidRDefault="005E21E5" w:rsidP="005E21E5">
      <w:pPr>
        <w:pStyle w:val="ArtigosOrdinais"/>
        <w:ind w:firstLine="1134"/>
        <w:rPr>
          <w:sz w:val="24"/>
        </w:rPr>
      </w:pPr>
      <w:r>
        <w:rPr>
          <w:sz w:val="24"/>
        </w:rPr>
        <w:t>I – Participação de servidores em eventos;</w:t>
      </w:r>
    </w:p>
    <w:p w14:paraId="79C8F70B" w14:textId="77777777" w:rsidR="005E21E5" w:rsidRDefault="005E21E5" w:rsidP="005E21E5">
      <w:pPr>
        <w:pStyle w:val="ArtigosOrdinais"/>
        <w:ind w:firstLine="1134"/>
        <w:rPr>
          <w:sz w:val="24"/>
        </w:rPr>
      </w:pPr>
      <w:r>
        <w:rPr>
          <w:sz w:val="24"/>
        </w:rPr>
        <w:t>II – Realização de auditorias, inspeções e monitoramentos;</w:t>
      </w:r>
    </w:p>
    <w:p w14:paraId="2DBA64CC" w14:textId="77777777" w:rsidR="005E21E5" w:rsidRDefault="005E21E5" w:rsidP="005E21E5">
      <w:pPr>
        <w:pStyle w:val="ArtigosOrdinais"/>
        <w:ind w:firstLine="1134"/>
        <w:rPr>
          <w:sz w:val="24"/>
        </w:rPr>
      </w:pPr>
      <w:r>
        <w:rPr>
          <w:sz w:val="24"/>
        </w:rPr>
        <w:t>III – Realização de eventos de capacitação;</w:t>
      </w:r>
    </w:p>
    <w:p w14:paraId="62B9AD11" w14:textId="77777777" w:rsidR="005E21E5" w:rsidRDefault="005E21E5" w:rsidP="005E21E5">
      <w:pPr>
        <w:pStyle w:val="ArtigosOrdinais"/>
        <w:ind w:firstLine="1134"/>
        <w:rPr>
          <w:sz w:val="24"/>
        </w:rPr>
      </w:pPr>
      <w:r>
        <w:rPr>
          <w:sz w:val="24"/>
        </w:rPr>
        <w:t>IV – Realização de visitas técnicas;</w:t>
      </w:r>
    </w:p>
    <w:p w14:paraId="08313F8B" w14:textId="77777777" w:rsidR="005E21E5" w:rsidRDefault="005E21E5" w:rsidP="005E21E5">
      <w:pPr>
        <w:pStyle w:val="ArtigosOrdinais"/>
        <w:ind w:firstLine="1134"/>
        <w:rPr>
          <w:sz w:val="24"/>
        </w:rPr>
      </w:pPr>
      <w:r>
        <w:rPr>
          <w:sz w:val="24"/>
        </w:rPr>
        <w:t>V – Realização de citações e intimações por oficial do Tribunal.</w:t>
      </w:r>
    </w:p>
    <w:p w14:paraId="645F6D38" w14:textId="77777777" w:rsidR="005E21E5" w:rsidRDefault="005E21E5" w:rsidP="005E21E5">
      <w:pPr>
        <w:pStyle w:val="ArtigosOrdinais"/>
        <w:ind w:firstLine="1134"/>
        <w:rPr>
          <w:i/>
          <w:sz w:val="24"/>
        </w:rPr>
      </w:pPr>
      <w:r w:rsidRPr="00927028">
        <w:rPr>
          <w:sz w:val="24"/>
        </w:rPr>
        <w:t>Parágrafo único.</w:t>
      </w:r>
      <w:r>
        <w:rPr>
          <w:b/>
          <w:sz w:val="24"/>
        </w:rPr>
        <w:t xml:space="preserve"> </w:t>
      </w:r>
      <w:r>
        <w:rPr>
          <w:sz w:val="24"/>
        </w:rPr>
        <w:t>As alterações dos procedimentos implantados e a implantação dos demais procedimentos destinados a suportar outras atividades serão feitas por Instrução de Serviço do Presidente.</w:t>
      </w:r>
    </w:p>
    <w:p w14:paraId="3BEDE040" w14:textId="77777777" w:rsidR="005E21E5" w:rsidRDefault="005E21E5" w:rsidP="005E21E5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3º </w:t>
      </w:r>
      <w:r>
        <w:rPr>
          <w:sz w:val="24"/>
        </w:rPr>
        <w:t>Os modelos de tramitação e de emissão de atos estarão padronizados, conforme a padronização do trâmite e dos atos processuais, ficando disponíveis no sistema informatizado para utilização na data da entrada em vigor desta Instrução de Serviço.</w:t>
      </w:r>
    </w:p>
    <w:p w14:paraId="2FC0C819" w14:textId="77777777" w:rsidR="005E21E5" w:rsidRDefault="005E21E5" w:rsidP="005E21E5">
      <w:pPr>
        <w:pStyle w:val="ArtigosOrdinais"/>
        <w:ind w:firstLine="1134"/>
        <w:rPr>
          <w:sz w:val="24"/>
        </w:rPr>
      </w:pPr>
      <w:r w:rsidRPr="00927028">
        <w:rPr>
          <w:sz w:val="24"/>
        </w:rPr>
        <w:lastRenderedPageBreak/>
        <w:t>§ 1º</w:t>
      </w:r>
      <w:r>
        <w:rPr>
          <w:b/>
          <w:sz w:val="24"/>
        </w:rPr>
        <w:t xml:space="preserve"> </w:t>
      </w:r>
      <w:r>
        <w:rPr>
          <w:sz w:val="24"/>
        </w:rPr>
        <w:t>Os modelos devem ser preferencialmente adotados e servem como referência, podendo ser aperfeiçoados conforme o caso concreto e tendo a natureza exemplificativa.</w:t>
      </w:r>
    </w:p>
    <w:p w14:paraId="11C9408D" w14:textId="77777777" w:rsidR="005E21E5" w:rsidRDefault="005E21E5" w:rsidP="005E21E5">
      <w:pPr>
        <w:pStyle w:val="ArtigosOrdinais"/>
        <w:ind w:firstLine="1134"/>
        <w:rPr>
          <w:sz w:val="24"/>
        </w:rPr>
      </w:pPr>
      <w:r w:rsidRPr="00927028">
        <w:rPr>
          <w:sz w:val="24"/>
        </w:rPr>
        <w:t>§ 2º</w:t>
      </w:r>
      <w:r>
        <w:rPr>
          <w:b/>
          <w:sz w:val="24"/>
        </w:rPr>
        <w:t xml:space="preserve"> </w:t>
      </w:r>
      <w:r>
        <w:rPr>
          <w:sz w:val="24"/>
        </w:rPr>
        <w:t>O modelo referente ao Plano de Viagem, previsto no art. 15 da Portaria nº 420/09, publicada no então periódico Atos Oficiais do Tribunal de Contas nº 213, de 21/08/2009, fica substituído pelas informações constantes dos modelos de atos disponíveis no sistema.</w:t>
      </w:r>
    </w:p>
    <w:p w14:paraId="70BE100D" w14:textId="77777777" w:rsidR="005E21E5" w:rsidRDefault="005E21E5" w:rsidP="005E21E5">
      <w:pPr>
        <w:pStyle w:val="ArtigosOrdinais"/>
        <w:ind w:firstLine="1134"/>
        <w:rPr>
          <w:sz w:val="24"/>
        </w:rPr>
      </w:pPr>
      <w:r w:rsidRPr="00927028">
        <w:rPr>
          <w:sz w:val="24"/>
        </w:rPr>
        <w:t>§ 3º</w:t>
      </w:r>
      <w:r>
        <w:rPr>
          <w:b/>
          <w:sz w:val="24"/>
        </w:rPr>
        <w:t xml:space="preserve"> </w:t>
      </w:r>
      <w:r>
        <w:rPr>
          <w:sz w:val="24"/>
        </w:rPr>
        <w:t>Eventuais alterações dos modelos constantes do sistema poderão ser feitas mediante autorização da Diretoria Geral.</w:t>
      </w:r>
    </w:p>
    <w:p w14:paraId="467AB0B8" w14:textId="77777777" w:rsidR="005E21E5" w:rsidRDefault="005E21E5" w:rsidP="005E21E5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4º </w:t>
      </w:r>
      <w:r>
        <w:rPr>
          <w:sz w:val="24"/>
        </w:rPr>
        <w:t>O uso do meio eletrônico para a tramitação dos Procedimentos Administrativos, mediante certificação digital, observará as regras previstas no Regimento Interno para o uso do meio eletrônico referente aos processos e requerimentos.</w:t>
      </w:r>
    </w:p>
    <w:p w14:paraId="2525CBE4" w14:textId="531ED2A7" w:rsidR="00FA1CE8" w:rsidRPr="00FA1CE8" w:rsidRDefault="00AF4BDB" w:rsidP="00FA1CE8">
      <w:pPr>
        <w:pStyle w:val="ArtigosOrdinais"/>
        <w:ind w:firstLine="1134"/>
        <w:rPr>
          <w:sz w:val="24"/>
        </w:rPr>
      </w:pPr>
      <w:r w:rsidRPr="00927028">
        <w:rPr>
          <w:sz w:val="24"/>
        </w:rPr>
        <w:t>Parágrafo único.</w:t>
      </w:r>
      <w:r w:rsidR="00BF53DC">
        <w:rPr>
          <w:sz w:val="24"/>
        </w:rPr>
        <w:t xml:space="preserve"> </w:t>
      </w:r>
      <w:r w:rsidR="00FA1CE8" w:rsidRPr="00FA1CE8">
        <w:rPr>
          <w:sz w:val="24"/>
        </w:rPr>
        <w:t xml:space="preserve">Observado o disposto no caput, a prática de atos nos Procedimentos Administrativos observará, ainda, o seguinte: </w:t>
      </w:r>
      <w:r w:rsidR="00FA1CE8">
        <w:rPr>
          <w:sz w:val="24"/>
        </w:rPr>
        <w:t>(</w:t>
      </w:r>
      <w:r w:rsidR="00FA1CE8" w:rsidRPr="00FD47D9">
        <w:rPr>
          <w:color w:val="0000FF"/>
          <w:sz w:val="24"/>
        </w:rPr>
        <w:t xml:space="preserve">Incluído pela </w:t>
      </w:r>
      <w:hyperlink r:id="rId8" w:history="1">
        <w:r w:rsidR="00CA3269" w:rsidRPr="00684047">
          <w:rPr>
            <w:rStyle w:val="Hyperlink"/>
            <w:sz w:val="24"/>
          </w:rPr>
          <w:t>Instrução de Serviço</w:t>
        </w:r>
        <w:r w:rsidR="00FD47D9" w:rsidRPr="00684047">
          <w:rPr>
            <w:rStyle w:val="Hyperlink"/>
            <w:sz w:val="24"/>
          </w:rPr>
          <w:t xml:space="preserve"> n. 152/2022</w:t>
        </w:r>
      </w:hyperlink>
      <w:r w:rsidR="00FD47D9">
        <w:rPr>
          <w:sz w:val="24"/>
        </w:rPr>
        <w:t>)</w:t>
      </w:r>
    </w:p>
    <w:p w14:paraId="360BC265" w14:textId="05C93DEA" w:rsidR="00FA1CE8" w:rsidRPr="00FA1CE8" w:rsidRDefault="00FA1CE8" w:rsidP="00441DF8">
      <w:pPr>
        <w:pStyle w:val="ArtigosOrdinais"/>
        <w:ind w:firstLine="1134"/>
        <w:rPr>
          <w:sz w:val="24"/>
        </w:rPr>
      </w:pPr>
      <w:r w:rsidRPr="00FA1CE8">
        <w:rPr>
          <w:sz w:val="24"/>
        </w:rPr>
        <w:t xml:space="preserve">I - a juntada de atos ou documentos deverá observar a ordem cronológica a que se refere o art. 367, § 1º, do Regimento Interno; </w:t>
      </w:r>
      <w:r w:rsidR="00441DF8">
        <w:rPr>
          <w:sz w:val="24"/>
        </w:rPr>
        <w:t>(</w:t>
      </w:r>
      <w:r w:rsidR="00441DF8" w:rsidRPr="00FD47D9">
        <w:rPr>
          <w:color w:val="0000FF"/>
          <w:sz w:val="24"/>
        </w:rPr>
        <w:t xml:space="preserve">Incluído pela </w:t>
      </w:r>
      <w:hyperlink r:id="rId9" w:history="1">
        <w:r w:rsidR="00441DF8" w:rsidRPr="00684047">
          <w:rPr>
            <w:rStyle w:val="Hyperlink"/>
            <w:sz w:val="24"/>
          </w:rPr>
          <w:t>Instrução de Serviço n. 152/2022</w:t>
        </w:r>
      </w:hyperlink>
      <w:r w:rsidR="00441DF8">
        <w:rPr>
          <w:sz w:val="24"/>
        </w:rPr>
        <w:t>)</w:t>
      </w:r>
    </w:p>
    <w:p w14:paraId="7C2D6AFD" w14:textId="3734CF2B" w:rsidR="00FA1CE8" w:rsidRPr="00FA1CE8" w:rsidRDefault="00FA1CE8" w:rsidP="00441DF8">
      <w:pPr>
        <w:pStyle w:val="ArtigosOrdinais"/>
        <w:ind w:firstLine="1134"/>
        <w:rPr>
          <w:sz w:val="24"/>
        </w:rPr>
      </w:pPr>
      <w:r w:rsidRPr="00FA1CE8">
        <w:rPr>
          <w:sz w:val="24"/>
        </w:rPr>
        <w:t xml:space="preserve">II - a exclusão de atos ou documentos poderá ser realizada pelo gestor da unidade responsável pela emissão ou juntada do ato ou documento, enquanto não houver manifestação posterior, devendo o procedimento estar em poder da unidade responsável pela exclusão; </w:t>
      </w:r>
      <w:r w:rsidR="00441DF8">
        <w:rPr>
          <w:sz w:val="24"/>
        </w:rPr>
        <w:t>(</w:t>
      </w:r>
      <w:r w:rsidR="00441DF8" w:rsidRPr="00FD47D9">
        <w:rPr>
          <w:color w:val="0000FF"/>
          <w:sz w:val="24"/>
        </w:rPr>
        <w:t xml:space="preserve">Incluído pela </w:t>
      </w:r>
      <w:hyperlink r:id="rId10" w:history="1">
        <w:r w:rsidR="00441DF8" w:rsidRPr="00684047">
          <w:rPr>
            <w:rStyle w:val="Hyperlink"/>
            <w:sz w:val="24"/>
          </w:rPr>
          <w:t>Instrução de Serviço n. 152/2022</w:t>
        </w:r>
      </w:hyperlink>
      <w:r w:rsidR="00441DF8">
        <w:rPr>
          <w:sz w:val="24"/>
        </w:rPr>
        <w:t>)</w:t>
      </w:r>
    </w:p>
    <w:p w14:paraId="5DDB45BD" w14:textId="63BF8EC7" w:rsidR="00AF4BDB" w:rsidRDefault="00FA1CE8" w:rsidP="00FA1CE8">
      <w:pPr>
        <w:pStyle w:val="ArtigosOrdinais"/>
        <w:ind w:firstLine="1134"/>
        <w:rPr>
          <w:sz w:val="24"/>
        </w:rPr>
      </w:pPr>
      <w:r w:rsidRPr="00FA1CE8">
        <w:rPr>
          <w:sz w:val="24"/>
        </w:rPr>
        <w:t>III - nos demais casos, deverá ser realizado desentranhamento, autorizado na forma do art. 368, do Regimento Interno.</w:t>
      </w:r>
      <w:r w:rsidR="00441DF8" w:rsidRPr="00441DF8">
        <w:rPr>
          <w:sz w:val="24"/>
        </w:rPr>
        <w:t xml:space="preserve"> </w:t>
      </w:r>
      <w:r w:rsidR="00441DF8">
        <w:rPr>
          <w:sz w:val="24"/>
        </w:rPr>
        <w:t>(</w:t>
      </w:r>
      <w:r w:rsidR="00441DF8" w:rsidRPr="00FD47D9">
        <w:rPr>
          <w:color w:val="0000FF"/>
          <w:sz w:val="24"/>
        </w:rPr>
        <w:t xml:space="preserve">Incluído pela </w:t>
      </w:r>
      <w:hyperlink r:id="rId11" w:history="1">
        <w:r w:rsidR="00441DF8" w:rsidRPr="00684047">
          <w:rPr>
            <w:rStyle w:val="Hyperlink"/>
            <w:sz w:val="24"/>
          </w:rPr>
          <w:t>Instrução de Serviço n. 152/2022</w:t>
        </w:r>
      </w:hyperlink>
      <w:r w:rsidR="00441DF8">
        <w:rPr>
          <w:sz w:val="24"/>
        </w:rPr>
        <w:t>)</w:t>
      </w:r>
    </w:p>
    <w:p w14:paraId="6BDA4F31" w14:textId="77777777" w:rsidR="005E21E5" w:rsidRDefault="005E21E5" w:rsidP="005E21E5">
      <w:pPr>
        <w:pStyle w:val="Paragrafo"/>
        <w:numPr>
          <w:ilvl w:val="0"/>
          <w:numId w:val="0"/>
        </w:numPr>
        <w:tabs>
          <w:tab w:val="left" w:pos="708"/>
        </w:tabs>
        <w:ind w:firstLine="1134"/>
        <w:rPr>
          <w:sz w:val="24"/>
        </w:rPr>
      </w:pPr>
      <w:r>
        <w:rPr>
          <w:b/>
          <w:sz w:val="24"/>
        </w:rPr>
        <w:t xml:space="preserve">Art. 5º </w:t>
      </w:r>
      <w:r>
        <w:rPr>
          <w:sz w:val="24"/>
        </w:rPr>
        <w:t>Esta Instrução de Serviço entra em vigor no dia 1º de outubro de 2012.</w:t>
      </w:r>
    </w:p>
    <w:p w14:paraId="311D0E87" w14:textId="77777777" w:rsidR="005E21E5" w:rsidRDefault="005E21E5" w:rsidP="005E21E5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</w:p>
    <w:p w14:paraId="42C3111B" w14:textId="77777777" w:rsidR="005E21E5" w:rsidRDefault="005E21E5" w:rsidP="005E21E5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</w:p>
    <w:p w14:paraId="50741E43" w14:textId="77777777" w:rsidR="005E21E5" w:rsidRDefault="005E21E5" w:rsidP="00966256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Curitiba, em 27 de setembro de 2012.</w:t>
      </w:r>
    </w:p>
    <w:p w14:paraId="11B9C7EF" w14:textId="77777777" w:rsidR="005E21E5" w:rsidRDefault="005E21E5" w:rsidP="00966256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</w:p>
    <w:p w14:paraId="1F37DC44" w14:textId="77777777" w:rsidR="005E21E5" w:rsidRDefault="005E21E5" w:rsidP="00966256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</w:p>
    <w:p w14:paraId="3D09D846" w14:textId="77777777" w:rsidR="005E21E5" w:rsidRDefault="005E21E5" w:rsidP="00966256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Conselheiro FERNANDO AUGUSTO MELLO GUIMARÃES</w:t>
      </w:r>
    </w:p>
    <w:p w14:paraId="3DBAB86B" w14:textId="77777777" w:rsidR="005E21E5" w:rsidRDefault="005E21E5" w:rsidP="00966256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Presidente</w:t>
      </w:r>
    </w:p>
    <w:p w14:paraId="3F41A32F" w14:textId="77777777" w:rsidR="0015408B" w:rsidRDefault="0015408B"/>
    <w:sectPr w:rsidR="0015408B" w:rsidSect="00554EF5">
      <w:headerReference w:type="default" r:id="rId12"/>
      <w:footerReference w:type="even" r:id="rId13"/>
      <w:footerReference w:type="default" r:id="rId14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D101" w14:textId="77777777" w:rsidR="007F4841" w:rsidRDefault="007F4841" w:rsidP="005E21E5">
      <w:pPr>
        <w:spacing w:after="0" w:line="240" w:lineRule="auto"/>
      </w:pPr>
      <w:r>
        <w:separator/>
      </w:r>
    </w:p>
  </w:endnote>
  <w:endnote w:type="continuationSeparator" w:id="0">
    <w:p w14:paraId="27D263A9" w14:textId="77777777" w:rsidR="007F4841" w:rsidRDefault="007F4841" w:rsidP="005E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CD6B" w14:textId="77777777" w:rsidR="00927028" w:rsidRDefault="00C36FAC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9966E1" w14:textId="77777777" w:rsidR="00927028" w:rsidRDefault="0093090D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8E7C" w14:textId="77777777" w:rsidR="00927028" w:rsidRDefault="0093090D" w:rsidP="005E21E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1CFB" w14:textId="77777777" w:rsidR="007F4841" w:rsidRDefault="007F4841" w:rsidP="005E21E5">
      <w:pPr>
        <w:spacing w:after="0" w:line="240" w:lineRule="auto"/>
      </w:pPr>
      <w:r>
        <w:separator/>
      </w:r>
    </w:p>
  </w:footnote>
  <w:footnote w:type="continuationSeparator" w:id="0">
    <w:p w14:paraId="3FB50AD8" w14:textId="77777777" w:rsidR="007F4841" w:rsidRDefault="007F4841" w:rsidP="005E21E5">
      <w:pPr>
        <w:spacing w:after="0" w:line="240" w:lineRule="auto"/>
      </w:pPr>
      <w:r>
        <w:continuationSeparator/>
      </w:r>
    </w:p>
  </w:footnote>
  <w:footnote w:id="1">
    <w:p w14:paraId="525971FD" w14:textId="77777777" w:rsidR="005E21E5" w:rsidRPr="00903F9E" w:rsidRDefault="005E21E5" w:rsidP="00C36FAC">
      <w:pPr>
        <w:pStyle w:val="Textodenotaderodap"/>
        <w:spacing w:after="0" w:line="240" w:lineRule="auto"/>
        <w:rPr>
          <w:rFonts w:ascii="Arial" w:hAnsi="Arial" w:cs="Arial"/>
        </w:rPr>
      </w:pPr>
      <w:r w:rsidRPr="005E21E5">
        <w:rPr>
          <w:rStyle w:val="Refdenotaderodap"/>
        </w:rPr>
        <w:sym w:font="Symbol" w:char="F02A"/>
      </w:r>
      <w:r>
        <w:t xml:space="preserve"> </w:t>
      </w:r>
      <w:bookmarkStart w:id="0" w:name="_Hlk11400953"/>
      <w:r w:rsidRPr="00903F9E">
        <w:rPr>
          <w:rFonts w:ascii="Arial" w:hAnsi="Arial" w:cs="Arial"/>
          <w:b/>
        </w:rPr>
        <w:t>Nota da Biblioteca:</w:t>
      </w:r>
    </w:p>
    <w:p w14:paraId="4C76E248" w14:textId="51FA5E8D" w:rsidR="005E21E5" w:rsidRDefault="005E21E5" w:rsidP="00305F94">
      <w:pPr>
        <w:pStyle w:val="Textodenotaderodap"/>
        <w:numPr>
          <w:ilvl w:val="0"/>
          <w:numId w:val="3"/>
        </w:numPr>
        <w:spacing w:after="0" w:line="240" w:lineRule="auto"/>
        <w:ind w:left="426" w:hanging="284"/>
        <w:rPr>
          <w:rStyle w:val="Hyperlink"/>
          <w:rFonts w:ascii="Arial" w:hAnsi="Arial" w:cs="Arial"/>
        </w:rPr>
      </w:pPr>
      <w:r w:rsidRPr="00903F9E">
        <w:rPr>
          <w:rFonts w:ascii="Arial" w:hAnsi="Arial" w:cs="Arial"/>
        </w:rPr>
        <w:t xml:space="preserve">Este texto não substitui o publicado no periódico: </w:t>
      </w:r>
      <w:r w:rsidRPr="005E21E5">
        <w:rPr>
          <w:rStyle w:val="Hyperlink"/>
          <w:rFonts w:ascii="Arial" w:hAnsi="Arial" w:cs="Arial"/>
        </w:rPr>
        <w:t xml:space="preserve">Diário </w:t>
      </w:r>
      <w:r w:rsidRPr="008F08E8">
        <w:rPr>
          <w:rStyle w:val="Hyperlink"/>
          <w:rFonts w:ascii="Arial" w:hAnsi="Arial" w:cs="Arial"/>
        </w:rPr>
        <w:t>Eletrônico</w:t>
      </w:r>
      <w:r w:rsidRPr="005E21E5">
        <w:rPr>
          <w:rStyle w:val="Hyperlink"/>
          <w:rFonts w:ascii="Arial" w:hAnsi="Arial" w:cs="Arial"/>
        </w:rPr>
        <w:t xml:space="preserve"> do Tribunal de Contas do Estado</w:t>
      </w:r>
      <w:r w:rsidR="00305F94">
        <w:rPr>
          <w:rStyle w:val="Hyperlink"/>
          <w:rFonts w:ascii="Arial" w:hAnsi="Arial" w:cs="Arial"/>
        </w:rPr>
        <w:t xml:space="preserve"> </w:t>
      </w:r>
      <w:r w:rsidRPr="005E21E5">
        <w:rPr>
          <w:rStyle w:val="Hyperlink"/>
          <w:rFonts w:ascii="Arial" w:hAnsi="Arial" w:cs="Arial"/>
        </w:rPr>
        <w:t>do Paraná, Curitiba, PR, n. 497, 28 set. 2012, p. 93.</w:t>
      </w:r>
      <w:bookmarkEnd w:id="0"/>
    </w:p>
    <w:p w14:paraId="4EB93236" w14:textId="78CFB980" w:rsidR="00305F94" w:rsidRDefault="00305F94" w:rsidP="00073554">
      <w:pPr>
        <w:pStyle w:val="Textodenotaderodap"/>
        <w:numPr>
          <w:ilvl w:val="0"/>
          <w:numId w:val="3"/>
        </w:numPr>
        <w:spacing w:after="0" w:line="240" w:lineRule="auto"/>
        <w:ind w:left="426" w:hanging="284"/>
      </w:pPr>
      <w:r w:rsidRPr="0087361D">
        <w:rPr>
          <w:rFonts w:ascii="Arial" w:hAnsi="Arial" w:cs="Arial"/>
          <w:b/>
          <w:bCs/>
          <w:color w:val="0000FF"/>
        </w:rPr>
        <w:t>Altera</w:t>
      </w:r>
      <w:r w:rsidR="00296492" w:rsidRPr="0087361D">
        <w:rPr>
          <w:rFonts w:ascii="Arial" w:hAnsi="Arial" w:cs="Arial"/>
          <w:b/>
          <w:bCs/>
          <w:color w:val="0000FF"/>
        </w:rPr>
        <w:t>da</w:t>
      </w:r>
      <w:r w:rsidR="00296492" w:rsidRPr="0087361D">
        <w:rPr>
          <w:rFonts w:ascii="Arial" w:hAnsi="Arial" w:cs="Arial"/>
          <w:b/>
          <w:bCs/>
        </w:rPr>
        <w:t xml:space="preserve"> por</w:t>
      </w:r>
      <w:r w:rsidRPr="0087361D">
        <w:rPr>
          <w:rFonts w:ascii="Arial" w:hAnsi="Arial" w:cs="Arial"/>
          <w:b/>
          <w:bCs/>
        </w:rPr>
        <w:t>:</w:t>
      </w:r>
      <w:r w:rsidRPr="0087361D">
        <w:rPr>
          <w:rFonts w:ascii="Arial" w:hAnsi="Arial" w:cs="Arial"/>
        </w:rPr>
        <w:t xml:space="preserve"> </w:t>
      </w:r>
      <w:hyperlink r:id="rId1" w:history="1">
        <w:r w:rsidR="0087361D" w:rsidRPr="00B862B7">
          <w:rPr>
            <w:rStyle w:val="Hyperlink"/>
            <w:rFonts w:ascii="Arial" w:hAnsi="Arial" w:cs="Arial"/>
          </w:rPr>
          <w:t>Instrução de Serviço n. 152, de 20 de julho de 2022</w:t>
        </w:r>
      </w:hyperlink>
      <w:r w:rsidR="0087361D" w:rsidRPr="0087361D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A21B" w14:textId="77777777" w:rsidR="00927028" w:rsidRDefault="005E21E5" w:rsidP="0091709F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9BEA70C" wp14:editId="221B7577">
          <wp:simplePos x="0" y="0"/>
          <wp:positionH relativeFrom="column">
            <wp:posOffset>120650</wp:posOffset>
          </wp:positionH>
          <wp:positionV relativeFrom="paragraph">
            <wp:posOffset>95885</wp:posOffset>
          </wp:positionV>
          <wp:extent cx="605790" cy="712470"/>
          <wp:effectExtent l="0" t="0" r="0" b="0"/>
          <wp:wrapSquare wrapText="bothSides"/>
          <wp:docPr id="2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FAC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54DF6"/>
    <w:multiLevelType w:val="hybridMultilevel"/>
    <w:tmpl w:val="6C741FC4"/>
    <w:lvl w:ilvl="0" w:tplc="281E4FD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948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10610891">
    <w:abstractNumId w:val="0"/>
  </w:num>
  <w:num w:numId="3" w16cid:durableId="195507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E5"/>
    <w:rsid w:val="0015408B"/>
    <w:rsid w:val="00296492"/>
    <w:rsid w:val="00305F94"/>
    <w:rsid w:val="003C536B"/>
    <w:rsid w:val="00441DF8"/>
    <w:rsid w:val="005E21E5"/>
    <w:rsid w:val="00684047"/>
    <w:rsid w:val="007F4841"/>
    <w:rsid w:val="0087361D"/>
    <w:rsid w:val="008F08E8"/>
    <w:rsid w:val="0093090D"/>
    <w:rsid w:val="00966256"/>
    <w:rsid w:val="00AF4BDB"/>
    <w:rsid w:val="00B41574"/>
    <w:rsid w:val="00B862B7"/>
    <w:rsid w:val="00BF53DC"/>
    <w:rsid w:val="00C36FAC"/>
    <w:rsid w:val="00CA3269"/>
    <w:rsid w:val="00FA1CE8"/>
    <w:rsid w:val="00FD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0946A"/>
  <w15:chartTrackingRefBased/>
  <w15:docId w15:val="{7A9D6345-DD3B-46CB-9006-FAAE0DF2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5E21E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E21E5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5E21E5"/>
  </w:style>
  <w:style w:type="paragraph" w:styleId="Cabealho">
    <w:name w:val="header"/>
    <w:basedOn w:val="Normal"/>
    <w:link w:val="CabealhoChar"/>
    <w:uiPriority w:val="99"/>
    <w:rsid w:val="005E21E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5E21E5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unhideWhenUsed/>
    <w:rsid w:val="005E21E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E21E5"/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Ementa">
    <w:name w:val="Ementa"/>
    <w:basedOn w:val="Normal"/>
    <w:rsid w:val="005E21E5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Paragrafo">
    <w:name w:val="Paragrafo"/>
    <w:basedOn w:val="Normal"/>
    <w:rsid w:val="005E21E5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Texto">
    <w:name w:val="Texto"/>
    <w:basedOn w:val="Normal"/>
    <w:rsid w:val="005E21E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5E21E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5E21E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E21E5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5E21E5"/>
    <w:rPr>
      <w:vertAlign w:val="superscript"/>
    </w:rPr>
  </w:style>
  <w:style w:type="character" w:styleId="Hyperlink">
    <w:name w:val="Hyperlink"/>
    <w:unhideWhenUsed/>
    <w:rsid w:val="005E21E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4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instrucao-de-servico-n-152-de-20-de-julho-de-2022/342119/area/1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conteudo/instrucao-de-servico-n-152-de-20-de-julho-de-2022/342119/area/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1.tce.pr.gov.br/conteudo/instrucao-de-servico-n-152-de-20-de-julho-de-2022/342119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conteudo/instrucao-de-servico-n-152-de-20-de-julho-de-2022/342119/area/10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tce.pr.gov.br/conteudo/instrucao-de-servico-n-152-de-20-de-julho-de-2022/342119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68B67-655C-4504-B400-E3C9F847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624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Fonseca</cp:lastModifiedBy>
  <cp:revision>15</cp:revision>
  <dcterms:created xsi:type="dcterms:W3CDTF">2022-08-11T19:27:00Z</dcterms:created>
  <dcterms:modified xsi:type="dcterms:W3CDTF">2022-08-11T19:45:00Z</dcterms:modified>
</cp:coreProperties>
</file>